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 xml:space="preserve">RAN5 PRD </w:t>
            </w:r>
            <w:bookmarkEnd w:id="1"/>
            <w:r>
              <w:rPr>
                <w:sz w:val="64"/>
                <w:lang w:val="sv-SE"/>
              </w:rPr>
              <w:t>2</w:t>
            </w:r>
            <w:r>
              <w:rPr>
                <w:rFonts w:hint="eastAsia" w:eastAsia="宋体"/>
                <w:sz w:val="64"/>
                <w:lang w:val="sv-SE" w:eastAsia="zh-CN"/>
              </w:rPr>
              <w:t>1</w:t>
            </w:r>
            <w:r>
              <w:rPr>
                <w:sz w:val="64"/>
                <w:lang w:val="sv-SE"/>
              </w:rPr>
              <w:t xml:space="preserve"> </w:t>
            </w:r>
            <w:bookmarkStart w:id="2" w:name="specVersion"/>
            <w:r>
              <w:rPr>
                <w:lang w:val="sv-SE"/>
              </w:rPr>
              <w:t>Draft v</w:t>
            </w:r>
            <w:r>
              <w:rPr>
                <w:rFonts w:hint="eastAsia" w:eastAsia="宋体"/>
                <w:lang w:val="sv-SE" w:eastAsia="zh-CN"/>
              </w:rPr>
              <w:t>0</w:t>
            </w:r>
            <w:r>
              <w:rPr>
                <w:lang w:val="sv-SE"/>
              </w:rPr>
              <w:t>.0.</w:t>
            </w:r>
            <w:bookmarkEnd w:id="2"/>
            <w:r>
              <w:rPr>
                <w:rFonts w:hint="eastAsia" w:eastAsia="宋体"/>
                <w:lang w:val="sv-SE" w:eastAsia="zh-CN"/>
              </w:rPr>
              <w:t>1</w:t>
            </w:r>
            <w:r>
              <w:rPr>
                <w:lang w:val="sv-SE"/>
              </w:rPr>
              <w:t xml:space="preserve"> </w:t>
            </w:r>
            <w:r>
              <w:rPr>
                <w:sz w:val="32"/>
                <w:lang w:val="sv-SE"/>
              </w:rPr>
              <w:t>(</w:t>
            </w:r>
            <w:bookmarkStart w:id="3" w:name="issueDate"/>
            <w:r>
              <w:rPr>
                <w:sz w:val="32"/>
                <w:lang w:val="sv-SE"/>
              </w:rPr>
              <w:t>202</w:t>
            </w:r>
            <w:r>
              <w:rPr>
                <w:rFonts w:hint="eastAsia" w:eastAsia="宋体"/>
                <w:sz w:val="32"/>
                <w:lang w:val="sv-SE" w:eastAsia="zh-CN"/>
              </w:rPr>
              <w:t>2</w:t>
            </w:r>
            <w:r>
              <w:rPr>
                <w:sz w:val="32"/>
                <w:lang w:val="sv-SE"/>
              </w:rPr>
              <w:t>-</w:t>
            </w:r>
            <w:bookmarkEnd w:id="3"/>
            <w:r>
              <w:rPr>
                <w:rFonts w:hint="eastAsia" w:eastAsia="宋体"/>
                <w:sz w:val="32"/>
                <w:lang w:val="sv-SE" w:eastAsia="zh-CN"/>
              </w:rPr>
              <w:t>2</w:t>
            </w:r>
            <w:r>
              <w:rPr>
                <w:sz w:val="32"/>
                <w:lang w:val="sv-SE"/>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 xml:space="preserve">NR bands and </w:t>
            </w:r>
            <w:r>
              <w:rPr>
                <w:rFonts w:hint="eastAsia" w:eastAsia="宋体"/>
                <w:lang w:val="en-US" w:eastAsia="zh-CN"/>
              </w:rPr>
              <w:t>5G NR</w:t>
            </w:r>
            <w:r>
              <w:t xml:space="preserve"> CA</w:t>
            </w:r>
            <w:r>
              <w:rPr>
                <w:rFonts w:hint="eastAsia"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hint="eastAsia"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eastAsia="ko-KR"/>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bookmarkStart w:id="134" w:name="_GoBack"/>
      <w:bookmarkEnd w:id="134"/>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 xml:space="preserve">Guidelines to handle the </w:t>
      </w:r>
      <w:r>
        <w:rPr>
          <w:rFonts w:hint="eastAsia"/>
          <w:lang w:val="en-US"/>
        </w:rPr>
        <w:t>New NR bands and extension of existing NR bands</w:t>
      </w:r>
      <w:r>
        <w:rPr>
          <w:lang w:val="en-US"/>
        </w:rPr>
        <w:t xml:space="preserve">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w:t>
      </w:r>
      <w:r>
        <w:t xml:space="preserve"> </w:t>
      </w:r>
      <w:r>
        <w:t>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144"/>
      <w:bookmarkStart w:id="16" w:name="_Toc95140694"/>
      <w:bookmarkStart w:id="17" w:name="_Toc25283"/>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3078"/>
      <w:bookmarkStart w:id="21" w:name="_Toc95140695"/>
      <w:bookmarkStart w:id="22" w:name="_Toc2086434"/>
      <w:bookmarkStart w:id="23" w:name="_Toc13382"/>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rFonts w:hint="eastAsia" w:eastAsia="宋体"/>
          <w:lang w:val="en-US" w:eastAsia="zh-CN"/>
        </w:rPr>
        <w:t>5G NR</w:t>
      </w:r>
      <w:r>
        <w:t xml:space="preserve"> CA</w:t>
      </w:r>
      <w:r>
        <w:rPr>
          <w:rFonts w:hint="eastAsia"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lang w:val="en-US"/>
        </w:rPr>
        <w:t xml:space="preserve">The </w:t>
      </w:r>
      <w:r>
        <w:t xml:space="preserve">status of the new </w:t>
      </w:r>
      <w:r>
        <w:rPr>
          <w:lang w:val="en-US"/>
        </w:rPr>
        <w:t xml:space="preserve">5G NR </w:t>
      </w:r>
      <w:r>
        <w:t>CA</w:t>
      </w:r>
      <w:r>
        <w:rPr>
          <w:lang w:val="en-US"/>
        </w:rPr>
        <w:t>DC</w:t>
      </w:r>
      <w:r>
        <w:t xml:space="preserve"> configurations introduced by the work items</w:t>
      </w:r>
      <w:r>
        <w:rPr>
          <w:lang w:val="en-US"/>
        </w:rPr>
        <w:t xml:space="preserve"> shall be tracked in the 5G NR CADC configuration list, including "Interested Operator" and the status of “Pending”, “Ongoing” and “Completed”</w:t>
      </w:r>
      <w:r>
        <w:t>.</w:t>
      </w:r>
    </w:p>
    <w:p>
      <w:pPr>
        <w:pStyle w:val="48"/>
      </w:pPr>
      <w:r>
        <w:t>-</w:t>
      </w:r>
      <w:r>
        <w:tab/>
      </w:r>
      <w:r>
        <w:t xml:space="preserve">The minimum criteria for closing a RAN5 </w:t>
      </w:r>
      <w:r>
        <w:rPr>
          <w:lang w:val="en-US"/>
        </w:rPr>
        <w:t xml:space="preserve">5G NR </w:t>
      </w:r>
      <w:r>
        <w:t>CA</w:t>
      </w:r>
      <w:r>
        <w:rPr>
          <w:lang w:val="en-US"/>
        </w:rPr>
        <w:t>DC</w:t>
      </w:r>
      <w:r>
        <w:t xml:space="preserve"> work item is that the associated 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p>
    <w:p>
      <w:pPr>
        <w:pStyle w:val="48"/>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2"/>
      </w:pPr>
      <w:bookmarkStart w:id="24" w:name="_Toc95140696"/>
      <w:bookmarkStart w:id="25" w:name="_Toc23028"/>
      <w:bookmarkStart w:id="26" w:name="_Toc10628"/>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3"/>
        <w:gridCol w:w="5260"/>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2"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7"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760087</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hint="eastAsia"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hint="eastAsia"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850062</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870061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910098</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911000</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930051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bl>
    <w:p/>
    <w:p>
      <w:pPr>
        <w:pStyle w:val="2"/>
      </w:pPr>
      <w:bookmarkStart w:id="28" w:name="_Toc22008"/>
      <w:bookmarkStart w:id="29" w:name="_Toc95140697"/>
      <w:bookmarkStart w:id="30" w:name="_Toc676"/>
      <w:r>
        <w:t>2</w:t>
      </w:r>
      <w:r>
        <w:tab/>
      </w:r>
      <w:r>
        <w:t>References</w:t>
      </w:r>
      <w:bookmarkEnd w:id="28"/>
      <w:bookmarkEnd w:id="29"/>
      <w:bookmarkEnd w:id="30"/>
    </w:p>
    <w:p>
      <w:pPr>
        <w:pStyle w:val="44"/>
      </w:pPr>
      <w:r>
        <w:t>[1]</w:t>
      </w:r>
      <w:r>
        <w:tab/>
      </w:r>
      <w:bookmarkStart w:id="31" w:name="_Hlk87610176"/>
      <w:r>
        <w:rPr>
          <w:rFonts w:hint="eastAsia"/>
        </w:rPr>
        <w:t>R5-195406</w:t>
      </w:r>
      <w:r>
        <w:t xml:space="preserve">: </w:t>
      </w:r>
      <w:bookmarkStart w:id="32" w:name="_Hlk95134267"/>
      <w:r>
        <w:rPr>
          <w:lang w:eastAsia="zh-TW"/>
        </w:rPr>
        <w:t>"</w:t>
      </w:r>
      <w:bookmarkEnd w:id="32"/>
      <w:r>
        <w:rPr>
          <w:rFonts w:hint="eastAsia"/>
        </w:rPr>
        <w:t>WF update for Rel-16 NR CADC band combinations WI</w:t>
      </w:r>
      <w:r>
        <w:rPr>
          <w:lang w:eastAsia="zh-TW"/>
        </w:rPr>
        <w:t>"</w:t>
      </w:r>
      <w:r>
        <w:t>.</w:t>
      </w:r>
      <w:bookmarkEnd w:id="31"/>
    </w:p>
    <w:p>
      <w:pPr>
        <w:pStyle w:val="44"/>
      </w:pPr>
      <w:r>
        <w:t>[2]</w:t>
      </w:r>
      <w:r>
        <w:tab/>
      </w:r>
      <w:r>
        <w:rPr>
          <w:rFonts w:hint="eastAsia"/>
        </w:rPr>
        <w:t>R5-197600</w:t>
      </w:r>
      <w:r>
        <w:t xml:space="preserve">: </w:t>
      </w:r>
      <w:r>
        <w:rPr>
          <w:lang w:eastAsia="zh-TW"/>
        </w:rPr>
        <w:t>"</w:t>
      </w:r>
      <w:r>
        <w:rPr>
          <w:rFonts w:hint="eastAsia"/>
        </w:rPr>
        <w:t>WF update for Rel-16 NR CADC band combinations WI</w:t>
      </w:r>
      <w:r>
        <w:rPr>
          <w:lang w:eastAsia="zh-TW"/>
        </w:rPr>
        <w:t>"</w:t>
      </w:r>
      <w:r>
        <w:t>.</w:t>
      </w:r>
    </w:p>
    <w:p>
      <w:pPr>
        <w:pStyle w:val="44"/>
      </w:pPr>
      <w:bookmarkStart w:id="33" w:name="_Hlk87610497"/>
      <w:r>
        <w:t>[3]</w:t>
      </w:r>
      <w:r>
        <w:tab/>
      </w:r>
      <w:r>
        <w:rPr>
          <w:rFonts w:hint="eastAsia"/>
        </w:rP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highlight w:val="yellow"/>
          <w:lang w:val="en-US"/>
        </w:rPr>
        <w:t>0140</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95140698"/>
      <w:bookmarkStart w:id="36" w:name="_Toc7992"/>
      <w:bookmarkStart w:id="37" w:name="_Toc10796"/>
      <w:r>
        <w:t>3</w:t>
      </w:r>
      <w:r>
        <w:tab/>
      </w:r>
      <w:r>
        <w:t>Definitions of terms, symbols and abbreviations</w:t>
      </w:r>
      <w:bookmarkEnd w:id="35"/>
      <w:bookmarkEnd w:id="36"/>
      <w:bookmarkEnd w:id="37"/>
    </w:p>
    <w:p>
      <w:pPr>
        <w:pStyle w:val="3"/>
        <w:rPr>
          <w:bCs/>
        </w:rPr>
      </w:pPr>
      <w:bookmarkStart w:id="38" w:name="_Toc95140699"/>
      <w:bookmarkStart w:id="39" w:name="_Toc32643"/>
      <w:bookmarkStart w:id="40" w:name="_Toc17040"/>
      <w:r>
        <w:t>3.1</w:t>
      </w:r>
      <w:r>
        <w:tab/>
      </w:r>
      <w:r>
        <w:t>Terms</w:t>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bC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rPr>
          <w:bCs/>
        </w:rPr>
      </w:pPr>
    </w:p>
    <w:p>
      <w:pPr>
        <w:pStyle w:val="3"/>
      </w:pPr>
      <w:bookmarkStart w:id="42" w:name="_Toc95140700"/>
      <w:bookmarkStart w:id="43" w:name="_Toc3760"/>
      <w:bookmarkStart w:id="44" w:name="_Toc5466"/>
      <w:r>
        <w:t>3.2</w:t>
      </w:r>
      <w:r>
        <w:tab/>
      </w:r>
      <w:r>
        <w:t>Symbols</w:t>
      </w:r>
      <w:bookmarkEnd w:id="42"/>
      <w:bookmarkEnd w:id="43"/>
      <w:bookmarkEnd w:id="44"/>
    </w:p>
    <w:p>
      <w:pPr>
        <w:keepNext/>
      </w:pPr>
      <w:r>
        <w:t>None</w:t>
      </w:r>
    </w:p>
    <w:p>
      <w:pPr>
        <w:pStyle w:val="3"/>
      </w:pPr>
      <w:bookmarkStart w:id="45" w:name="_Toc25711"/>
      <w:bookmarkStart w:id="46" w:name="_Toc95140701"/>
      <w:bookmarkStart w:id="47" w:name="_Toc11846"/>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95140702"/>
      <w:bookmarkStart w:id="49" w:name="_Toc16405"/>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5140703"/>
      <w:bookmarkStart w:id="51" w:name="_Toc925"/>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hint="default" w:ascii="Calibri" w:hAnsi="Calibri" w:cs="Calibri"/>
                <w:color w:val="000000"/>
                <w:sz w:val="16"/>
                <w:szCs w:val="16"/>
                <w:lang w:val="en-US" w:eastAsia="en-GB"/>
              </w:rPr>
            </w:pPr>
            <w:r>
              <w:rPr>
                <w:rFonts w:hint="default"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- 5G system with NR and LTE</w:t>
            </w:r>
          </w:p>
          <w:p>
            <w:pPr>
              <w:spacing w:after="0"/>
              <w:rPr>
                <w:rFonts w:hint="eastAsia"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hint="eastAsia"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hint="eastAsia"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hint="eastAsia"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There is column of “Status” in the PRD21 5G NR CADC list. Only the assigned configurations, as well as the ready-to-be assigned configurations due to operators’ interest, can be set as “Ongoing” or “Completed”, and all the other configurations shall be set as “Pending” as default.</w:t>
      </w:r>
    </w:p>
    <w:p>
      <w:pPr>
        <w:pStyle w:val="48"/>
        <w:numPr>
          <w:ilvl w:val="0"/>
          <w:numId w:val="1"/>
        </w:numPr>
        <w:rPr>
          <w:lang w:val="en-US"/>
        </w:rPr>
      </w:pPr>
      <w:r>
        <w:rPr>
          <w:lang w:val="en-US"/>
        </w:rPr>
        <w:t>There is column of “Interested Operator” in the PRD21 5G NR CADC list. For an unassigned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Updated draft WPs of the 5G NR configuration specific WIs shall be sent out to the RAN5 reflector prior to "3GU Opening" for each RAN5 meeting.</w:t>
      </w:r>
    </w:p>
    <w:p>
      <w:pPr>
        <w:pStyle w:val="48"/>
        <w:numPr>
          <w:ilvl w:val="0"/>
          <w:numId w:val="1"/>
        </w:numPr>
        <w:rPr>
          <w:lang w:val="en-US"/>
        </w:rPr>
      </w:pPr>
      <w:r>
        <w:rPr>
          <w:lang w:val="en-US"/>
        </w:rPr>
        <w:t>Only the contributions for the configurations tagged with "Interested Operator" in the draft WPs sent out prior to "3GU Opening" can be accepted by the corresponding RAN5 meeting.</w:t>
      </w:r>
    </w:p>
    <w:p>
      <w:pPr>
        <w:pStyle w:val="48"/>
        <w:numPr>
          <w:ilvl w:val="0"/>
          <w:numId w:val="1"/>
        </w:numPr>
        <w:rPr>
          <w:lang w:val="en-US"/>
        </w:rPr>
      </w:pPr>
      <w:r>
        <w:rPr>
          <w:lang w:val="en-US"/>
        </w:rPr>
        <w:t>As an exception, if the updated draft WP cannot be available before the "3GU Opening", the deadline for operators' tagging the configurations with "Interested Operator" shall be extended pending on the 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in the forward release 5G NR CADC configuration WI pending on RAN5’s decision. E.g., After RAN5 Rel-16 5G NR CADC WI close, if any RAN5 “Pending” Rel-16 5G NR CADC configuration gains an “Interested Operator”, this configuration could be implemented in the Rel-17 or forward 5G NR CADC configuration WI pending on RAN5’s decision.</w:t>
      </w:r>
    </w:p>
    <w:p>
      <w:pPr>
        <w:pStyle w:val="48"/>
        <w:numPr>
          <w:ilvl w:val="0"/>
          <w:numId w:val="1"/>
        </w:numPr>
        <w:rPr>
          <w:lang w:val="en-US"/>
        </w:rPr>
      </w:pPr>
      <w:r>
        <w:rPr>
          <w:lang w:val="en-US"/>
        </w:rPr>
        <w:t xml:space="preserve">Considering the meeting efficiency, it is strongly suggested that all the changes to Chapter 5 to be covered in a Jumbo CR submitted by Chapter 5 owner. Any other individual change request to Chapter 5 is suggested to be merged into the Jumbo CR and the corresponding company will be added as a co-source company. </w:t>
      </w:r>
    </w:p>
    <w:p>
      <w:pPr>
        <w:pStyle w:val="48"/>
        <w:numPr>
          <w:ilvl w:val="0"/>
          <w:numId w:val="1"/>
        </w:numPr>
        <w:rPr>
          <w:lang w:val="en-US"/>
        </w:rPr>
      </w:pPr>
      <w:r>
        <w:rPr>
          <w:lang w:val="en-US"/>
        </w:rPr>
        <w:t xml:space="preserve">No new configurations/new bands/new BWs shall be introduced into Chapter 5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unless the new configurations/new bands/new BWs have been completed in RAN4.</w:t>
      </w:r>
    </w:p>
    <w:p>
      <w:pPr>
        <w:pStyle w:val="48"/>
        <w:numPr>
          <w:ilvl w:val="0"/>
          <w:numId w:val="1"/>
        </w:numPr>
        <w:rPr>
          <w:lang w:val="en-US"/>
        </w:rPr>
      </w:pPr>
      <w:r>
        <w:rPr>
          <w:lang w:val="en-US"/>
        </w:rPr>
        <w:t xml:space="preserve">To avoid missing 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If it is thought there are no changes needed for Chapter 6/7 or only the changes to ΔTIB,c and ΔRIB,c are needed in Chapter 6/7, an paper shall be submitted to justify why no changes to Chapter 6/7 are needed or why only the changes to ΔTIB,c and ΔRIB,c are needed in Chapter 6/7. Otherwise, any change requests to Chapter 5 shall NOT be accepted by RAN5 and there shall be no changes to Chapter 5.</w:t>
      </w:r>
    </w:p>
    <w:p>
      <w:pPr>
        <w:pStyle w:val="59"/>
        <w:ind w:left="420"/>
        <w:rPr>
          <w:lang w:val="en-US"/>
        </w:rPr>
      </w:pPr>
      <w:r>
        <w:t>-</w:t>
      </w:r>
      <w:r>
        <w:tab/>
      </w:r>
      <w:r>
        <w:rPr>
          <w:lang w:val="en-US"/>
        </w:rPr>
        <w:t>If there are already new configurations/new bands/new BWs related test cases in Chapter 6/7 which are just incomplete yet, change requests to Chapter 5 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RAN4.</w:t>
      </w:r>
    </w:p>
    <w:p>
      <w:pPr>
        <w:pStyle w:val="3"/>
      </w:pPr>
      <w:bookmarkStart w:id="52" w:name="_Toc95140704"/>
      <w:bookmarkStart w:id="53" w:name="_Toc25113"/>
      <w:r>
        <w:rPr>
          <w:lang w:val="en-US"/>
        </w:rPr>
        <w:t>4.2</w:t>
      </w:r>
      <w:r>
        <w:tab/>
      </w:r>
      <w:r>
        <w:rPr>
          <w:lang w:val="en-US"/>
        </w:rPr>
        <w:t xml:space="preserve">Guidelines to handle the </w:t>
      </w:r>
      <w:r>
        <w:rPr>
          <w:rFonts w:hint="eastAsia"/>
          <w:lang w:val="en-US"/>
        </w:rPr>
        <w:t>New NR bands and extension of existing NR bands</w:t>
      </w:r>
      <w:r>
        <w:rPr>
          <w:lang w:val="en-US"/>
        </w:rPr>
        <w:t xml:space="preserve">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pStyle w:val="3"/>
      </w:pPr>
      <w:bookmarkStart w:id="54" w:name="_Toc95140705"/>
      <w:bookmarkStart w:id="55" w:name="_Toc20379"/>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hint="default" w:ascii="Calibri" w:hAnsi="Calibri" w:cs="Calibri"/>
                <w:color w:val="000000"/>
                <w:sz w:val="16"/>
                <w:szCs w:val="16"/>
                <w:lang w:val="en-US" w:eastAsia="en-GB"/>
              </w:rPr>
            </w:pPr>
            <w:r>
              <w:rPr>
                <w:rFonts w:hint="default" w:ascii="Calibri" w:hAnsi="Calibri" w:cs="Calibri"/>
                <w:color w:val="000000"/>
                <w:sz w:val="16"/>
                <w:szCs w:val="16"/>
                <w:lang w:val="en-US" w:eastAsia="en-GB"/>
              </w:rPr>
              <w:t>Rel-15</w:t>
            </w:r>
          </w:p>
        </w:tc>
        <w:tc>
          <w:tcPr>
            <w:tcW w:w="366" w:type="pct"/>
            <w:tcBorders>
              <w:tl2br w:val="nil"/>
              <w:tr2bl w:val="nil"/>
            </w:tcBorders>
            <w:shd w:val="clear" w:color="auto" w:fill="auto"/>
          </w:tcPr>
          <w:p>
            <w:pPr>
              <w:spacing w:after="0"/>
              <w:rPr>
                <w:rFonts w:hint="eastAsia" w:ascii="Calibri" w:hAnsi="Calibri" w:cs="Calibri"/>
                <w:color w:val="000000"/>
                <w:sz w:val="16"/>
                <w:szCs w:val="16"/>
                <w:lang w:eastAsia="en-GB"/>
              </w:rPr>
            </w:pPr>
            <w:r>
              <w:rPr>
                <w:rFonts w:hint="eastAsia" w:ascii="Calibri" w:hAnsi="Calibri" w:cs="Calibri"/>
                <w:color w:val="000000"/>
                <w:sz w:val="16"/>
                <w:szCs w:val="16"/>
                <w:lang w:eastAsia="en-GB"/>
              </w:rPr>
              <w:t>760087</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- 5G system with NR and LTE</w:t>
            </w:r>
          </w:p>
          <w:p>
            <w:pPr>
              <w:spacing w:after="0"/>
              <w:rPr>
                <w:rFonts w:hint="default" w:ascii="Calibri" w:hAnsi="Calibri" w:cs="Calibri"/>
                <w:color w:val="000000"/>
                <w:sz w:val="16"/>
                <w:szCs w:val="16"/>
                <w:lang w:val="en-US" w:eastAsia="en-GB"/>
              </w:rPr>
            </w:pPr>
            <w:r>
              <w:rPr>
                <w:rFonts w:hint="default" w:ascii="Calibri" w:hAnsi="Calibri" w:cs="Calibri"/>
                <w:color w:val="000000"/>
                <w:sz w:val="16"/>
                <w:szCs w:val="16"/>
                <w:lang w:val="en-US" w:eastAsia="en-GB"/>
              </w:rPr>
              <w:t xml:space="preserve">Except for </w:t>
            </w:r>
            <w:r>
              <w:rPr>
                <w:rFonts w:ascii="Calibri" w:hAnsi="Calibri" w:cs="Calibri"/>
                <w:color w:val="000000"/>
                <w:sz w:val="16"/>
                <w:szCs w:val="16"/>
                <w:lang w:val="en-US" w:eastAsia="en-GB"/>
              </w:rPr>
              <w:t xml:space="preserve">Sub-WI </w:t>
            </w:r>
            <w:r>
              <w:rPr>
                <w:rFonts w:hint="default" w:ascii="Calibri" w:hAnsi="Calibri" w:cs="Calibri"/>
                <w:color w:val="000000"/>
                <w:sz w:val="16"/>
                <w:szCs w:val="16"/>
                <w:lang w:val="en-US" w:eastAsia="en-GB"/>
              </w:rPr>
              <w:t>“</w:t>
            </w:r>
            <w:r>
              <w:rPr>
                <w:rFonts w:hint="eastAsia" w:ascii="Calibri" w:hAnsi="Calibri" w:cs="Calibri"/>
                <w:color w:val="000000"/>
                <w:sz w:val="16"/>
                <w:szCs w:val="16"/>
                <w:lang w:eastAsia="en-GB"/>
              </w:rPr>
              <w:t>Rel-15 NR bands, NR CA/DC and EN-DC configurations</w:t>
            </w:r>
            <w:r>
              <w:rPr>
                <w:rFonts w:hint="default"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hint="eastAsia"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870061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910098</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ENDC_PC2_R17_xLTE_yNR-UEConTest</w:t>
            </w:r>
          </w:p>
        </w:tc>
      </w:tr>
    </w:tbl>
    <w:p/>
    <w:p>
      <w:pPr>
        <w:pStyle w:val="48"/>
        <w:numPr>
          <w:ilvl w:val="0"/>
          <w:numId w:val="2"/>
        </w:numPr>
        <w:ind w:left="567" w:hanging="283"/>
      </w:pPr>
      <w:r>
        <w:rPr>
          <w:rFonts w:hint="eastAsia"/>
        </w:rPr>
        <w:t xml:space="preserve">When specific </w:t>
      </w:r>
      <w:r>
        <w:rPr>
          <w:lang w:val="en-US"/>
        </w:rPr>
        <w:t xml:space="preserve">Rel-16 </w:t>
      </w:r>
      <w:r>
        <w:rPr>
          <w:rFonts w:hint="eastAsia"/>
        </w:rPr>
        <w:t xml:space="preserve">configurations are needed to be used for completing test cases </w:t>
      </w:r>
      <w:r>
        <w:rPr>
          <w:lang w:val="en-US"/>
        </w:rPr>
        <w:t>introduced by Rel-16 feature specific WIs, t</w:t>
      </w:r>
      <w:r>
        <w:rPr>
          <w:rFonts w:hint="eastAsia"/>
        </w:rPr>
        <w:t>he specific configurations shall be picked out among the “Ongoing”</w:t>
      </w:r>
      <w:r>
        <w:rPr>
          <w:lang w:val="en-US"/>
        </w:rPr>
        <w:t xml:space="preserve"> or “Completed”</w:t>
      </w:r>
      <w:r>
        <w:rPr>
          <w:rFonts w:hint="eastAsia"/>
        </w:rPr>
        <w:t xml:space="preserve"> configurations in </w:t>
      </w:r>
      <w:r>
        <w:rPr>
          <w:lang w:val="en-US"/>
        </w:rPr>
        <w:t>Rel-16 configuration specific WIs</w:t>
      </w:r>
      <w:r>
        <w:rPr>
          <w:rFonts w:hint="eastAsia"/>
        </w:rPr>
        <w:t xml:space="preserve">. </w:t>
      </w:r>
      <w:r>
        <w:t>If there is no "Ongoing" or "Completed" configuration in Rel-16 configuration specific WIs can be used to complete the test cases introduced by Rel-16 feature specific WIs, the specific configurations can be picked out among the "Ongoing" or "Completed" configurations in Rel-17 and forward configuration specific WIs.</w:t>
      </w:r>
      <w:r>
        <w:commentReference w:id="0"/>
      </w:r>
    </w:p>
    <w:p>
      <w:pPr>
        <w:pStyle w:val="48"/>
        <w:numPr>
          <w:ilvl w:val="0"/>
          <w:numId w:val="2"/>
        </w:numPr>
        <w:ind w:left="567" w:hanging="283"/>
      </w:pPr>
      <w:r>
        <w:rPr>
          <w:rFonts w:hint="eastAsia"/>
        </w:rPr>
        <w:t xml:space="preserve">When specific </w:t>
      </w:r>
      <w:r>
        <w:rPr>
          <w:lang w:val="en-US"/>
        </w:rPr>
        <w:t xml:space="preserve">Rel-17 </w:t>
      </w:r>
      <w:r>
        <w:rPr>
          <w:rFonts w:hint="eastAsia"/>
        </w:rPr>
        <w:t xml:space="preserve">configurations are needed to be used for completing test cases </w:t>
      </w:r>
      <w:r>
        <w:rPr>
          <w:lang w:val="en-US"/>
        </w:rPr>
        <w:t>introduced by Rel-17 feature specific WIs, t</w:t>
      </w:r>
      <w:r>
        <w:rPr>
          <w:rFonts w:hint="eastAsia"/>
        </w:rPr>
        <w:t>he specific configurations shall be picked out among the “Ongoing”</w:t>
      </w:r>
      <w:r>
        <w:rPr>
          <w:lang w:val="en-US"/>
        </w:rPr>
        <w:t xml:space="preserve"> or “Completed”</w:t>
      </w:r>
      <w:r>
        <w:rPr>
          <w:rFonts w:hint="eastAsia"/>
        </w:rPr>
        <w:t xml:space="preserve"> configurations in </w:t>
      </w:r>
      <w:r>
        <w:rPr>
          <w:lang w:val="en-US"/>
        </w:rPr>
        <w:t>Rel-17 configuration specific WIs</w:t>
      </w:r>
      <w:r>
        <w:rPr>
          <w:rFonts w:hint="eastAsia"/>
        </w:rPr>
        <w:t>.</w:t>
      </w:r>
    </w:p>
    <w:p>
      <w:pPr>
        <w:pStyle w:val="48"/>
        <w:numPr>
          <w:ilvl w:val="0"/>
          <w:numId w:val="2"/>
        </w:numPr>
        <w:ind w:left="567" w:hanging="283"/>
      </w:pPr>
      <w:r>
        <w:rPr>
          <w:rFonts w:hint="eastAsia"/>
        </w:rPr>
        <w:t xml:space="preserve">Only when new test cases </w:t>
      </w:r>
      <w:r>
        <w:t>are</w:t>
      </w:r>
      <w:r>
        <w:rPr>
          <w:rFonts w:hint="eastAsia"/>
        </w:rPr>
        <w:t xml:space="preserve"> introduced into RAN5 </w:t>
      </w:r>
      <w:r>
        <w:rPr>
          <w:lang w:val="en-US"/>
        </w:rPr>
        <w:t xml:space="preserve">test </w:t>
      </w:r>
      <w:r>
        <w:rPr>
          <w:rFonts w:hint="eastAsia"/>
        </w:rPr>
        <w:t>spec</w:t>
      </w:r>
      <w:r>
        <w:rPr>
          <w:lang w:val="en-US"/>
        </w:rPr>
        <w:t>ification</w:t>
      </w:r>
      <w:r>
        <w:rPr>
          <w:rFonts w:hint="eastAsia"/>
        </w:rPr>
        <w:t xml:space="preserve">s to complete </w:t>
      </w:r>
      <w:r>
        <w:rPr>
          <w:lang w:val="en-US"/>
        </w:rPr>
        <w:t>the feature specific WIs</w:t>
      </w:r>
      <w:r>
        <w:rPr>
          <w:rFonts w:hint="eastAsia"/>
        </w:rPr>
        <w:t xml:space="preserve">, the </w:t>
      </w:r>
      <w:r>
        <w:rPr>
          <w:lang w:val="en-US"/>
        </w:rPr>
        <w:t>contribution</w:t>
      </w:r>
      <w:r>
        <w:rPr>
          <w:rFonts w:hint="eastAsia"/>
        </w:rPr>
        <w:t xml:space="preserve">s can be submitted under </w:t>
      </w:r>
      <w:r>
        <w:rPr>
          <w:lang w:val="en-US"/>
        </w:rPr>
        <w:t>the feature specific WIs</w:t>
      </w:r>
      <w:r>
        <w:rPr>
          <w:rFonts w:hint="eastAsia"/>
        </w:rPr>
        <w:t xml:space="preserve">. </w:t>
      </w:r>
      <w:r>
        <w:rPr>
          <w:lang w:val="en-US"/>
        </w:rPr>
        <w:t>Otherwise</w:t>
      </w:r>
      <w:r>
        <w:rPr>
          <w:rFonts w:hint="eastAsia"/>
        </w:rPr>
        <w:t xml:space="preserve">, the configuration specific WIs </w:t>
      </w:r>
      <w:r>
        <w:t>(see clause 4.</w:t>
      </w:r>
      <w:r>
        <w:rPr>
          <w:lang w:val="en-US"/>
        </w:rPr>
        <w:t>1</w:t>
      </w:r>
      <w:r>
        <w:t xml:space="preserve">) </w:t>
      </w:r>
      <w:r>
        <w:rPr>
          <w:rFonts w:hint="eastAsia"/>
        </w:rPr>
        <w:t xml:space="preserve">can be used as much as possible to introduce the specific configurations into RAN5 </w:t>
      </w:r>
      <w:r>
        <w:rPr>
          <w:lang w:val="en-US"/>
        </w:rPr>
        <w:t xml:space="preserve">test </w:t>
      </w:r>
      <w:r>
        <w:rPr>
          <w:rFonts w:hint="eastAsia"/>
        </w:rPr>
        <w:t>spec</w:t>
      </w:r>
      <w:r>
        <w:rPr>
          <w:lang w:val="en-US"/>
        </w:rPr>
        <w:t>ification</w:t>
      </w:r>
      <w:r>
        <w:rPr>
          <w:rFonts w:hint="eastAsia"/>
        </w:rPr>
        <w:t>s.</w:t>
      </w:r>
    </w:p>
    <w:p>
      <w:pPr>
        <w:pStyle w:val="3"/>
      </w:pPr>
      <w:bookmarkStart w:id="56" w:name="_Toc95140706"/>
      <w:bookmarkStart w:id="57" w:name="_Toc8100"/>
      <w:r>
        <w:rPr>
          <w:lang w:val="en-US"/>
        </w:rPr>
        <w:t>4.4</w:t>
      </w:r>
      <w:r>
        <w:tab/>
      </w:r>
      <w:r>
        <w:rPr>
          <w:lang w:val="en-US"/>
        </w:rPr>
        <w:t>Guidelines to handle the 5G NR High Power WI</w:t>
      </w:r>
      <w:r>
        <w:t>s impacting 5G NR CADC configurations</w:t>
      </w:r>
      <w:bookmarkEnd w:id="56"/>
      <w:bookmarkEnd w:id="57"/>
    </w:p>
    <w:p>
      <w:pPr>
        <w:rPr>
          <w:lang w:val="en-US"/>
        </w:rPr>
      </w:pPr>
      <w:r>
        <w:rPr>
          <w:lang w:val="en-US"/>
        </w:rPr>
        <w:t>The 5G NR High Power WIs</w:t>
      </w:r>
      <w:r>
        <w:rPr>
          <w:rFonts w:hint="default"/>
          <w:lang w:val="en-US"/>
        </w:rPr>
        <w:t xml:space="preserve"> have also been included in the </w:t>
      </w:r>
      <w:r>
        <w:rPr>
          <w:lang w:val="en-US"/>
        </w:rPr>
        <w:t xml:space="preserve">existing 5G NR </w:t>
      </w:r>
      <w:r>
        <w:rPr>
          <w:rFonts w:hint="default"/>
          <w:b/>
          <w:bCs/>
          <w:lang w:val="en-US"/>
        </w:rPr>
        <w:t>feature</w:t>
      </w:r>
      <w:r>
        <w:rPr>
          <w:b/>
          <w:bCs/>
          <w:lang w:val="en-US"/>
        </w:rPr>
        <w:t xml:space="preserve"> specific WIs</w:t>
      </w:r>
      <w:r>
        <w:rPr>
          <w:lang w:val="en-US"/>
        </w:rPr>
        <w:t xml:space="preserve"> in RAN5.</w:t>
      </w:r>
    </w:p>
    <w:p>
      <w:r>
        <w:rPr>
          <w:lang w:val="en-US"/>
        </w:rPr>
        <w:t xml:space="preserve">The existing 5G NR </w:t>
      </w:r>
      <w:r>
        <w:rPr>
          <w:b/>
          <w:bCs/>
          <w:lang w:val="en-US"/>
        </w:rPr>
        <w:t>High Power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ENDC_PC2_R17_xLTE_yNR-UEConTest</w:t>
            </w:r>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 xml:space="preserve">5G NR </w:t>
      </w:r>
      <w:r>
        <w:rPr>
          <w:rFonts w:hint="default"/>
          <w:lang w:val="en-US" w:eastAsia="zh-CN"/>
        </w:rPr>
        <w:t>feature specific</w:t>
      </w:r>
      <w:r>
        <w:rPr>
          <w:lang w:eastAsia="zh-CN"/>
        </w:rPr>
        <w:t xml:space="preserve"> WIs. Regarding the power class dependent requirements, i.e. MOP, MPR, A-MPR, SEM, ACLR, A-SEM, A-SE and REFSENS, the PC3 requirements shall be introduced by </w:t>
      </w:r>
      <w:r>
        <w:rPr>
          <w:lang w:val="en-US" w:eastAsia="zh-CN"/>
        </w:rPr>
        <w:t xml:space="preserve">5G NR </w:t>
      </w:r>
      <w:r>
        <w:rPr>
          <w:rFonts w:hint="default"/>
          <w:lang w:val="en-US" w:eastAsia="zh-CN"/>
        </w:rPr>
        <w:t>configuration specific</w:t>
      </w:r>
      <w:r>
        <w:rPr>
          <w:lang w:eastAsia="zh-CN"/>
        </w:rPr>
        <w:t xml:space="preserve"> WIs, and the </w:t>
      </w:r>
      <w:r>
        <w:rPr>
          <w:lang w:val="en-US" w:eastAsia="zh-CN"/>
        </w:rPr>
        <w:t>H</w:t>
      </w:r>
      <w:r>
        <w:rPr>
          <w:lang w:eastAsia="zh-CN"/>
        </w:rPr>
        <w:t>P requirements shall be introduced by HP WIs</w:t>
      </w:r>
      <w:r>
        <w:rPr>
          <w:lang w:val="en-US" w:eastAsia="zh-CN"/>
        </w:rPr>
        <w:t>.</w:t>
      </w:r>
    </w:p>
    <w:p>
      <w:pPr>
        <w:pStyle w:val="48"/>
        <w:numPr>
          <w:ilvl w:val="0"/>
          <w:numId w:val="3"/>
        </w:numPr>
        <w:ind w:left="567" w:hanging="283"/>
        <w:rPr>
          <w:lang w:val="en-US"/>
        </w:rPr>
      </w:pPr>
      <w:r>
        <w:rPr>
          <w:lang w:eastAsia="zh-CN"/>
        </w:rPr>
        <w:t>For each HP configuration, H</w:t>
      </w:r>
      <w:r>
        <w:rPr>
          <w:lang w:val="en-US" w:eastAsia="zh-CN"/>
        </w:rPr>
        <w:t xml:space="preserve">igh </w:t>
      </w:r>
      <w:r>
        <w:rPr>
          <w:lang w:eastAsia="zh-CN"/>
        </w:rPr>
        <w:t>P</w:t>
      </w:r>
      <w:r>
        <w:rPr>
          <w:lang w:val="en-US" w:eastAsia="zh-CN"/>
        </w:rPr>
        <w:t>ower</w:t>
      </w:r>
      <w:r>
        <w:rPr>
          <w:lang w:eastAsia="zh-CN"/>
        </w:rPr>
        <w:t xml:space="preserve"> WI rapporteurs capture the progress of corresponding PC3 configurations in the HP WP</w:t>
      </w:r>
      <w:r>
        <w:rPr>
          <w:lang w:val="en-US" w:eastAsia="zh-CN"/>
        </w:rPr>
        <w:t>.</w:t>
      </w:r>
    </w:p>
    <w:p>
      <w:pPr>
        <w:pStyle w:val="48"/>
        <w:numPr>
          <w:ilvl w:val="0"/>
          <w:numId w:val="3"/>
        </w:numPr>
        <w:ind w:left="567" w:hanging="283"/>
        <w:rPr>
          <w:lang w:val="en-US"/>
        </w:rPr>
      </w:pPr>
      <w:r>
        <w:rPr>
          <w:lang w:eastAsia="zh-CN"/>
        </w:rPr>
        <w:t xml:space="preserve">The HP configuration owner shall provide the </w:t>
      </w:r>
      <w:r>
        <w:rPr>
          <w:lang w:val="en-US" w:eastAsia="zh-CN"/>
        </w:rPr>
        <w:t>completion level</w:t>
      </w:r>
      <w:r>
        <w:rPr>
          <w:lang w:eastAsia="zh-CN"/>
        </w:rPr>
        <w:t xml:space="preserve"> of HP configurations to HP WI rapporteurs after each RAN5 meeting, along with the </w:t>
      </w:r>
      <w:r>
        <w:rPr>
          <w:lang w:val="en-US" w:eastAsia="zh-CN"/>
        </w:rPr>
        <w:t>completion level</w:t>
      </w:r>
      <w:r>
        <w:rPr>
          <w:lang w:eastAsia="zh-CN"/>
        </w:rPr>
        <w:t xml:space="preserve"> of corresponding PC3 configurations to HP WI rapporteurs</w:t>
      </w:r>
      <w:r>
        <w:rPr>
          <w:lang w:val="en-US" w:eastAsia="zh-CN"/>
        </w:rPr>
        <w:t>.</w:t>
      </w:r>
    </w:p>
    <w:p>
      <w:pPr>
        <w:pStyle w:val="48"/>
        <w:numPr>
          <w:ilvl w:val="0"/>
          <w:numId w:val="3"/>
        </w:numPr>
        <w:ind w:left="567" w:hanging="283"/>
        <w:rPr>
          <w:lang w:val="en-US"/>
        </w:rPr>
      </w:pPr>
      <w:r>
        <w:rPr>
          <w:lang w:eastAsia="zh-CN"/>
        </w:rPr>
        <w:t xml:space="preserve">HP configuration can’t be set as 100% until the corresponding PC3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95140707"/>
      <w:bookmarkStart w:id="59" w:name="_Toc2960"/>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r>
        <w:rPr>
          <w:lang w:val="en-US"/>
        </w:rPr>
        <w:t xml:space="preserve">For these 5G NR CADC fallback configurations without “Interested Operator”, as long as they are in the same fallback group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
      <w:pPr>
        <w:pStyle w:val="2"/>
        <w:rPr>
          <w:lang w:val="en-US"/>
        </w:rPr>
      </w:pPr>
      <w:bookmarkStart w:id="60" w:name="_Toc95140708"/>
      <w:bookmarkStart w:id="61" w:name="_Toc679"/>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95140709"/>
      <w:bookmarkStart w:id="64" w:name="_Toc16385"/>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is attached as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includes the following worksheets: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89" w:type="dxa"/>
          </w:tcPr>
          <w:p>
            <w:pPr>
              <w:pStyle w:val="40"/>
            </w:pPr>
            <w:r>
              <w:t>WP &lt;area&gt;</w:t>
            </w:r>
          </w:p>
        </w:tc>
        <w:tc>
          <w:tcPr>
            <w:tcW w:w="6942" w:type="dxa"/>
          </w:tcPr>
          <w:p>
            <w:pPr>
              <w:pStyle w:val="40"/>
            </w:pPr>
            <w:r>
              <w:t>Workplan/checklist for different areas (NR band, NR Band CBW, NR CA, NR-DC, NR SUL, NE-DC and EN-DC)</w:t>
            </w:r>
          </w:p>
        </w:tc>
      </w:tr>
    </w:tbl>
    <w:p>
      <w:pPr>
        <w:pStyle w:val="3"/>
      </w:pPr>
      <w:bookmarkStart w:id="65" w:name="_Toc95140710"/>
      <w:bookmarkStart w:id="66" w:name="_Toc26247"/>
      <w:r>
        <w:t>5.2</w:t>
      </w:r>
      <w:r>
        <w:tab/>
      </w:r>
      <w:r>
        <w:t>Introduction worksheet</w:t>
      </w:r>
      <w:bookmarkEnd w:id="65"/>
      <w:bookmarkEnd w:id="66"/>
      <w:r>
        <w:t xml:space="preserve"> </w:t>
      </w:r>
    </w:p>
    <w:p>
      <w:pPr>
        <w:pStyle w:val="48"/>
        <w:ind w:left="0" w:firstLine="0"/>
      </w:pPr>
      <w:r>
        <w:t xml:space="preserve"> </w:t>
      </w:r>
      <w: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1"/>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95140711"/>
      <w:bookmarkStart w:id="68" w:name="_Toc17387"/>
      <w:r>
        <w:t>5.3</w:t>
      </w:r>
      <w:r>
        <w:tab/>
      </w:r>
      <w:r>
        <w:t>NR bands worksheet</w:t>
      </w:r>
      <w:bookmarkEnd w:id="67"/>
      <w:bookmarkEnd w:id="68"/>
    </w:p>
    <w:p>
      <w:pPr>
        <w:pStyle w:val="41"/>
        <w:jc w:val="left"/>
      </w:pPr>
      <w: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95140712"/>
      <w:bookmarkStart w:id="70" w:name="_Toc13005"/>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NR band/CBW extension. Typically it is the CR to TS 38.508-2 adding the  Physical Layer Baseline Implementation Capabilities for the NR bands/CBW extension in Annex A.5.3.1.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Indicate the company name(s) and the contact name(s) for the company  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3"/>
                    <a:stretch>
                      <a:fillRect/>
                    </a:stretch>
                  </pic:blipFill>
                  <pic:spPr>
                    <a:xfrm>
                      <a:off x="0" y="0"/>
                      <a:ext cx="5476875" cy="685800"/>
                    </a:xfrm>
                    <a:prstGeom prst="rect">
                      <a:avLst/>
                    </a:prstGeom>
                  </pic:spPr>
                </pic:pic>
              </a:graphicData>
            </a:graphic>
          </wp:inline>
        </w:drawing>
      </w:r>
    </w:p>
    <w:p>
      <w:pPr>
        <w:pStyle w:val="4"/>
      </w:pPr>
      <w:bookmarkStart w:id="71" w:name="_Toc95140713"/>
      <w:bookmarkStart w:id="72" w:name="_Toc9000"/>
      <w:r>
        <w:t>5.3.2</w:t>
      </w:r>
      <w:r>
        <w:tab/>
      </w:r>
      <w:r>
        <w:t>Requesting assignment of NR bands and NR band CBW extensions</w:t>
      </w:r>
      <w:bookmarkEnd w:id="71"/>
      <w:bookmarkEnd w:id="72"/>
    </w:p>
    <w:p>
      <w:pPr>
        <w:pStyle w:val="48"/>
        <w:ind w:left="0" w:firstLine="0"/>
      </w:pPr>
      <w:r>
        <w:t>See picture 6.2-1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6.1-2)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6.1-2).</w:t>
      </w:r>
    </w:p>
    <w:p>
      <w:pPr>
        <w:pStyle w:val="48"/>
        <w:ind w:left="1134" w:hanging="850"/>
      </w:pPr>
      <w:r>
        <w:t xml:space="preserve">Step 6: </w:t>
      </w:r>
      <w:r>
        <w:tab/>
      </w:r>
      <w:r>
        <w:t>An email is created including the assignment request (see picture 6.1-3) including an Excel file with the requested configurations (see picture 6.1-4).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6.4.</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r>
        <w:t>Picture 6.2-1: NR band worksheet overview.</w:t>
      </w:r>
    </w:p>
    <w:p>
      <w:pPr>
        <w:pStyle w:val="41"/>
      </w:pPr>
    </w:p>
    <w:p>
      <w:pPr>
        <w:pStyle w:val="41"/>
      </w:pPr>
    </w:p>
    <w:p>
      <w:pPr>
        <w:pStyle w:val="41"/>
      </w:pPr>
      <w: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5"/>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6"/>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Picture 6.2-2: Assignment request form for NR bands and CBW extensions.</w:t>
      </w:r>
    </w:p>
    <w:p>
      <w: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7"/>
                    <a:stretch>
                      <a:fillRect/>
                    </a:stretch>
                  </pic:blipFill>
                  <pic:spPr>
                    <a:xfrm>
                      <a:off x="0" y="0"/>
                      <a:ext cx="6122035" cy="2400300"/>
                    </a:xfrm>
                    <a:prstGeom prst="rect">
                      <a:avLst/>
                    </a:prstGeom>
                    <a:ln>
                      <a:solidFill>
                        <a:schemeClr val="accent1"/>
                      </a:solidFill>
                    </a:ln>
                  </pic:spPr>
                </pic:pic>
              </a:graphicData>
            </a:graphic>
          </wp:inline>
        </w:drawing>
      </w:r>
    </w:p>
    <w:p>
      <w:pPr>
        <w:pStyle w:val="41"/>
      </w:pPr>
      <w:r>
        <w:t>Picture 6.2-3: Example of an assignment request email.</w:t>
      </w:r>
    </w:p>
    <w:p>
      <w:pPr>
        <w:pStyle w:val="41"/>
      </w:pPr>
      <w: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8"/>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Picture 6.2-4: Example of attached EXCEL file attachment for an assignment request of a NR band CBW extension.</w:t>
      </w:r>
    </w:p>
    <w:p>
      <w:pPr>
        <w:pStyle w:val="41"/>
      </w:pPr>
      <w: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9"/>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95140714"/>
      <w:bookmarkStart w:id="74" w:name="_Toc2572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95140715"/>
      <w:bookmarkStart w:id="76" w:name="_Toc19713"/>
      <w:r>
        <w:t>5.4.1</w:t>
      </w:r>
      <w:r>
        <w:tab/>
      </w:r>
      <w:r>
        <w:t>Overview</w:t>
      </w:r>
      <w:bookmarkEnd w:id="75"/>
      <w:bookmarkEnd w:id="76"/>
    </w:p>
    <w:p>
      <w:pPr>
        <w:pStyle w:val="48"/>
        <w:ind w:left="0" w:firstLine="0"/>
      </w:pPr>
      <w:r>
        <w:t xml:space="preserve">Picture 5.4-1 shows a snapshot of the worksheet "5G NR CADC Configurations".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TDOC declaring the completion of the configuration. Typically it is the CR to TS 38.508-2 adding the  Physical Layer Baseline Implementation Capabilities for one or more NR bands, NR band extensions and </w:t>
            </w:r>
            <w:r>
              <w:rPr>
                <w:lang w:val="en-US"/>
              </w:rPr>
              <w:t xml:space="preserve">5G NR </w:t>
            </w:r>
            <w:r>
              <w:t>CA</w:t>
            </w:r>
            <w:r>
              <w:rPr>
                <w:lang w:val="en-US"/>
              </w:rPr>
              <w:t>DC</w:t>
            </w:r>
            <w:r>
              <w:t xml:space="preserve"> configurations in Annex A.4.3.1.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3</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41</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1</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sv-SE"/>
                        </w:rPr>
                      </w:pPr>
                      <w:r>
                        <w:rPr>
                          <w:b/>
                          <w:bCs/>
                          <w:sz w:val="24"/>
                          <w:szCs w:val="24"/>
                          <w:lang w:val="sv-SE"/>
                        </w:rPr>
                        <w:t>2</w:t>
                      </w:r>
                    </w:p>
                  </w:txbxContent>
                </v:textbox>
              </v:shape>
            </w:pict>
          </mc:Fallback>
        </mc:AlternateContent>
      </w:r>
      <w: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requests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5.4.2-2)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3"/>
                    <a:stretch>
                      <a:fillRect/>
                    </a:stretch>
                  </pic:blipFill>
                  <pic:spPr>
                    <a:xfrm>
                      <a:off x="0" y="0"/>
                      <a:ext cx="964660" cy="2728404"/>
                    </a:xfrm>
                    <a:prstGeom prst="rect">
                      <a:avLst/>
                    </a:prstGeom>
                  </pic:spPr>
                </pic:pic>
              </a:graphicData>
            </a:graphic>
          </wp:inline>
        </w:drawing>
      </w:r>
      <w:r>
        <w:t xml:space="preserve">                                                                                                                                     </w:t>
      </w:r>
      <w: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5"/>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6"/>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7"/>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8"/>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95140718"/>
      <w:bookmarkStart w:id="80" w:name="_Toc29735"/>
      <w:bookmarkStart w:id="81" w:name="_Toc12062"/>
      <w:r>
        <w:t>6</w:t>
      </w:r>
      <w:r>
        <w:tab/>
      </w:r>
      <w:r>
        <w:t>Responsible Company guidelines</w:t>
      </w:r>
      <w:bookmarkEnd w:id="79"/>
      <w:bookmarkEnd w:id="80"/>
    </w:p>
    <w:p>
      <w:pPr>
        <w:pStyle w:val="4"/>
      </w:pPr>
      <w:bookmarkStart w:id="82" w:name="_Toc95140719"/>
      <w:bookmarkStart w:id="83" w:name="_Toc17431"/>
      <w:r>
        <w:t>6.1</w:t>
      </w:r>
      <w:r>
        <w:tab/>
      </w:r>
      <w:bookmarkEnd w:id="81"/>
      <w:bookmarkEnd w:id="82"/>
      <w:bookmarkStart w:id="84" w:name="_Toc3646"/>
      <w:bookmarkStart w:id="85" w:name="_Toc95140728"/>
      <w:r>
        <w:t>General</w:t>
      </w:r>
      <w:bookmarkEnd w:id="83"/>
      <w:bookmarkEnd w:id="84"/>
      <w:bookmarkEnd w:id="85"/>
      <w:r>
        <w:t xml:space="preserve"> </w:t>
      </w:r>
    </w:p>
    <w:p>
      <w:r>
        <w:t>The NR band, NR band CBW Extension and 5G NR CADC configuration work plans are used as a guideline and checklist for the assigned responsible company to introduce and document the introduction of the NR bands, NR band CBW Extensions and 5G NR CADC configurations into the relevant RAN5 technical specification</w:t>
      </w:r>
      <w:r>
        <w:rPr>
          <w:lang w:val="en-US"/>
        </w:rPr>
        <w:t>s</w:t>
      </w:r>
      <w:r>
        <w:t xml:space="preserve"> and technical reports. </w:t>
      </w:r>
    </w:p>
    <w:p>
      <w:r>
        <w:t>PRD21 5G NR bands and CADC list includes worksheets with WP/Checklist templates for introducing NR bands, NR CBW extensions and for 5G NR CADC configuration</w:t>
      </w:r>
      <w:r>
        <w:rPr>
          <w:lang w:val="en-US"/>
        </w:rPr>
        <w:t>s</w:t>
      </w:r>
      <w:r>
        <w:t xml:space="preserve">. </w:t>
      </w:r>
    </w:p>
    <w:p>
      <w:r>
        <w:t xml:space="preserve">A WP/Checklist worksheet </w:t>
      </w:r>
      <w:r>
        <w:rPr>
          <w:lang w:val="en-US"/>
        </w:rPr>
        <w:t>is</w:t>
      </w:r>
      <w:r>
        <w:t xml:space="preserve"> also used in the final step to confirm completion of NR bands, NR CBW extensions and 5G NR CADC </w:t>
      </w:r>
      <w:r>
        <w:rPr>
          <w:lang w:val="en-US"/>
        </w:rPr>
        <w:t>c</w:t>
      </w:r>
      <w:r>
        <w:t>onfigurations by attaching the WP/Checklist worksheet to the CR to TS 38.508-2 [17], sub-clause 5.6.4.</w:t>
      </w:r>
    </w:p>
    <w:p>
      <w:r>
        <w:t>A WP/Checklist may include one or more NR bands, NR CBW extensions or 5G NR CADC configurations.</w:t>
      </w:r>
    </w:p>
    <w:p>
      <w:r>
        <w:t>The WP/Checklist has three outline levels:</w:t>
      </w:r>
    </w:p>
    <w:p>
      <w:pPr>
        <w:pStyle w:val="48"/>
      </w:pPr>
      <w:r>
        <w:t>Outline Level 1: Showing overview of recommended work flow steps to introduce the 5G NR CADC configurations</w:t>
      </w:r>
    </w:p>
    <w:p>
      <w:pPr>
        <w:pStyle w:val="48"/>
      </w:pPr>
      <w:r>
        <w:t>Outline Level 2: Showing all WP items under each work flow step.</w:t>
      </w:r>
    </w:p>
    <w:p>
      <w:pPr>
        <w:pStyle w:val="48"/>
      </w:pPr>
      <w:r>
        <w:t>Outline Level 3: Showing all details of the WP (as Outline Level 2 + details of WP scope and overall status).</w:t>
      </w:r>
    </w:p>
    <w:p>
      <w:r>
        <w:t xml:space="preserve">The outline level is selected in the upper left corner of the WP by selecting 1, 2 or 3: </w:t>
      </w:r>
      <w:r>
        <w:br w:type="textWrapping"/>
      </w:r>
    </w:p>
    <w:p>
      <w:r>
        <w:t xml:space="preserve">The WP is structured in the recommended work flow steps to introduce the new NR band(s), NR CBW Extension(s) or 5G NR CADC configuration(s) in RAN5 technical specifications and technical reports. The overall completion and the completion of each work flow step is shown in section 2 of the WP, see Picture </w:t>
      </w:r>
      <w:r>
        <w:rPr>
          <w:lang w:val="en-US"/>
        </w:rPr>
        <w:t>6.1-1</w:t>
      </w:r>
      <w:r>
        <w:t>. The completion status is calculated based on the reported status for each WP item in section 3 of the WP.</w:t>
      </w:r>
    </w:p>
    <w:p>
      <w:pPr>
        <w:pStyle w:val="41"/>
      </w:pPr>
      <w:r>
        <w:t>Picture 6.1-1: WP work flow steps and WP overall status information (NR CA WP).</w:t>
      </w:r>
    </w:p>
    <w:p>
      <w:pPr>
        <w:pStyle w:val="41"/>
      </w:pPr>
      <w:r>
        <w:drawing>
          <wp:inline distT="0" distB="0" distL="0" distR="0">
            <wp:extent cx="6122035" cy="1585595"/>
            <wp:effectExtent l="19050" t="19050" r="12065" b="146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39"/>
                    <a:stretch>
                      <a:fillRect/>
                    </a:stretch>
                  </pic:blipFill>
                  <pic:spPr>
                    <a:xfrm>
                      <a:off x="0" y="0"/>
                      <a:ext cx="6122035" cy="1585595"/>
                    </a:xfrm>
                    <a:prstGeom prst="rect">
                      <a:avLst/>
                    </a:prstGeom>
                    <a:ln>
                      <a:solidFill>
                        <a:schemeClr val="accent1"/>
                      </a:solidFill>
                    </a:ln>
                  </pic:spPr>
                </pic:pic>
              </a:graphicData>
            </a:graphic>
          </wp:inline>
        </w:drawing>
      </w:r>
    </w:p>
    <w:p>
      <w:pPr>
        <w:pStyle w:val="41"/>
      </w:pPr>
    </w:p>
    <w:p>
      <w:r>
        <w:t>For each work flow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 flow step and its WP item rows (NR CA WP).</w:t>
      </w:r>
    </w:p>
    <w:p>
      <w:pPr>
        <w:jc w:val="center"/>
      </w:pPr>
      <w: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40"/>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pPr>
      <w:bookmarkStart w:id="86" w:name="_Toc5039"/>
      <w:bookmarkStart w:id="87" w:name="_Toc966"/>
      <w:r>
        <w:rPr>
          <w:lang w:val="en-US"/>
        </w:rPr>
        <w:t>6.2</w:t>
      </w:r>
      <w:r>
        <w:tab/>
      </w:r>
      <w:r>
        <w:t>Creating a WP/Checklist</w:t>
      </w:r>
      <w:bookmarkEnd w:id="86"/>
    </w:p>
    <w:p>
      <w:r>
        <w:t>To create a WP/Checklist do:</w:t>
      </w:r>
    </w:p>
    <w:p>
      <w:pPr>
        <w:pStyle w:val="48"/>
      </w:pPr>
      <w:r>
        <w:t>1.</w:t>
      </w:r>
      <w:r>
        <w:tab/>
      </w:r>
      <w:r>
        <w:t>With the cursor on the tab of type of WP/checklist to create (NR band, NR CBW, NR CA, NR-DC, NR SUL, NE-DC  or EN-DC) right-click and select “Move or Copy”, see Picture 6.2-1.</w:t>
      </w:r>
    </w:p>
    <w:p>
      <w:pPr>
        <w:pStyle w:val="48"/>
      </w:pPr>
      <w:r>
        <w:t>2.</w:t>
      </w:r>
      <w:r>
        <w:tab/>
      </w:r>
      <w:r>
        <w:t>In the pop-up window “Move or Copy” select “(new book)” in the “To book” drop down box and select the tick box “Create a copy”, see Picture 6.2-2</w:t>
      </w:r>
    </w:p>
    <w:p>
      <w:pPr>
        <w:pStyle w:val="48"/>
      </w:pPr>
      <w:r>
        <w:t>3.</w:t>
      </w:r>
      <w:r>
        <w:tab/>
      </w:r>
      <w:r>
        <w:t>A copy of the selected WP worksheet is copied into a new workbook. Save and name the workbook.</w:t>
      </w:r>
    </w:p>
    <w:p>
      <w:pPr>
        <w:pStyle w:val="48"/>
      </w:pPr>
      <w:r>
        <w:t>3.</w:t>
      </w:r>
      <w:r>
        <w:tab/>
      </w:r>
      <w:r>
        <w:t>Fill in the WP/Checklist header information and scope information, see Picture 6.2-3.</w:t>
      </w:r>
    </w:p>
    <w:p>
      <w:pPr>
        <w:pStyle w:val="48"/>
      </w:pPr>
      <w:r>
        <w:t>4.</w:t>
      </w:r>
      <w:r>
        <w:tab/>
      </w:r>
      <w:r>
        <w:t>Save the workplan.</w:t>
      </w:r>
    </w:p>
    <w:p>
      <w:pPr>
        <w:pStyle w:val="48"/>
      </w:pPr>
      <w:r>
        <w:t>5.</w:t>
      </w:r>
      <w:r>
        <w:tab/>
      </w:r>
      <w:r>
        <w:t xml:space="preserve">The work plan is ready for use. See sub-clause 6.3. </w:t>
      </w:r>
    </w:p>
    <w:p>
      <w:pPr>
        <w:pStyle w:val="48"/>
      </w:pPr>
    </w:p>
    <w:p>
      <w:pPr>
        <w:pStyle w:val="41"/>
      </w:pPr>
      <w:r>
        <w:t>Picture 6.2-1: Create WP step 1: Right-click with cursor on the WP tab and select “Move or Copy”</w:t>
      </w:r>
    </w:p>
    <w:p>
      <w:pPr>
        <w:pStyle w:val="48"/>
        <w:jc w:val="center"/>
      </w:pPr>
      <w:r>
        <w:drawing>
          <wp:inline distT="0" distB="0" distL="0" distR="0">
            <wp:extent cx="3495675" cy="33528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41"/>
                    <a:stretch>
                      <a:fillRect/>
                    </a:stretch>
                  </pic:blipFill>
                  <pic:spPr>
                    <a:xfrm>
                      <a:off x="0" y="0"/>
                      <a:ext cx="3495675" cy="3352800"/>
                    </a:xfrm>
                    <a:prstGeom prst="rect">
                      <a:avLst/>
                    </a:prstGeom>
                  </pic:spPr>
                </pic:pic>
              </a:graphicData>
            </a:graphic>
          </wp:inline>
        </w:drawing>
      </w:r>
    </w:p>
    <w:p>
      <w:pPr>
        <w:pStyle w:val="41"/>
      </w:pPr>
      <w:r>
        <w:t>Picture 6</w:t>
      </w:r>
      <w:r>
        <w:rPr>
          <w:lang w:val="en-US"/>
        </w:rPr>
        <w:t>.2</w:t>
      </w:r>
      <w:r>
        <w:t>-2: Create WP step 2: Select copy to “(new book)” and “Create a copy”</w:t>
      </w:r>
    </w:p>
    <w:p>
      <w:pPr>
        <w:pStyle w:val="41"/>
      </w:pPr>
      <w:r>
        <w:drawing>
          <wp:inline distT="0" distB="0" distL="0" distR="0">
            <wp:extent cx="4905375" cy="2924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2"/>
                    <a:stretch>
                      <a:fillRect/>
                    </a:stretch>
                  </pic:blipFill>
                  <pic:spPr>
                    <a:xfrm>
                      <a:off x="0" y="0"/>
                      <a:ext cx="4905375" cy="2924175"/>
                    </a:xfrm>
                    <a:prstGeom prst="rect">
                      <a:avLst/>
                    </a:prstGeom>
                  </pic:spPr>
                </pic:pic>
              </a:graphicData>
            </a:graphic>
          </wp:inline>
        </w:drawing>
      </w:r>
    </w:p>
    <w:p>
      <w:pPr>
        <w:pStyle w:val="41"/>
      </w:pPr>
    </w:p>
    <w:p>
      <w:pPr>
        <w:pStyle w:val="41"/>
      </w:pPr>
      <w:r>
        <w:t>Picture 6</w:t>
      </w:r>
      <w:r>
        <w:rPr>
          <w:lang w:val="en-US"/>
        </w:rPr>
        <w:t>.2</w:t>
      </w:r>
      <w:r>
        <w:t>-</w:t>
      </w:r>
      <w:r>
        <w:rPr>
          <w:lang w:val="en-US"/>
        </w:rPr>
        <w:t>3</w:t>
      </w:r>
      <w:r>
        <w:t>: WP/Checklist header and scope fields. Below example for CA_n78A-n258A with and without UL CA_n78A_n258A</w:t>
      </w:r>
    </w:p>
    <w:p>
      <w:pPr>
        <w:jc w:val="center"/>
      </w:pPr>
      <w:r>
        <mc:AlternateContent>
          <mc:Choice Requires="wps">
            <w:drawing>
              <wp:anchor distT="0" distB="0" distL="114300" distR="114300" simplePos="0" relativeHeight="251685888" behindDoc="0" locked="0" layoutInCell="1" allowOverlap="1">
                <wp:simplePos x="0" y="0"/>
                <wp:positionH relativeFrom="column">
                  <wp:posOffset>3832860</wp:posOffset>
                </wp:positionH>
                <wp:positionV relativeFrom="paragraph">
                  <wp:posOffset>499110</wp:posOffset>
                </wp:positionV>
                <wp:extent cx="45720" cy="571500"/>
                <wp:effectExtent l="19050" t="19050" r="31115" b="19050"/>
                <wp:wrapNone/>
                <wp:docPr id="113" name="Right Brace 113"/>
                <wp:cNvGraphicFramePr/>
                <a:graphic xmlns:a="http://schemas.openxmlformats.org/drawingml/2006/main">
                  <a:graphicData uri="http://schemas.microsoft.com/office/word/2010/wordprocessingShape">
                    <wps:wsp>
                      <wps:cNvSpPr/>
                      <wps:spPr>
                        <a:xfrm>
                          <a:off x="0" y="0"/>
                          <a:ext cx="45719" cy="57150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3" o:spid="_x0000_s1026" o:spt="88" type="#_x0000_t88" style="position:absolute;left:0pt;margin-left:301.8pt;margin-top:39.3pt;height:45pt;width:3.6pt;z-index:251685888;v-text-anchor:middle;mso-width-relative:page;mso-height-relative:page;" filled="f" stroked="t" coordsize="21600,21600" o:gfxdata="UEsDBAoAAAAAAIdO4kAAAAAAAAAAAAAAAAAEAAAAZHJzL1BLAwQUAAAACACHTuJAQJ+WBdUAAAAK&#10;AQAADwAAAGRycy9kb3ducmV2LnhtbE2PwU7DMBBE70j9B2uRuFE7VApRiFOpRRxBUPgAN97GUe11&#10;FLtJ+XuWE5xWu/M0O9Nsr8GLGac0RNJQrBUIpC7agXoNX58v9xWIlA1Z4yOhhm9MsG1XN42pbVzo&#10;A+dD7gWbUKqNBpfzWEuZOofBpHUckVg7xSmYzOvUSzuZhc2Dlw9KlTKYgfiDMyPuHXbnwyVoOC8b&#10;R918erOvz+9+Hqtd9Gqn9d1toZ5AZLzmPxh+43N0aDnTMV7IJuE1lGpTMqrhseLJQFko7nJksuSL&#10;bBv5v0L7A1BLAwQUAAAACACHTuJAjNW98HQCAAD6BAAADgAAAGRycy9lMm9Eb2MueG1srVRNb9sw&#10;DL0P2H8QdF+dZM3SBnWKrEGGAd1aLBt2VmTZFqCvSUqc7tf3SXbTrNuhh11sUqQeyUdSV9cHrche&#10;+CCtKen4bESJMNxW0jQl/fF9/e6CkhCZqZiyRpT0QQR6vXj75qpzczGxrVWV8AQgJsw7V9I2Rjcv&#10;isBboVk4s04YGGvrNYtQfVNUnnVA16qYjEYfis76ynnLRQg4XfVGOiD61wDaupZcrCzfaWFij+qF&#10;YhElhVa6QBc527oWPN7VdRCRqJKi0pi/CAJ5m77F4orNG89cK/mQAntNCi9q0kwaBD1CrVhkZOfl&#10;X1Bacm+DreMZt7roC8mMoIrx6AU3m5Y5kWsB1cEdSQ//D5Z/3d97IitMwvg9JYZptPybbNpIPnrG&#10;BUnHIKlzYQ7fjbv3gxYgpooPtdfpj1rIIRP7cCRWHCLhODyfzsaXlHBYIE1Hmffi+a7zIX4SVpMk&#10;lNSn+Dl85pTtb0NEVFx4ckwBjV1LpXIDlSFdSScX09kUURimssY0QNQOlQXTUMJUg3Hn0WfIYJWs&#10;0vUEFHyzvVGe7BmGZLKeTi9n2Unt9Bdb9cczJP2U9eCfE/oDKGW3YqHtr2RTP2BaRuyMkrqkF8A5&#10;IikDkERtT2aStrZ6QEe87Uc1OL6WgL1lId4zj9nE5GJ74x0+tbIo2w4SJa31v/91nvwxMrBS0mHW&#10;QcmvHfOCEvXZYJgux+fnaTmygl5NoPhTy/bUYnb6xoKpMd4Jx7OY/KN6Emtv9U8s+TJFhYkZjtg9&#10;+YNyE/sdxDPBxXKZ3bAQjsVbs3E8gfctXu6irWXu/jM7A2lYidyDYX3Tzp3q2ev5yVo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flgXVAAAACgEAAA8AAAAAAAAAAQAgAAAAIgAAAGRycy9kb3du&#10;cmV2LnhtbFBLAQIUABQAAAAIAIdO4kCM1b3wdAIAAPoEAAAOAAAAAAAAAAEAIAAAACQBAABkcnMv&#10;ZTJvRG9jLnhtbFBLBQYAAAAABgAGAFkBAAAKBgAAAAA=&#10;" adj="143,10800">
                <v:fill on="f" focussize="0,0"/>
                <v:stroke weight="2.25pt" color="#2F5597 [2404]" miterlimit="8" joinstyle="miter"/>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3795395</wp:posOffset>
                </wp:positionH>
                <wp:positionV relativeFrom="paragraph">
                  <wp:posOffset>1214755</wp:posOffset>
                </wp:positionV>
                <wp:extent cx="95250" cy="438150"/>
                <wp:effectExtent l="0" t="19050" r="38100" b="19050"/>
                <wp:wrapNone/>
                <wp:docPr id="115" name="Right Brace 115"/>
                <wp:cNvGraphicFramePr/>
                <a:graphic xmlns:a="http://schemas.openxmlformats.org/drawingml/2006/main">
                  <a:graphicData uri="http://schemas.microsoft.com/office/word/2010/wordprocessingShape">
                    <wps:wsp>
                      <wps:cNvSpPr/>
                      <wps:spPr>
                        <a:xfrm>
                          <a:off x="0" y="0"/>
                          <a:ext cx="95250" cy="43815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5" o:spid="_x0000_s1026" o:spt="88" type="#_x0000_t88" style="position:absolute;left:0pt;margin-left:298.85pt;margin-top:95.65pt;height:34.5pt;width:7.5pt;z-index:251687936;v-text-anchor:middle;mso-width-relative:page;mso-height-relative:page;" filled="f" stroked="t" coordsize="21600,21600" o:gfxdata="UEsDBAoAAAAAAIdO4kAAAAAAAAAAAAAAAAAEAAAAZHJzL1BLAwQUAAAACACHTuJAB1fJv9oAAAAL&#10;AQAADwAAAGRycy9kb3ducmV2LnhtbE2Py07DMBBF90j8gzVI3VEnKSRNiFOhSN1UINSWD5jYxomI&#10;7Sh2H/w9w4ouZ+7RnTP15mpHdtZzGLwTkC4TYNpJrwZnBHwet49rYCGiUzh6pwX86ACb5v6uxkr5&#10;i9vr8yEaRiUuVCigj3GqOA+y1xbD0k/aUfblZ4uRxtlwNeOFyu3IsyTJucXB0YUeJ932Wn4fTlaA&#10;3L2tVSfjx9OxbYvS7F7fcW+EWDykyQuwqK/xH4Y/fVKHhpw6f3IqsFHAc1kUhFJQpitgRORpRptO&#10;QJYnK+BNzW9/aH4BUEsDBBQAAAAIAIdO4kA61dtwdQIAAPoEAAAOAAAAZHJzL2Uyb0RvYy54bWyt&#10;VE1vEzEQvSPxHyzf6SYhS9Komyo0CkIqtKIgzo7Xu2vJX9jOR/n1ffZu01I49MBld8YzfuP3POOL&#10;y6NWZC98kNZUdHw2okQYbmtp2or++L55N6ckRGZqpqwRFb0XgV4u3765OLiFmNjOqlp4AhATFgdX&#10;0S5GtyiKwDuhWTizThgEG+s1i3B9W9SeHYCuVTEZjT4UB+tr5y0XIWB13QfpgOhfA2ibRnKxtnyn&#10;hYk9qheKRVAKnXSBLvNpm0bweNM0QUSiKgqmMX9RBPY2fYvlBVu0nrlO8uEI7DVHeMFJM2lQ9AS1&#10;ZpGRnZd/QWnJvQ22iWfc6qInkhUBi/HohTZ3HXMic4HUwZ1ED/8Pln/d33oia3TCuKTEMI0r/ybb&#10;LpKPnnFB0jJEOriwQO6du/WDF2AmxsfG6/QHF3LMwt6fhBXHSDgWz8tJCcU5ItP38zFsgBRPe50P&#10;8ZOwmiSjoj7Vz+Wzpmx/HWK/4TExFTR2I5XCOlsoQw4VnczLGThwhq5s0A0wtQOzYFpKmGrR7jz6&#10;DBmsknXannYH326vlCd7hiaZbMryfJaT1E5/sXW/PCtHo8dTD/mZwR9A6XRrFrp+Sw71DaZlxMwo&#10;qSs6B84JSRmAJGl7MZO1tfU9bsTbvlWD4xsJ2GsW4i3z6E3oiOmNN/g0yoK2HSxKOut//2s95aNl&#10;EKXkgF6HJL92zAtK1GeDZjofT6dpOLIzLWcTOP55ZPs8Ynb6ykKpMd4Jx7OZ8qN6NBtv9U8M+SpV&#10;RYgZjtq9+INzFfsZxDPBxWqV0zAQjsVrc+d4Au+veLWLtpH59p/UGUTDSOQ7GMY3zdxzP2c9PV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dXyb/aAAAACwEAAA8AAAAAAAAAAQAgAAAAIgAAAGRy&#10;cy9kb3ducmV2LnhtbFBLAQIUABQAAAAIAIdO4kA61dtwdQIAAPoEAAAOAAAAAAAAAAEAIAAAACkB&#10;AABkcnMvZTJvRG9jLnhtbFBLBQYAAAAABgAGAFkBAAAQBgAAAAA=&#10;" adj="391,10800">
                <v:fill on="f" focussize="0,0"/>
                <v:stroke weight="2.25pt" color="#2F5597 [2404]" miterlimit="8" joinstyle="miter"/>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3995420</wp:posOffset>
                </wp:positionH>
                <wp:positionV relativeFrom="paragraph">
                  <wp:posOffset>1337310</wp:posOffset>
                </wp:positionV>
                <wp:extent cx="1085850" cy="228600"/>
                <wp:effectExtent l="38100" t="38100" r="114300" b="114300"/>
                <wp:wrapNone/>
                <wp:docPr id="114" name="Text Box 114"/>
                <wp:cNvGraphicFramePr/>
                <a:graphic xmlns:a="http://schemas.openxmlformats.org/drawingml/2006/main">
                  <a:graphicData uri="http://schemas.microsoft.com/office/word/2010/wordprocessingShape">
                    <wps:wsp>
                      <wps:cNvSpPr txBox="1"/>
                      <wps:spPr>
                        <a:xfrm>
                          <a:off x="0" y="0"/>
                          <a:ext cx="1085850" cy="228600"/>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scope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4" o:spid="_x0000_s1026" o:spt="202" type="#_x0000_t202" style="position:absolute;left:0pt;margin-left:314.6pt;margin-top:105.3pt;height:18pt;width:85.5pt;z-index:251686912;mso-width-relative:page;mso-height-relative:page;" fillcolor="#FFFFFF [3201]" filled="t" stroked="t" coordsize="21600,21600" o:gfxdata="UEsDBAoAAAAAAIdO4kAAAAAAAAAAAAAAAAAEAAAAZHJzL1BLAwQUAAAACACHTuJAJYL/J9cAAAAL&#10;AQAADwAAAGRycy9kb3ducmV2LnhtbE2PPU/EMAyGdyT+Q2QkNi5phapeaXoDiAkxcHzcmjamrWic&#10;Kknvjv56zASjXz96/bjend0kjhji6ElDtlEgkDpvR+o1vL0+3pQgYjJkzeQJNXxjhF1zeVGbyvoT&#10;veBxn3rBJRQro2FIaa6kjN2AzsSNn5F49+mDM4nH0EsbzInL3SRzpQrpzEh8YTAz3g/Yfe0Xp6FF&#10;Wp/fXRjXQ/u07cuPdTmEB62vrzJ1ByLhOf3B8KvP6tCwU+sXslFMGop8mzOqIc9UAYKJUilOWk5u&#10;iwJkU8v/PzQ/UEsDBBQAAAAIAIdO4kBxO6KerwIAAJMFAAAOAAAAZHJzL2Uyb0RvYy54bWytVFFv&#10;2jAQfp+0/2D5fU3IoFBUqFgrpkndWo1OfTaOQ6w5tmc7hO7X77MDlHXT1IfxEO585+/uvjvf5dWu&#10;UWQrnJdGz+jgLKdEaG5KqTcz+u1h+W5CiQ9Ml0wZLWb0SXh6NX/75rKzU1GY2qhSOAIQ7aedndE6&#10;BDvNMs9r0TB/ZqzQMFbGNSxAdZusdKwDeqOyIs/Ps8640jrDhfc4vemNdI/oXgNoqkpycWN42wgd&#10;elQnFAsoydfSejpP2VaV4OGuqrwIRM0oKg3piyCQ1/GbzS/ZdOOYrSXfp8Bek8KLmhomNYIeoW5Y&#10;YKR18g+oRnJnvKnCGTdN1heSGEEVg/wFN6uaWZFqAdXeHkn3/w+Wf9neOyJLTMJgSIlmDVr+IHaB&#10;fDA7Es/AUGf9FI4rC9ewgwHeh3OPw1j4rnJN/EdJBHbw+3TkN8LxeCmfjCYjmDhsRTE5z1MDsufb&#10;1vnwUZiGRGFGHfqXaGXbWx+QCVwPLjGYN0qWS6lUUtxmfa0c2TL0epl+MUlc+c1NadIhlWKM4P/G&#10;KJaj0cU4Oam2+WzKHno8yo95+z7myyiIqXQEF2kEkXtUTBuEW9VlR9aqdV8ZSB/lE2CRUsZq308G&#10;vYL5jOnFMISpDZ5pUJQ4Ex5lqNNQRGojZCTjWPNaMf69p0vZmvXZDhPMM3XwTtkek0naSZ5Z7Hbf&#10;1SiF3Xq3H4G1KZ8wAcgj9ddbvpSIf8t8uGcOzwbpYrGEO3wqZcCy2UuU1Mb9/Nt59Mc0w0pJh2c4&#10;o/5Hy5ygRH3SmPOLwXAI2JCU4WhcQHGnlvWpRbfNtUH3B1hhlicx+gd1ECtnmkfsn0WMChPTHLHB&#10;70G8Dv1ywP7iYrFITniploVbvbI8QkfetVm0wVQyzWSkqecGXEYFbzWxut8rcRmc6snreZf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lgv8n1wAAAAsBAAAPAAAAAAAAAAEAIAAAACIAAABkcnMv&#10;ZG93bnJldi54bWxQSwECFAAUAAAACACHTuJAcTuinq8CAACTBQAADgAAAAAAAAABACAAAAAmAQAA&#10;ZHJzL2Uyb0RvYy54bWxQSwUGAAAAAAYABgBZAQAARwY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scope fields</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4004945</wp:posOffset>
                </wp:positionH>
                <wp:positionV relativeFrom="paragraph">
                  <wp:posOffset>661035</wp:posOffset>
                </wp:positionV>
                <wp:extent cx="1085850" cy="200025"/>
                <wp:effectExtent l="38100" t="38100" r="76200" b="123825"/>
                <wp:wrapNone/>
                <wp:docPr id="112" name="Text Box 112"/>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header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2" o:spid="_x0000_s1026" o:spt="202" type="#_x0000_t202" style="position:absolute;left:0pt;margin-left:315.35pt;margin-top:52.05pt;height:15.75pt;width:85.5pt;z-index:251684864;mso-width-relative:page;mso-height-relative:page;" fillcolor="#FFFFFF [3201]" filled="t" stroked="t" coordsize="21600,21600" o:gfxdata="UEsDBAoAAAAAAIdO4kAAAAAAAAAAAAAAAAAEAAAAZHJzL1BLAwQUAAAACACHTuJAglhnRdcAAAAL&#10;AQAADwAAAGRycy9kb3ducmV2LnhtbE2PvU7EMBCEeyTewVokOs4OByGEOFeAqBAFx8+1TrwkEfE6&#10;sp27I0/PUkG5M59mZ6rN0Y1ijyEOnjRkKwUCqfV2oE7D2+vjRQEiJkPWjJ5QwzdG2NSnJ5UprT/Q&#10;C+63qRMcQrE0GvqUplLK2PboTFz5CYm9Tx+cSXyGTtpgDhzuRnmpVC6dGYg/9GbC+x7br+3sNDRI&#10;y/O7C8Oya55uu+JjmXfhQevzs0zdgUh4TH8w/Nbn6lBzp8bPZKMYNeRrdcMoG+oqA8FEoTJWGlbW&#10;1znIupL/N9Q/UEsDBBQAAAAIAIdO4kCjZCTWsQIAAJMFAAAOAAAAZHJzL2Uyb0RvYy54bWytVMFu&#10;2zAMvQ/YPwi6r3ayeEmDJkXWIsOAbi2WDj0rshwLkyVNkuO0X78nOUnTboceloNCivQj+Ujx4nLX&#10;KLIVzkujZ3RwllMiNDel1JsZ/Xm//DChxAemS6aMFjP6KDy9nL9/d9HZqRia2qhSOAIQ7aedndE6&#10;BDvNMs9r0TB/ZqzQMFbGNSxAdZusdKwDeqOyYZ5/yjrjSusMF97j9ro30j2iewugqSrJxbXhbSN0&#10;6FGdUCygJF9L6+k8ZVtVgofbqvIiEDWjqDSkE0Egr+OZzS/YdOOYrSXfp8DeksKrmhomNYIeoa5Z&#10;YKR18i+oRnJnvKnCGTdN1heSGEEVg/wVN6uaWZFqAdXeHkn3/w+Wf9/eOSJLTMJgSIlmDVp+L3aB&#10;fDY7Eu/AUGf9FI4rC9ewgwHeh3uPy1j4rnJN/EdJBHbw+3jkN8Lx+FE+KSYFTBw2zEI+LCJM9vy1&#10;dT58EaYhUZhRh/4lWtn2xofe9eASg3mjZLmUSiXFbdZXypEtQ6+X6bdHf+GmNOmQynCc5wn6hdGf&#10;YgyXRXE+Tk6qbb6ZsoceF8j8gNz7pxpOgFCR0jEnkUYQuSdq2iDcqi47slat+8FAepFPgEVKGav9&#10;OBn0CuYzphfDEKY2eKZBUeJMeJChTkMRqY2QkYxjzWvF+K+eLmVr1mc7SjDP1ME7ZWsOySTtJM8s&#10;drvvapTCbr3bj8DalI+YAOSR+ustX0rEv2E+3DGHZ4N0sVjCLY5KGbBs9hIltXFP/7qP/phmWCnp&#10;8Axn1P9umROUqK8ac34+GI0AG5IyKsZDKO7Usj616La5Muj+ACvM8iRG/6AOYuVM84D9s4hRYWKa&#10;Izb4PYhXoV8O2F9cLBbJCS/VsnCjV5ZH6Mi7Nos2mEqmmYw09dyAy6jgrSZW93slLoNTPXk979L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JYZ0XXAAAACwEAAA8AAAAAAAAAAQAgAAAAIgAAAGRy&#10;cy9kb3ducmV2LnhtbFBLAQIUABQAAAAIAIdO4kCjZCTWsQIAAJMFAAAOAAAAAAAAAAEAIAAAACYB&#10;AABkcnMvZTJvRG9jLnhtbFBLBQYAAAAABgAGAFkBAABJBg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header fields</w:t>
                      </w:r>
                    </w:p>
                  </w:txbxContent>
                </v:textbox>
              </v:shape>
            </w:pict>
          </mc:Fallback>
        </mc:AlternateContent>
      </w:r>
      <w:r>
        <w:drawing>
          <wp:inline distT="0" distB="0" distL="0" distR="0">
            <wp:extent cx="6122035" cy="164909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43"/>
                    <a:stretch>
                      <a:fillRect/>
                    </a:stretch>
                  </pic:blipFill>
                  <pic:spPr>
                    <a:xfrm>
                      <a:off x="0" y="0"/>
                      <a:ext cx="6122035" cy="1649095"/>
                    </a:xfrm>
                    <a:prstGeom prst="rect">
                      <a:avLst/>
                    </a:prstGeom>
                  </pic:spPr>
                </pic:pic>
              </a:graphicData>
            </a:graphic>
          </wp:inline>
        </w:drawing>
      </w:r>
    </w:p>
    <w:p>
      <w:pPr>
        <w:pStyle w:val="48"/>
      </w:pPr>
    </w:p>
    <w:p>
      <w:pPr>
        <w:pStyle w:val="3"/>
      </w:pPr>
      <w:bookmarkStart w:id="88" w:name="_Toc95140729"/>
      <w:bookmarkStart w:id="89" w:name="_Toc1698"/>
      <w:r>
        <w:rPr>
          <w:lang w:val="en-US"/>
        </w:rPr>
        <w:t>6.3</w:t>
      </w:r>
      <w:r>
        <w:tab/>
      </w:r>
      <w:r>
        <w:t>Maintaining the WP</w:t>
      </w:r>
      <w:bookmarkEnd w:id="87"/>
      <w:bookmarkEnd w:id="88"/>
      <w:bookmarkEnd w:id="89"/>
      <w:r>
        <w:t xml:space="preserve"> </w:t>
      </w:r>
    </w:p>
    <w:p>
      <w:r>
        <w:t>The columns marked as "WP item columns to be filled in" shall be filled in showing what have been done to complete the WP items. The purpose of the different columns are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 for the case no changes were needed for the WP item then it is useful to add a comment "No changes needed" as justification for setting the WP item as completed (100%).</w:t>
      </w:r>
    </w:p>
    <w:p>
      <w:pPr>
        <w:pStyle w:val="48"/>
        <w:sectPr>
          <w:headerReference r:id="rId16" w:type="default"/>
          <w:footerReference r:id="rId17" w:type="default"/>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WP item status columns is used to state the current status (0% to 100%) for the different areas covered by the status columns.</w:t>
      </w:r>
    </w:p>
    <w:p>
      <w:pPr>
        <w:pStyle w:val="48"/>
      </w:pPr>
    </w:p>
    <w:p>
      <w:pPr>
        <w:pStyle w:val="41"/>
      </w:pPr>
      <w:r>
        <w:t>Picture 6.3-1: Example: WP overall status and WP item columns</w:t>
      </w:r>
    </w:p>
    <w:p>
      <w:pPr>
        <w:pStyle w:val="48"/>
      </w:pPr>
      <w:r>
        <w:drawing>
          <wp:inline distT="0" distB="0" distL="0" distR="0">
            <wp:extent cx="9074785" cy="380365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44"/>
                    <a:stretch>
                      <a:fillRect/>
                    </a:stretch>
                  </pic:blipFill>
                  <pic:spPr>
                    <a:xfrm>
                      <a:off x="0" y="0"/>
                      <a:ext cx="9074785" cy="3803650"/>
                    </a:xfrm>
                    <a:prstGeom prst="rect">
                      <a:avLst/>
                    </a:prstGeom>
                  </pic:spPr>
                </pic:pic>
              </a:graphicData>
            </a:graphic>
          </wp:inline>
        </w:drawing>
      </w:r>
    </w:p>
    <w:p>
      <w:pPr>
        <w:pStyle w:val="4"/>
        <w:rPr>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90" w:name="_Toc19370"/>
    </w:p>
    <w:bookmarkEnd w:id="90"/>
    <w:p>
      <w:pPr>
        <w:pStyle w:val="3"/>
        <w:rPr>
          <w:lang w:val="en-US"/>
        </w:rPr>
      </w:pPr>
      <w:bookmarkStart w:id="91" w:name="_Toc14032"/>
      <w:bookmarkStart w:id="92" w:name="_Toc95140730"/>
      <w:bookmarkStart w:id="93" w:name="_Toc26825"/>
      <w:r>
        <w:rPr>
          <w:lang w:val="en-US"/>
        </w:rPr>
        <w:t>6.4</w:t>
      </w:r>
      <w:r>
        <w:rPr>
          <w:lang w:val="en-US"/>
        </w:rPr>
        <w:tab/>
      </w:r>
      <w:r>
        <w:rPr>
          <w:lang w:val="en-US"/>
        </w:rPr>
        <w:t>Reporting a NR bands, NR band CBW extensions and 5G NR CADC configuration as completed</w:t>
      </w:r>
      <w:bookmarkEnd w:id="91"/>
      <w:bookmarkEnd w:id="92"/>
      <w:bookmarkEnd w:id="93"/>
    </w:p>
    <w:p>
      <w:pPr>
        <w:rPr>
          <w:lang w:val="en-US"/>
        </w:rPr>
      </w:pPr>
      <w:r>
        <w:t>The final work flow step in the WP, step 4, covers the actions to declare that a NR band, NR band extension or 5G NR CADC configuration is completed by RAN5 specifications.</w:t>
      </w:r>
      <w:r>
        <w:rPr>
          <w:lang w:val="en-US"/>
        </w:rPr>
        <w:t xml:space="preserve"> </w:t>
      </w:r>
    </w:p>
    <w:p>
      <w:r>
        <w:rPr>
          <w:lang w:val="en-US"/>
        </w:rPr>
        <w:t>A</w:t>
      </w:r>
      <w:r>
        <w:t>ll</w:t>
      </w:r>
      <w:r>
        <w:rPr>
          <w:lang w:val="en-US"/>
        </w:rPr>
        <w:t xml:space="preserve"> the</w:t>
      </w:r>
      <w:r>
        <w:t xml:space="preserve"> involved ba</w:t>
      </w:r>
      <w:r>
        <w:rPr>
          <w:lang w:val="en-US"/>
        </w:rPr>
        <w:t>n</w:t>
      </w:r>
      <w:r>
        <w:t xml:space="preserve">ds in a </w:t>
      </w:r>
      <w:r>
        <w:rPr>
          <w:lang w:val="en-US"/>
        </w:rPr>
        <w:t xml:space="preserve">5G NR CADC </w:t>
      </w:r>
      <w:r>
        <w:t>configuration</w:t>
      </w:r>
      <w:r>
        <w:rPr>
          <w:lang w:val="en-US"/>
        </w:rPr>
        <w:t xml:space="preserve"> shall be confirmed as</w:t>
      </w:r>
      <w:r>
        <w:t xml:space="preserve"> completed before th</w:t>
      </w:r>
      <w:r>
        <w:rPr>
          <w:lang w:val="en-US"/>
        </w:rPr>
        <w:t>e</w:t>
      </w:r>
      <w:r>
        <w:t xml:space="preserve"> NR band, NR band extension or </w:t>
      </w:r>
      <w:r>
        <w:rPr>
          <w:lang w:val="en-US"/>
        </w:rPr>
        <w:t xml:space="preserve">5G NR CADC </w:t>
      </w:r>
      <w:r>
        <w:t xml:space="preserve">configuration can be considered </w:t>
      </w:r>
      <w:r>
        <w:rPr>
          <w:lang w:val="en-US"/>
        </w:rPr>
        <w:t xml:space="preserve">as </w:t>
      </w:r>
      <w:r>
        <w:t>completed</w:t>
      </w:r>
      <w:r>
        <w:rPr>
          <w:lang w:val="en-US"/>
        </w:rPr>
        <w: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t>
      </w:r>
      <w:r>
        <w:t xml:space="preserve">Picture </w:t>
      </w:r>
      <w:r>
        <w:rPr>
          <w:lang w:val="en-US"/>
        </w:rPr>
        <w:t>6</w:t>
      </w:r>
      <w:r>
        <w:t>.</w:t>
      </w:r>
      <w:r>
        <w:rPr>
          <w:lang w:val="en-US"/>
        </w:rPr>
        <w:t>1</w:t>
      </w:r>
      <w:r>
        <w:t>-1</w:t>
      </w:r>
      <w:r>
        <w:rPr>
          <w:lang w:val="en-US"/>
        </w:rPr>
        <w:t xml:space="preserve"> ),</w:t>
      </w:r>
    </w:p>
    <w:p>
      <w:r>
        <w:t xml:space="preserve">The configuration completion declaration is done by a CR to TS 38.508-2 [17] adding the  Physical Layer Baseline Implementation Capabilities for one or more NR bands, NR band extensions and </w:t>
      </w:r>
      <w:r>
        <w:rPr>
          <w:lang w:val="en-US"/>
        </w:rPr>
        <w:t xml:space="preserve">5G NR </w:t>
      </w:r>
      <w:r>
        <w:t>CA</w:t>
      </w:r>
      <w:r>
        <w:rPr>
          <w:lang w:val="en-US"/>
        </w:rPr>
        <w:t>DC</w:t>
      </w:r>
      <w:r>
        <w:t xml:space="preserve"> configurations in Annex A.4.3.1.</w:t>
      </w:r>
    </w:p>
    <w:p>
      <w:r>
        <w:t xml:space="preserve">The CR shall add the completed NR bands, NR band extensions and 5G NR CADC configurations in the relevant Physical Layer Baseline Implementation Capabilities in Annex A.4.3.1. </w:t>
      </w:r>
    </w:p>
    <w:p>
      <w:r>
        <w:t>For 5G NR CADC configurations the table format where each row shall cover one DL and UL 5G NR CADC configuration. The covered BCSs and the introduction release of the initial BCS0 shall also be specified in th</w:t>
      </w:r>
      <w:r>
        <w:rPr>
          <w:lang w:val="en-US"/>
        </w:rPr>
        <w:t>e</w:t>
      </w:r>
      <w:r>
        <w:t xml:space="preserve"> CR. See example below for the format to</w:t>
      </w:r>
      <w:r>
        <w:rPr>
          <w:lang w:val="en-US"/>
        </w:rPr>
        <w:t xml:space="preserve"> be</w:t>
      </w:r>
      <w:r>
        <w:t xml:space="preserve"> use</w:t>
      </w:r>
      <w:r>
        <w:rPr>
          <w:lang w:val="en-US"/>
        </w:rPr>
        <w:t>d</w:t>
      </w:r>
      <w:r>
        <w:t xml:space="preserve"> in TS 38.508-2 [17]. </w:t>
      </w:r>
    </w:p>
    <w:p>
      <w:r>
        <w:t>Any exceptions for not completed parts need to be stated in the CR cover sheet and as a note in the CR body text for the entry of the NR band, NR CBW extension or</w:t>
      </w:r>
      <w:r>
        <w:rPr>
          <w:lang w:val="en-US"/>
        </w:rPr>
        <w:t xml:space="preserve">5G NR </w:t>
      </w:r>
      <w:r>
        <w:t>CA</w:t>
      </w:r>
      <w:r>
        <w:rPr>
          <w:lang w:val="en-US"/>
        </w:rPr>
        <w:t>DC</w:t>
      </w:r>
      <w:r>
        <w:t xml:space="preserve"> configuration in the impacted Physical Layer Baseline Implementation Capability table.</w:t>
      </w:r>
    </w:p>
    <w:p>
      <w:pPr>
        <w:pStyle w:val="49"/>
        <w:ind w:left="1418" w:hanging="1134"/>
      </w:pPr>
      <w:r>
        <w:t>Note!</w:t>
      </w:r>
      <w:r>
        <w:tab/>
      </w:r>
      <w:r>
        <w:t xml:space="preserve">A copy of the work plan shall be attached to the CR to </w:t>
      </w:r>
      <w:r>
        <w:rPr>
          <w:b/>
          <w:bCs/>
        </w:rPr>
        <w:t>TS</w:t>
      </w:r>
      <w:r>
        <w:t xml:space="preserve"> </w:t>
      </w:r>
      <w:r>
        <w:rPr>
          <w:b/>
          <w:bCs/>
        </w:rPr>
        <w:t>38.508-2 [17]</w:t>
      </w:r>
      <w:r>
        <w:t xml:space="preserve"> in the TDOC zip-file.Editor's note:</w:t>
      </w:r>
      <w:r>
        <w:tab/>
      </w:r>
      <w:r>
        <w:t>Examples for NR bands, NR band extensions and 5G NR CADC configurations and its format to be used in TS 38.508-2 Annex A.4.3.1 to declare completion of a NR bands, NR band extensions and 5G NR CADC configurations.</w:t>
      </w:r>
    </w:p>
    <w:p>
      <w:pPr>
        <w:rPr>
          <w:b/>
          <w:bCs/>
        </w:rPr>
      </w:pPr>
      <w:r>
        <w:rPr>
          <w:b/>
          <w:bCs/>
        </w:rPr>
        <w:t>Example 6.</w:t>
      </w:r>
      <w:r>
        <w:rPr>
          <w:b/>
          <w:bCs/>
          <w:lang w:val="en-US"/>
        </w:rPr>
        <w:t>4</w:t>
      </w:r>
      <w:r>
        <w:rPr>
          <w:b/>
          <w:bCs/>
        </w:rPr>
        <w:t>-1: NR band status in TS 38.508-2 [17], clause A.4.3.1.</w:t>
      </w:r>
    </w:p>
    <w:p>
      <w:r>
        <w:t>FF</w:t>
      </w:r>
      <w:bookmarkStart w:id="94" w:name="_Hlk93667731"/>
      <w:r>
        <w:t>S</w:t>
      </w:r>
    </w:p>
    <w:p>
      <w:r>
        <w:rPr>
          <w:b/>
          <w:bCs/>
        </w:rPr>
        <w:t>Example 6.</w:t>
      </w:r>
      <w:r>
        <w:rPr>
          <w:b/>
          <w:bCs/>
          <w:lang w:val="en-US"/>
        </w:rPr>
        <w:t>4</w:t>
      </w:r>
      <w:r>
        <w:rPr>
          <w:b/>
          <w:bCs/>
        </w:rPr>
        <w:t>-</w:t>
      </w:r>
      <w:r>
        <w:rPr>
          <w:b/>
          <w:bCs/>
          <w:lang w:val="en-US"/>
        </w:rPr>
        <w:t>2</w:t>
      </w:r>
      <w:r>
        <w:rPr>
          <w:b/>
          <w:bCs/>
        </w:rPr>
        <w:t>: NR band CBW extension status in TS 38.508-2 [17], clause A.4.3.1.</w:t>
      </w:r>
      <w:r>
        <w:t xml:space="preserve"> </w:t>
      </w:r>
    </w:p>
    <w:p>
      <w:r>
        <w:t>FFS</w:t>
      </w:r>
    </w:p>
    <w:p>
      <w:r>
        <w:rPr>
          <w:b/>
          <w:bCs/>
        </w:rPr>
        <w:t>Example 6.</w:t>
      </w:r>
      <w:r>
        <w:rPr>
          <w:b/>
          <w:bCs/>
          <w:lang w:val="en-US"/>
        </w:rPr>
        <w:t>4</w:t>
      </w:r>
      <w:r>
        <w:rPr>
          <w:b/>
          <w:bCs/>
        </w:rPr>
        <w:t>-</w:t>
      </w:r>
      <w:r>
        <w:rPr>
          <w:b/>
          <w:bCs/>
          <w:lang w:val="en-US"/>
        </w:rPr>
        <w:t>3</w:t>
      </w:r>
      <w:r>
        <w:rPr>
          <w:b/>
          <w:bCs/>
        </w:rPr>
        <w:t>: 5G NR CA DC configuration status in TS 38.508-2 [17], clause A.4.3.1.</w:t>
      </w:r>
      <w:r>
        <w:t xml:space="preserve"> </w:t>
      </w:r>
    </w:p>
    <w:p>
      <w:r>
        <w:t>FFS</w:t>
      </w:r>
    </w:p>
    <w:p>
      <w:pPr>
        <w:pStyle w:val="2"/>
      </w:pPr>
      <w:bookmarkStart w:id="95" w:name="_Toc95140731"/>
      <w:bookmarkStart w:id="96" w:name="_Toc12480"/>
      <w:r>
        <w:rPr>
          <w:lang w:val="en-US"/>
        </w:rPr>
        <w:t>7</w:t>
      </w:r>
      <w:r>
        <w:tab/>
      </w:r>
      <w:r>
        <w:t>CR author guideline for selecting WI code for CRs</w:t>
      </w:r>
      <w:bookmarkEnd w:id="95"/>
      <w:bookmarkEnd w:id="96"/>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4"/>
    <w:p>
      <w:pPr>
        <w:jc w:val="center"/>
      </w:pPr>
    </w:p>
    <w:p>
      <w:pPr>
        <w:pStyle w:val="2"/>
      </w:pPr>
      <w:bookmarkStart w:id="97" w:name="_Toc95140732"/>
      <w:bookmarkStart w:id="98" w:name="_Toc20982"/>
      <w:bookmarkStart w:id="99" w:name="_Toc28487"/>
      <w:r>
        <w:rPr>
          <w:lang w:val="en-US"/>
        </w:rPr>
        <w:t>8</w:t>
      </w:r>
      <w:r>
        <w:tab/>
      </w:r>
      <w:r>
        <w:t>PRD rapporteur guidelines</w:t>
      </w:r>
      <w:bookmarkEnd w:id="97"/>
      <w:bookmarkEnd w:id="98"/>
      <w:bookmarkEnd w:id="99"/>
    </w:p>
    <w:p>
      <w:pPr>
        <w:pStyle w:val="3"/>
      </w:pPr>
      <w:bookmarkStart w:id="100" w:name="_Toc95140733"/>
      <w:bookmarkStart w:id="101" w:name="_Toc2915"/>
      <w:bookmarkStart w:id="102" w:name="_Toc20638"/>
      <w:r>
        <w:rPr>
          <w:lang w:val="en-US"/>
        </w:rPr>
        <w:t>8</w:t>
      </w:r>
      <w:r>
        <w:t>.1</w:t>
      </w:r>
      <w:r>
        <w:tab/>
      </w:r>
      <w:r>
        <w:t xml:space="preserve">PRD21 rapportuer and WI rapporteur </w:t>
      </w:r>
      <w:bookmarkEnd w:id="100"/>
      <w:r>
        <w:t>respons</w:t>
      </w:r>
      <w:r>
        <w:rPr>
          <w:lang w:val="en-US"/>
        </w:rPr>
        <w:t>i</w:t>
      </w:r>
      <w:r>
        <w:t>bilities</w:t>
      </w:r>
      <w:bookmarkEnd w:id="101"/>
    </w:p>
    <w:p>
      <w:r>
        <w:t>The PRD2</w:t>
      </w:r>
      <w:r>
        <w:rPr>
          <w:lang w:val="en-US"/>
        </w:rPr>
        <w:t>1</w:t>
      </w:r>
      <w:r>
        <w:t xml:space="preserve"> rapporteur together with the RAN5 rapporteurs for NR bands, NR band CBW extensions and </w:t>
      </w:r>
      <w:r>
        <w:rPr>
          <w:lang w:val="en-US"/>
        </w:rPr>
        <w:t xml:space="preserve">5G NR </w:t>
      </w:r>
      <w:r>
        <w:t>CA</w:t>
      </w:r>
      <w:r>
        <w:rPr>
          <w:lang w:val="en-US"/>
        </w:rPr>
        <w:t>DC</w:t>
      </w:r>
      <w:r>
        <w:t xml:space="preserve"> configuration work items are 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Maintaining the status of completed NR bands, NR band CBW extensions and 5G NR CADC configurations in RAN5 conformance test specifications.</w:t>
      </w:r>
    </w:p>
    <w:p>
      <w:pPr>
        <w:pStyle w:val="3"/>
      </w:pPr>
      <w:bookmarkStart w:id="103" w:name="_Toc95140734"/>
      <w:bookmarkStart w:id="104" w:name="_Toc7976"/>
      <w:r>
        <w:rPr>
          <w:lang w:val="en-US"/>
        </w:rPr>
        <w:t>8</w:t>
      </w:r>
      <w:r>
        <w:t>.2</w:t>
      </w:r>
      <w:r>
        <w:tab/>
      </w:r>
      <w:r>
        <w:t>Handling assignment requests</w:t>
      </w:r>
      <w:bookmarkEnd w:id="102"/>
      <w:bookmarkEnd w:id="103"/>
      <w:bookmarkEnd w:id="104"/>
    </w:p>
    <w:p>
      <w:pPr>
        <w:spacing w:after="0"/>
      </w:pPr>
      <w:r>
        <w:t>When receiving an assignment request email do:</w:t>
      </w:r>
    </w:p>
    <w:p>
      <w:pPr>
        <w:pStyle w:val="48"/>
      </w:pPr>
      <w:r>
        <w:t>-</w:t>
      </w:r>
      <w:r>
        <w:tab/>
      </w:r>
      <w:r>
        <w:t>Add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5" w:name="_Toc25546"/>
      <w:bookmarkStart w:id="106" w:name="_Toc95140735"/>
      <w:bookmarkStart w:id="107" w:name="_Toc7675"/>
      <w:r>
        <w:rPr>
          <w:lang w:val="en-US"/>
        </w:rPr>
        <w:t>8</w:t>
      </w:r>
      <w:r>
        <w:t>.3</w:t>
      </w:r>
      <w:r>
        <w:tab/>
      </w:r>
      <w:r>
        <w:t>Update the PRD2</w:t>
      </w:r>
      <w:r>
        <w:rPr>
          <w:lang w:val="en-US"/>
        </w:rPr>
        <w:t>1</w:t>
      </w:r>
      <w:r>
        <w:t xml:space="preserve"> 5G NR CADC list when new version of TS 38.101-X is published</w:t>
      </w:r>
      <w:bookmarkEnd w:id="105"/>
      <w:bookmarkEnd w:id="106"/>
      <w:bookmarkEnd w:id="107"/>
    </w:p>
    <w:p>
      <w:pPr>
        <w:pStyle w:val="4"/>
      </w:pPr>
      <w:bookmarkStart w:id="108" w:name="_Toc16009"/>
      <w:bookmarkStart w:id="109" w:name="_Toc95140736"/>
      <w:bookmarkStart w:id="110" w:name="_Toc23501"/>
      <w:r>
        <w:rPr>
          <w:lang w:val="en-US"/>
        </w:rPr>
        <w:t>8</w:t>
      </w:r>
      <w:r>
        <w:t>.3.1</w:t>
      </w:r>
      <w:r>
        <w:tab/>
      </w:r>
      <w:r>
        <w:t xml:space="preserve">Update of the "5G NR CADC Configurations" </w:t>
      </w:r>
      <w:bookmarkEnd w:id="108"/>
      <w:r>
        <w:t>worksheet</w:t>
      </w:r>
      <w:bookmarkEnd w:id="109"/>
      <w:bookmarkEnd w:id="110"/>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1" w:name="_Hlk88050158"/>
      <w:r>
        <w:rPr>
          <w:b/>
          <w:bCs/>
        </w:rPr>
        <w:t>CA_1A-n3A</w:t>
      </w:r>
      <w:bookmarkEnd w:id="111"/>
    </w:p>
    <w:p>
      <w:r>
        <w:t xml:space="preserve">38.101-x [11,12,13] v17.4.0, </w:t>
      </w:r>
      <w:r>
        <w:rPr>
          <w:bCs/>
        </w:rPr>
        <w:t>Table 5.5A.3.1-1</w:t>
      </w:r>
      <w:r>
        <w:t xml:space="preserve"> specifies the NR CA configuration CA_1A-3A as: </w:t>
      </w:r>
    </w:p>
    <w:p>
      <w:pPr>
        <w:rPr>
          <w:b/>
          <w:bCs/>
          <w:highlight w:val="yellow"/>
        </w:rPr>
      </w:pPr>
      <w: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5"/>
                    <a:stretch>
                      <a:fillRect/>
                    </a:stretch>
                  </pic:blipFill>
                  <pic:spPr>
                    <a:xfrm>
                      <a:off x="0" y="0"/>
                      <a:ext cx="6122035" cy="1377315"/>
                    </a:xfrm>
                    <a:prstGeom prst="rect">
                      <a:avLst/>
                    </a:prstGeom>
                  </pic:spPr>
                </pic:pic>
              </a:graphicData>
            </a:graphic>
          </wp:inline>
        </w:drawing>
      </w:r>
      <w:r>
        <w:rPr>
          <w:highlight w:val="none"/>
        </w:rP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46"/>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2" w:name="_Toc27767"/>
      <w:bookmarkStart w:id="113" w:name="_Toc95140737"/>
      <w:bookmarkStart w:id="114" w:name="_Toc31084"/>
      <w:r>
        <w:rPr>
          <w:lang w:val="en-US"/>
        </w:rPr>
        <w:t>8</w:t>
      </w:r>
      <w:r>
        <w:t>.3.</w:t>
      </w:r>
      <w:r>
        <w:rPr>
          <w:lang w:val="en-US"/>
        </w:rPr>
        <w:t>2</w:t>
      </w:r>
      <w:r>
        <w:tab/>
      </w:r>
      <w:r>
        <w:t xml:space="preserve">Update of the "Support data" </w:t>
      </w:r>
      <w:bookmarkEnd w:id="112"/>
      <w:r>
        <w:t>worksheet</w:t>
      </w:r>
      <w:bookmarkEnd w:id="113"/>
      <w:bookmarkEnd w:id="114"/>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5" w:name="_Toc95140738"/>
      <w:bookmarkStart w:id="116" w:name="_Toc30558"/>
      <w:bookmarkStart w:id="117" w:name="_Toc18814"/>
      <w:r>
        <w:rPr>
          <w:lang w:val="en-US"/>
        </w:rPr>
        <w:t>8</w:t>
      </w:r>
      <w:r>
        <w:t>.4</w:t>
      </w:r>
      <w:r>
        <w:tab/>
      </w:r>
      <w:r>
        <w:t>Update the PRD21 after end of RAN5 meetings</w:t>
      </w:r>
      <w:bookmarkEnd w:id="115"/>
      <w:bookmarkEnd w:id="116"/>
      <w:bookmarkEnd w:id="117"/>
    </w:p>
    <w:p>
      <w:pPr>
        <w:pStyle w:val="4"/>
      </w:pPr>
      <w:bookmarkStart w:id="118" w:name="_Toc95140739"/>
      <w:bookmarkStart w:id="119" w:name="_Toc27396"/>
      <w:bookmarkStart w:id="120" w:name="_Toc5100"/>
      <w:r>
        <w:rPr>
          <w:lang w:val="en-US"/>
        </w:rPr>
        <w:t>8</w:t>
      </w:r>
      <w:r>
        <w:t>.</w:t>
      </w:r>
      <w:r>
        <w:rPr>
          <w:lang w:val="en-US"/>
        </w:rPr>
        <w:t>4</w:t>
      </w:r>
      <w:r>
        <w:t>.1</w:t>
      </w:r>
      <w:r>
        <w:tab/>
      </w:r>
      <w:r>
        <w:t>Update status of NR bands, NR band CBW Extensions and 5G NR CADC Configurations</w:t>
      </w:r>
      <w:bookmarkEnd w:id="118"/>
      <w:bookmarkEnd w:id="119"/>
      <w:bookmarkEnd w:id="120"/>
    </w:p>
    <w:p>
      <w:pPr>
        <w:rPr>
          <w:lang w:val="en-US"/>
        </w:rPr>
      </w:pPr>
      <w:r>
        <w:t>Update the status of completed NR bands, NR band extensions and 5G NR CADC Configurations by adding the RAN5 meeting to column "RAN5 Completion" and add the reference to the agreed CR to TS 38.508-2 [17] confirming the completion of the 5G NR CADC configuration(s).</w:t>
      </w:r>
    </w:p>
    <w:p>
      <w:pPr>
        <w:pStyle w:val="4"/>
      </w:pPr>
      <w:bookmarkStart w:id="121" w:name="_Toc7089"/>
      <w:bookmarkStart w:id="122" w:name="_Toc95140740"/>
      <w:bookmarkStart w:id="123" w:name="_Toc9318"/>
      <w:r>
        <w:rPr>
          <w:lang w:val="en-US"/>
        </w:rPr>
        <w:t>8</w:t>
      </w:r>
      <w:r>
        <w:t>.</w:t>
      </w:r>
      <w:r>
        <w:rPr>
          <w:lang w:val="en-US"/>
        </w:rPr>
        <w:t>4</w:t>
      </w:r>
      <w:r>
        <w:t>.</w:t>
      </w:r>
      <w:r>
        <w:rPr>
          <w:lang w:val="en-US"/>
        </w:rPr>
        <w:t>2</w:t>
      </w:r>
      <w:r>
        <w:tab/>
      </w:r>
      <w:r>
        <w:t>Update when a RAN5 NR bands, NR band CBW Extensions or 5G NR CADC basket WI is closed</w:t>
      </w:r>
      <w:bookmarkEnd w:id="121"/>
      <w:bookmarkEnd w:id="122"/>
      <w:bookmarkEnd w:id="123"/>
      <w:r>
        <w:t xml:space="preserve"> </w:t>
      </w:r>
    </w:p>
    <w:p>
      <w:r>
        <w:t>When a NR bands, NR band extension and RAN5 5G NR CADC basket work item has been closed</w:t>
      </w:r>
      <w:r>
        <w:rPr>
          <w:lang w:val="en-US"/>
        </w:rPr>
        <w:t>,</w:t>
      </w:r>
      <w:r>
        <w:t xml:space="preserve"> the following need to be updated:</w:t>
      </w:r>
    </w:p>
    <w:p>
      <w:pPr>
        <w:pStyle w:val="48"/>
      </w:pPr>
      <w:r>
        <w:t xml:space="preserve">- </w:t>
      </w:r>
      <w:r>
        <w:tab/>
      </w:r>
      <w:r>
        <w:t xml:space="preserve">Update the "Status" column in the scope table in clause 1 of this document for the WI. </w:t>
      </w:r>
    </w:p>
    <w:p>
      <w:pPr>
        <w:pStyle w:val="59"/>
        <w:ind w:hanging="283"/>
      </w:pPr>
      <w:r>
        <w:t>-</w:t>
      </w:r>
      <w:r>
        <w:tab/>
      </w:r>
      <w:r>
        <w:t>If all the 5G NR CADC configurations have been completed</w:t>
      </w:r>
      <w:r>
        <w:rPr>
          <w:lang w:val="en-US"/>
        </w:rPr>
        <w:t>,</w:t>
      </w:r>
      <w:r>
        <w:t xml:space="preserve"> set the status to "Completed"; else </w:t>
      </w:r>
    </w:p>
    <w:p>
      <w:pPr>
        <w:pStyle w:val="59"/>
        <w:ind w:hanging="283"/>
      </w:pPr>
      <w:r>
        <w:t>-</w:t>
      </w:r>
      <w:r>
        <w:tab/>
      </w:r>
      <w:r>
        <w:t>If the WI is closed but not all 5G NR CADC configurations have been completed</w:t>
      </w:r>
      <w:r>
        <w:rPr>
          <w:lang w:val="en-US"/>
        </w:rPr>
        <w:t>,</w:t>
      </w:r>
      <w:r>
        <w:t xml:space="preserve"> set the status to "WI closed but not all configurations specified".</w:t>
      </w:r>
    </w:p>
    <w:p>
      <w:pPr>
        <w:pStyle w:val="59"/>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4" w:name="_Toc32426"/>
      <w:bookmarkStart w:id="125" w:name="_Toc95140741"/>
      <w:bookmarkStart w:id="126" w:name="_Toc1181"/>
      <w:r>
        <w:rPr>
          <w:lang w:val="en-US"/>
        </w:rPr>
        <w:t>8</w:t>
      </w:r>
      <w:r>
        <w:t>.5</w:t>
      </w:r>
      <w:r>
        <w:tab/>
      </w:r>
      <w:r>
        <w:t>Update the WP template</w:t>
      </w:r>
      <w:bookmarkEnd w:id="124"/>
      <w:r>
        <w:t>s</w:t>
      </w:r>
      <w:bookmarkEnd w:id="125"/>
      <w:bookmarkEnd w:id="126"/>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7" w:name="_Toc12081"/>
      <w:bookmarkStart w:id="128" w:name="_Toc95140742"/>
      <w:bookmarkStart w:id="129" w:name="_Toc19511"/>
      <w:r>
        <w:rPr>
          <w:lang w:val="en-US"/>
        </w:rPr>
        <w:t>8</w:t>
      </w:r>
      <w:r>
        <w:t>.6</w:t>
      </w:r>
      <w:r>
        <w:tab/>
      </w:r>
      <w:r>
        <w:t>Update when PRD21 rapporteur is changed</w:t>
      </w:r>
      <w:bookmarkEnd w:id="127"/>
      <w:bookmarkEnd w:id="128"/>
      <w:bookmarkEnd w:id="129"/>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0" w:name="_Toc22683"/>
      <w:bookmarkStart w:id="131" w:name="_Toc9498"/>
      <w:r>
        <w:br w:type="column"/>
      </w:r>
      <w:bookmarkStart w:id="132" w:name="_Toc95140743"/>
      <w:r>
        <w:t>Annex A (informative):</w:t>
      </w:r>
      <w:r>
        <w:br w:type="textWrapping"/>
      </w:r>
      <w:r>
        <w:t>Change history</w:t>
      </w:r>
      <w:bookmarkEnd w:id="130"/>
      <w:bookmarkEnd w:id="131"/>
      <w:bookmarkEnd w:id="132"/>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976" w:type="dxa"/>
            <w:gridSpan w:val="8"/>
            <w:tcBorders>
              <w:bottom w:val="nil"/>
            </w:tcBorders>
            <w:shd w:val="solid" w:color="FFFFFF" w:fill="auto"/>
          </w:tcPr>
          <w:p>
            <w:pPr>
              <w:pStyle w:val="40"/>
              <w:jc w:val="center"/>
              <w:rPr>
                <w:b/>
                <w:sz w:val="16"/>
              </w:rPr>
            </w:pPr>
            <w:bookmarkStart w:id="133" w:name="historyclause"/>
            <w:bookmarkEnd w:id="133"/>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r>
              <w:rPr>
                <w:lang w:val="en-US"/>
              </w:rPr>
              <w:t>R5-22</w:t>
            </w:r>
            <w:r>
              <w:rPr>
                <w:highlight w:val="yellow"/>
                <w:lang w:val="en-US"/>
              </w:rPr>
              <w:t>XXXX</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nni SONG(CMCC)" w:date="2022-02-08T17:07:00Z" w:initials="DS">
    <w:p w14:paraId="4BF14203">
      <w:pPr>
        <w:pStyle w:val="19"/>
        <w:rPr>
          <w:lang w:val="en-US"/>
        </w:rPr>
      </w:pPr>
      <w:r>
        <w:rPr>
          <w:lang w:val="en-US"/>
        </w:rPr>
        <w:t>Pending on the related discussion in RAN5#94-e, it may be revised into “</w:t>
      </w:r>
      <w:r>
        <w:rPr>
          <w:rFonts w:eastAsia="宋体"/>
          <w:color w:val="0000FF"/>
          <w:sz w:val="14"/>
          <w:szCs w:val="14"/>
          <w:shd w:val="clear" w:color="auto" w:fill="FFFFFF"/>
        </w:rPr>
        <w:t>If there is no "Ongoing" or "Completed" configuration in Rel-16 configuration specific WIs can be used to complete the test cases introduced by Rel-16 feature specific WIs, the specific configurations can be picked out among the "Pending" configurations in Rel-16 configuration specific WIs pending on rapporteur's decision.</w:t>
      </w:r>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F1420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200D6"/>
    <w:rsid w:val="00033397"/>
    <w:rsid w:val="00040095"/>
    <w:rsid w:val="00044A47"/>
    <w:rsid w:val="00051834"/>
    <w:rsid w:val="00051E7D"/>
    <w:rsid w:val="00053686"/>
    <w:rsid w:val="00054A22"/>
    <w:rsid w:val="00056C8A"/>
    <w:rsid w:val="00062023"/>
    <w:rsid w:val="0006545F"/>
    <w:rsid w:val="000655A6"/>
    <w:rsid w:val="000678DA"/>
    <w:rsid w:val="00074309"/>
    <w:rsid w:val="00074D1B"/>
    <w:rsid w:val="0007773C"/>
    <w:rsid w:val="00080512"/>
    <w:rsid w:val="00081301"/>
    <w:rsid w:val="00082220"/>
    <w:rsid w:val="00084C6F"/>
    <w:rsid w:val="00091D02"/>
    <w:rsid w:val="0009659F"/>
    <w:rsid w:val="000A2118"/>
    <w:rsid w:val="000A7B46"/>
    <w:rsid w:val="000B26BD"/>
    <w:rsid w:val="000C47C3"/>
    <w:rsid w:val="000D58AB"/>
    <w:rsid w:val="000E05F7"/>
    <w:rsid w:val="000E5CAF"/>
    <w:rsid w:val="000F4243"/>
    <w:rsid w:val="000F7B6F"/>
    <w:rsid w:val="0010544B"/>
    <w:rsid w:val="0010743E"/>
    <w:rsid w:val="00124410"/>
    <w:rsid w:val="00130E07"/>
    <w:rsid w:val="00133525"/>
    <w:rsid w:val="001344A4"/>
    <w:rsid w:val="00137842"/>
    <w:rsid w:val="001541B4"/>
    <w:rsid w:val="001543AA"/>
    <w:rsid w:val="00154700"/>
    <w:rsid w:val="0017112F"/>
    <w:rsid w:val="00173912"/>
    <w:rsid w:val="00176CAD"/>
    <w:rsid w:val="00177AAF"/>
    <w:rsid w:val="00184536"/>
    <w:rsid w:val="00185DA0"/>
    <w:rsid w:val="00196AB9"/>
    <w:rsid w:val="001A10E4"/>
    <w:rsid w:val="001A4C42"/>
    <w:rsid w:val="001A7420"/>
    <w:rsid w:val="001A7448"/>
    <w:rsid w:val="001B1E21"/>
    <w:rsid w:val="001B37C0"/>
    <w:rsid w:val="001B6637"/>
    <w:rsid w:val="001C21C3"/>
    <w:rsid w:val="001D02C2"/>
    <w:rsid w:val="001D19CB"/>
    <w:rsid w:val="001D6106"/>
    <w:rsid w:val="001E3CFC"/>
    <w:rsid w:val="001F0C1D"/>
    <w:rsid w:val="001F1132"/>
    <w:rsid w:val="001F168B"/>
    <w:rsid w:val="001F48BD"/>
    <w:rsid w:val="001F5086"/>
    <w:rsid w:val="001F6FD4"/>
    <w:rsid w:val="00202D6D"/>
    <w:rsid w:val="0021164B"/>
    <w:rsid w:val="0022028A"/>
    <w:rsid w:val="002209ED"/>
    <w:rsid w:val="00222BE6"/>
    <w:rsid w:val="002304E4"/>
    <w:rsid w:val="00234557"/>
    <w:rsid w:val="002347A2"/>
    <w:rsid w:val="00234B50"/>
    <w:rsid w:val="00240355"/>
    <w:rsid w:val="00250771"/>
    <w:rsid w:val="00252211"/>
    <w:rsid w:val="0025493F"/>
    <w:rsid w:val="00255CBA"/>
    <w:rsid w:val="002675F0"/>
    <w:rsid w:val="002731FF"/>
    <w:rsid w:val="00280E68"/>
    <w:rsid w:val="00283494"/>
    <w:rsid w:val="00287D36"/>
    <w:rsid w:val="002951D2"/>
    <w:rsid w:val="002A4556"/>
    <w:rsid w:val="002A7DF4"/>
    <w:rsid w:val="002B4651"/>
    <w:rsid w:val="002B6339"/>
    <w:rsid w:val="002D3DF1"/>
    <w:rsid w:val="002E00EE"/>
    <w:rsid w:val="002E0E1E"/>
    <w:rsid w:val="002E7CAD"/>
    <w:rsid w:val="002F3D79"/>
    <w:rsid w:val="00315CB9"/>
    <w:rsid w:val="003172DC"/>
    <w:rsid w:val="00326E5C"/>
    <w:rsid w:val="00330524"/>
    <w:rsid w:val="00334B83"/>
    <w:rsid w:val="0034286F"/>
    <w:rsid w:val="003511BA"/>
    <w:rsid w:val="0035355D"/>
    <w:rsid w:val="00353EA6"/>
    <w:rsid w:val="0035462D"/>
    <w:rsid w:val="0035595D"/>
    <w:rsid w:val="003765B8"/>
    <w:rsid w:val="00387291"/>
    <w:rsid w:val="00387B4A"/>
    <w:rsid w:val="0039400C"/>
    <w:rsid w:val="003A176A"/>
    <w:rsid w:val="003C3971"/>
    <w:rsid w:val="003D5DAE"/>
    <w:rsid w:val="003E51CE"/>
    <w:rsid w:val="003F6F99"/>
    <w:rsid w:val="00401D27"/>
    <w:rsid w:val="00414127"/>
    <w:rsid w:val="00423334"/>
    <w:rsid w:val="004247CD"/>
    <w:rsid w:val="004274B7"/>
    <w:rsid w:val="004345EC"/>
    <w:rsid w:val="00436DC9"/>
    <w:rsid w:val="004458DF"/>
    <w:rsid w:val="00453124"/>
    <w:rsid w:val="00453FAE"/>
    <w:rsid w:val="00457A2E"/>
    <w:rsid w:val="00460F21"/>
    <w:rsid w:val="00465515"/>
    <w:rsid w:val="00467C72"/>
    <w:rsid w:val="00486D7B"/>
    <w:rsid w:val="004A7D64"/>
    <w:rsid w:val="004A7E2A"/>
    <w:rsid w:val="004B4BCF"/>
    <w:rsid w:val="004C5DB5"/>
    <w:rsid w:val="004D3578"/>
    <w:rsid w:val="004D4E25"/>
    <w:rsid w:val="004D50B2"/>
    <w:rsid w:val="004D53F8"/>
    <w:rsid w:val="004D6014"/>
    <w:rsid w:val="004E213A"/>
    <w:rsid w:val="004E46D9"/>
    <w:rsid w:val="004E668D"/>
    <w:rsid w:val="004F0988"/>
    <w:rsid w:val="004F104C"/>
    <w:rsid w:val="004F3340"/>
    <w:rsid w:val="004F7083"/>
    <w:rsid w:val="00501B78"/>
    <w:rsid w:val="0052362A"/>
    <w:rsid w:val="005258BB"/>
    <w:rsid w:val="0053388B"/>
    <w:rsid w:val="00535773"/>
    <w:rsid w:val="00542161"/>
    <w:rsid w:val="00543E6C"/>
    <w:rsid w:val="005569BB"/>
    <w:rsid w:val="00556CBC"/>
    <w:rsid w:val="00565087"/>
    <w:rsid w:val="00565464"/>
    <w:rsid w:val="00567008"/>
    <w:rsid w:val="00575387"/>
    <w:rsid w:val="00577C3D"/>
    <w:rsid w:val="00597B11"/>
    <w:rsid w:val="005D2E01"/>
    <w:rsid w:val="005D7526"/>
    <w:rsid w:val="005E160B"/>
    <w:rsid w:val="005E4BB2"/>
    <w:rsid w:val="005F0B33"/>
    <w:rsid w:val="005F7641"/>
    <w:rsid w:val="00601E81"/>
    <w:rsid w:val="00602AEA"/>
    <w:rsid w:val="006048D8"/>
    <w:rsid w:val="006049D9"/>
    <w:rsid w:val="006059BE"/>
    <w:rsid w:val="00610B1D"/>
    <w:rsid w:val="00614FDF"/>
    <w:rsid w:val="00616085"/>
    <w:rsid w:val="00620173"/>
    <w:rsid w:val="00623DD5"/>
    <w:rsid w:val="00633FB1"/>
    <w:rsid w:val="0063543D"/>
    <w:rsid w:val="00647114"/>
    <w:rsid w:val="00650A2F"/>
    <w:rsid w:val="006526B2"/>
    <w:rsid w:val="00655023"/>
    <w:rsid w:val="00657960"/>
    <w:rsid w:val="00666CC7"/>
    <w:rsid w:val="006721E1"/>
    <w:rsid w:val="00676268"/>
    <w:rsid w:val="00681601"/>
    <w:rsid w:val="00681B11"/>
    <w:rsid w:val="00693E4D"/>
    <w:rsid w:val="00697B67"/>
    <w:rsid w:val="006A14C9"/>
    <w:rsid w:val="006A323F"/>
    <w:rsid w:val="006B0C4F"/>
    <w:rsid w:val="006B30D0"/>
    <w:rsid w:val="006B417B"/>
    <w:rsid w:val="006C3D95"/>
    <w:rsid w:val="006C537B"/>
    <w:rsid w:val="006C7F08"/>
    <w:rsid w:val="006D3AE4"/>
    <w:rsid w:val="006D6772"/>
    <w:rsid w:val="006D7C83"/>
    <w:rsid w:val="006E0983"/>
    <w:rsid w:val="006E1351"/>
    <w:rsid w:val="006E5C86"/>
    <w:rsid w:val="006E5E0A"/>
    <w:rsid w:val="006E72FE"/>
    <w:rsid w:val="006F1944"/>
    <w:rsid w:val="006F5C48"/>
    <w:rsid w:val="00701116"/>
    <w:rsid w:val="00713C44"/>
    <w:rsid w:val="00726D9F"/>
    <w:rsid w:val="00734A5B"/>
    <w:rsid w:val="0073638D"/>
    <w:rsid w:val="0074026F"/>
    <w:rsid w:val="007407E1"/>
    <w:rsid w:val="007429F6"/>
    <w:rsid w:val="00743004"/>
    <w:rsid w:val="00744E76"/>
    <w:rsid w:val="0074631E"/>
    <w:rsid w:val="00755D2B"/>
    <w:rsid w:val="00761937"/>
    <w:rsid w:val="007739F2"/>
    <w:rsid w:val="00774DA4"/>
    <w:rsid w:val="00781F0F"/>
    <w:rsid w:val="00796646"/>
    <w:rsid w:val="007B19A7"/>
    <w:rsid w:val="007B600E"/>
    <w:rsid w:val="007D7031"/>
    <w:rsid w:val="007E09C9"/>
    <w:rsid w:val="007E422A"/>
    <w:rsid w:val="007F0F4A"/>
    <w:rsid w:val="008028A4"/>
    <w:rsid w:val="00816E46"/>
    <w:rsid w:val="0082137C"/>
    <w:rsid w:val="00822184"/>
    <w:rsid w:val="00823C06"/>
    <w:rsid w:val="00824975"/>
    <w:rsid w:val="00830747"/>
    <w:rsid w:val="00832974"/>
    <w:rsid w:val="00835EAB"/>
    <w:rsid w:val="00842F5B"/>
    <w:rsid w:val="00843AE1"/>
    <w:rsid w:val="00861802"/>
    <w:rsid w:val="00867D68"/>
    <w:rsid w:val="00873879"/>
    <w:rsid w:val="00873F6A"/>
    <w:rsid w:val="00874928"/>
    <w:rsid w:val="0087605F"/>
    <w:rsid w:val="008768CA"/>
    <w:rsid w:val="00891030"/>
    <w:rsid w:val="00891986"/>
    <w:rsid w:val="00893EAD"/>
    <w:rsid w:val="008B0004"/>
    <w:rsid w:val="008B1BC1"/>
    <w:rsid w:val="008B2358"/>
    <w:rsid w:val="008B2823"/>
    <w:rsid w:val="008C2C50"/>
    <w:rsid w:val="008C384C"/>
    <w:rsid w:val="008E429B"/>
    <w:rsid w:val="0090271F"/>
    <w:rsid w:val="00902E23"/>
    <w:rsid w:val="00903643"/>
    <w:rsid w:val="009114D7"/>
    <w:rsid w:val="0091348E"/>
    <w:rsid w:val="00917CCB"/>
    <w:rsid w:val="009300DC"/>
    <w:rsid w:val="0093351A"/>
    <w:rsid w:val="0093397E"/>
    <w:rsid w:val="00942EC2"/>
    <w:rsid w:val="009436C1"/>
    <w:rsid w:val="00943783"/>
    <w:rsid w:val="00947E63"/>
    <w:rsid w:val="00950EF6"/>
    <w:rsid w:val="00974D57"/>
    <w:rsid w:val="00974E3A"/>
    <w:rsid w:val="009750EB"/>
    <w:rsid w:val="00976A55"/>
    <w:rsid w:val="00980E9E"/>
    <w:rsid w:val="009813D2"/>
    <w:rsid w:val="00986E03"/>
    <w:rsid w:val="009A2338"/>
    <w:rsid w:val="009C09DA"/>
    <w:rsid w:val="009C48B2"/>
    <w:rsid w:val="009D29CC"/>
    <w:rsid w:val="009E25A6"/>
    <w:rsid w:val="009E364F"/>
    <w:rsid w:val="009F2558"/>
    <w:rsid w:val="009F37B7"/>
    <w:rsid w:val="009F3C8D"/>
    <w:rsid w:val="00A035FE"/>
    <w:rsid w:val="00A10F02"/>
    <w:rsid w:val="00A10FC5"/>
    <w:rsid w:val="00A11E39"/>
    <w:rsid w:val="00A15A39"/>
    <w:rsid w:val="00A164B4"/>
    <w:rsid w:val="00A26956"/>
    <w:rsid w:val="00A27486"/>
    <w:rsid w:val="00A322B0"/>
    <w:rsid w:val="00A50EC2"/>
    <w:rsid w:val="00A517AE"/>
    <w:rsid w:val="00A5249D"/>
    <w:rsid w:val="00A53724"/>
    <w:rsid w:val="00A56066"/>
    <w:rsid w:val="00A677CC"/>
    <w:rsid w:val="00A71748"/>
    <w:rsid w:val="00A73129"/>
    <w:rsid w:val="00A76332"/>
    <w:rsid w:val="00A77063"/>
    <w:rsid w:val="00A82346"/>
    <w:rsid w:val="00A92BA1"/>
    <w:rsid w:val="00A95FDB"/>
    <w:rsid w:val="00AA46CE"/>
    <w:rsid w:val="00AB0303"/>
    <w:rsid w:val="00AB13B9"/>
    <w:rsid w:val="00AB584C"/>
    <w:rsid w:val="00AC122B"/>
    <w:rsid w:val="00AC6BC6"/>
    <w:rsid w:val="00AC6F69"/>
    <w:rsid w:val="00AE0266"/>
    <w:rsid w:val="00AE0991"/>
    <w:rsid w:val="00AE65E2"/>
    <w:rsid w:val="00AE773B"/>
    <w:rsid w:val="00AF6FCC"/>
    <w:rsid w:val="00AF7E37"/>
    <w:rsid w:val="00B004AC"/>
    <w:rsid w:val="00B0559B"/>
    <w:rsid w:val="00B15449"/>
    <w:rsid w:val="00B22ECA"/>
    <w:rsid w:val="00B27EE5"/>
    <w:rsid w:val="00B338A1"/>
    <w:rsid w:val="00B40B9D"/>
    <w:rsid w:val="00B416D3"/>
    <w:rsid w:val="00B41961"/>
    <w:rsid w:val="00B4514F"/>
    <w:rsid w:val="00B501FF"/>
    <w:rsid w:val="00B54AE7"/>
    <w:rsid w:val="00B5792E"/>
    <w:rsid w:val="00B57DDB"/>
    <w:rsid w:val="00B61578"/>
    <w:rsid w:val="00B61EDE"/>
    <w:rsid w:val="00B644F7"/>
    <w:rsid w:val="00B8481D"/>
    <w:rsid w:val="00B93086"/>
    <w:rsid w:val="00BA19ED"/>
    <w:rsid w:val="00BA4B8D"/>
    <w:rsid w:val="00BB11A8"/>
    <w:rsid w:val="00BC0164"/>
    <w:rsid w:val="00BC0754"/>
    <w:rsid w:val="00BC0F7D"/>
    <w:rsid w:val="00BD44EC"/>
    <w:rsid w:val="00BD7D31"/>
    <w:rsid w:val="00BE3255"/>
    <w:rsid w:val="00BE5C39"/>
    <w:rsid w:val="00BE60AC"/>
    <w:rsid w:val="00BE6C80"/>
    <w:rsid w:val="00BE7010"/>
    <w:rsid w:val="00BF0073"/>
    <w:rsid w:val="00BF128E"/>
    <w:rsid w:val="00BF1AA1"/>
    <w:rsid w:val="00BF1BF3"/>
    <w:rsid w:val="00C03E2E"/>
    <w:rsid w:val="00C074DD"/>
    <w:rsid w:val="00C1496A"/>
    <w:rsid w:val="00C22040"/>
    <w:rsid w:val="00C22EE4"/>
    <w:rsid w:val="00C33079"/>
    <w:rsid w:val="00C45231"/>
    <w:rsid w:val="00C708F3"/>
    <w:rsid w:val="00C72833"/>
    <w:rsid w:val="00C7324D"/>
    <w:rsid w:val="00C74DA3"/>
    <w:rsid w:val="00C80F1D"/>
    <w:rsid w:val="00C82DBE"/>
    <w:rsid w:val="00C83E99"/>
    <w:rsid w:val="00C9068B"/>
    <w:rsid w:val="00C93F40"/>
    <w:rsid w:val="00C957E2"/>
    <w:rsid w:val="00CA1772"/>
    <w:rsid w:val="00CA3D0C"/>
    <w:rsid w:val="00CA5B61"/>
    <w:rsid w:val="00CA692C"/>
    <w:rsid w:val="00CC6518"/>
    <w:rsid w:val="00CD4ADD"/>
    <w:rsid w:val="00CD6554"/>
    <w:rsid w:val="00CD7D55"/>
    <w:rsid w:val="00CF3710"/>
    <w:rsid w:val="00D004DF"/>
    <w:rsid w:val="00D020B1"/>
    <w:rsid w:val="00D0453C"/>
    <w:rsid w:val="00D077B8"/>
    <w:rsid w:val="00D12676"/>
    <w:rsid w:val="00D13542"/>
    <w:rsid w:val="00D35298"/>
    <w:rsid w:val="00D4664A"/>
    <w:rsid w:val="00D528B8"/>
    <w:rsid w:val="00D5772E"/>
    <w:rsid w:val="00D57972"/>
    <w:rsid w:val="00D66FDF"/>
    <w:rsid w:val="00D675A9"/>
    <w:rsid w:val="00D67B9F"/>
    <w:rsid w:val="00D70504"/>
    <w:rsid w:val="00D738D6"/>
    <w:rsid w:val="00D755EB"/>
    <w:rsid w:val="00D76048"/>
    <w:rsid w:val="00D8058B"/>
    <w:rsid w:val="00D87E00"/>
    <w:rsid w:val="00D9134D"/>
    <w:rsid w:val="00D95889"/>
    <w:rsid w:val="00DA119B"/>
    <w:rsid w:val="00DA7A03"/>
    <w:rsid w:val="00DB1818"/>
    <w:rsid w:val="00DC309B"/>
    <w:rsid w:val="00DC4BC7"/>
    <w:rsid w:val="00DC4DA2"/>
    <w:rsid w:val="00DC4EBD"/>
    <w:rsid w:val="00DD4C17"/>
    <w:rsid w:val="00DD74A5"/>
    <w:rsid w:val="00DE571B"/>
    <w:rsid w:val="00DF2B1F"/>
    <w:rsid w:val="00DF62CD"/>
    <w:rsid w:val="00DF73C7"/>
    <w:rsid w:val="00E16509"/>
    <w:rsid w:val="00E31FAF"/>
    <w:rsid w:val="00E32812"/>
    <w:rsid w:val="00E36815"/>
    <w:rsid w:val="00E44582"/>
    <w:rsid w:val="00E56BBA"/>
    <w:rsid w:val="00E67375"/>
    <w:rsid w:val="00E77645"/>
    <w:rsid w:val="00E8177D"/>
    <w:rsid w:val="00E83BD9"/>
    <w:rsid w:val="00E871F8"/>
    <w:rsid w:val="00E93926"/>
    <w:rsid w:val="00EA15B0"/>
    <w:rsid w:val="00EA5EA7"/>
    <w:rsid w:val="00EC07B6"/>
    <w:rsid w:val="00EC38A0"/>
    <w:rsid w:val="00EC4A25"/>
    <w:rsid w:val="00EC686A"/>
    <w:rsid w:val="00EE0518"/>
    <w:rsid w:val="00EE16CF"/>
    <w:rsid w:val="00EE37F5"/>
    <w:rsid w:val="00EF458D"/>
    <w:rsid w:val="00EF54C9"/>
    <w:rsid w:val="00F025A2"/>
    <w:rsid w:val="00F02A12"/>
    <w:rsid w:val="00F04712"/>
    <w:rsid w:val="00F10545"/>
    <w:rsid w:val="00F13360"/>
    <w:rsid w:val="00F216A9"/>
    <w:rsid w:val="00F2230B"/>
    <w:rsid w:val="00F22EC7"/>
    <w:rsid w:val="00F325C8"/>
    <w:rsid w:val="00F358A0"/>
    <w:rsid w:val="00F36276"/>
    <w:rsid w:val="00F40D14"/>
    <w:rsid w:val="00F426F1"/>
    <w:rsid w:val="00F62A94"/>
    <w:rsid w:val="00F653B8"/>
    <w:rsid w:val="00F72CB6"/>
    <w:rsid w:val="00F74A94"/>
    <w:rsid w:val="00F76D10"/>
    <w:rsid w:val="00F84D8C"/>
    <w:rsid w:val="00F86684"/>
    <w:rsid w:val="00F874DE"/>
    <w:rsid w:val="00F9008D"/>
    <w:rsid w:val="00F96630"/>
    <w:rsid w:val="00FA1266"/>
    <w:rsid w:val="00FA6962"/>
    <w:rsid w:val="00FA7394"/>
    <w:rsid w:val="00FC1192"/>
    <w:rsid w:val="00FC1460"/>
    <w:rsid w:val="00FF25B6"/>
    <w:rsid w:val="01F338DE"/>
    <w:rsid w:val="03802ADF"/>
    <w:rsid w:val="048A24AC"/>
    <w:rsid w:val="0490526F"/>
    <w:rsid w:val="053775A5"/>
    <w:rsid w:val="053F1686"/>
    <w:rsid w:val="05C14693"/>
    <w:rsid w:val="066130FD"/>
    <w:rsid w:val="06C219AC"/>
    <w:rsid w:val="071B3059"/>
    <w:rsid w:val="07544E51"/>
    <w:rsid w:val="07617291"/>
    <w:rsid w:val="07823B94"/>
    <w:rsid w:val="07A576B3"/>
    <w:rsid w:val="083E14F9"/>
    <w:rsid w:val="084B611E"/>
    <w:rsid w:val="08D46A62"/>
    <w:rsid w:val="08DE2598"/>
    <w:rsid w:val="09044119"/>
    <w:rsid w:val="091A1756"/>
    <w:rsid w:val="099318C0"/>
    <w:rsid w:val="0A107E1D"/>
    <w:rsid w:val="0AE77E36"/>
    <w:rsid w:val="0B285315"/>
    <w:rsid w:val="0B5E1103"/>
    <w:rsid w:val="0C1D6D77"/>
    <w:rsid w:val="0C697668"/>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F575C"/>
    <w:rsid w:val="110F618C"/>
    <w:rsid w:val="112E2FF4"/>
    <w:rsid w:val="11DB2048"/>
    <w:rsid w:val="11E27A68"/>
    <w:rsid w:val="128A25EC"/>
    <w:rsid w:val="138131A6"/>
    <w:rsid w:val="14501678"/>
    <w:rsid w:val="14BE2B05"/>
    <w:rsid w:val="152C6340"/>
    <w:rsid w:val="15733217"/>
    <w:rsid w:val="15F963D3"/>
    <w:rsid w:val="164F6DF7"/>
    <w:rsid w:val="16DE2138"/>
    <w:rsid w:val="171E5A3F"/>
    <w:rsid w:val="172C4065"/>
    <w:rsid w:val="172C6233"/>
    <w:rsid w:val="17915DBB"/>
    <w:rsid w:val="17A85514"/>
    <w:rsid w:val="17DB1C3B"/>
    <w:rsid w:val="18293EA3"/>
    <w:rsid w:val="188050D3"/>
    <w:rsid w:val="196C5BA0"/>
    <w:rsid w:val="199F6269"/>
    <w:rsid w:val="19B00AB8"/>
    <w:rsid w:val="1A684228"/>
    <w:rsid w:val="1B427C74"/>
    <w:rsid w:val="1B6A4E7C"/>
    <w:rsid w:val="1BAA3A35"/>
    <w:rsid w:val="1CAF1B81"/>
    <w:rsid w:val="1CD27EE6"/>
    <w:rsid w:val="1D2C4DE1"/>
    <w:rsid w:val="1D8D72C3"/>
    <w:rsid w:val="1DA63610"/>
    <w:rsid w:val="1DC56190"/>
    <w:rsid w:val="1DE40722"/>
    <w:rsid w:val="1ECA6241"/>
    <w:rsid w:val="1ED351B4"/>
    <w:rsid w:val="1F972949"/>
    <w:rsid w:val="1FE8336C"/>
    <w:rsid w:val="1FFF2CE2"/>
    <w:rsid w:val="20526CD1"/>
    <w:rsid w:val="20E1067A"/>
    <w:rsid w:val="2137030A"/>
    <w:rsid w:val="21563D14"/>
    <w:rsid w:val="21B40FFA"/>
    <w:rsid w:val="21F63053"/>
    <w:rsid w:val="22287614"/>
    <w:rsid w:val="22A260B8"/>
    <w:rsid w:val="22AD56E7"/>
    <w:rsid w:val="22F52A61"/>
    <w:rsid w:val="24E62946"/>
    <w:rsid w:val="250D5723"/>
    <w:rsid w:val="2571061E"/>
    <w:rsid w:val="25862E04"/>
    <w:rsid w:val="25A100EB"/>
    <w:rsid w:val="25D73E71"/>
    <w:rsid w:val="25FD2E5E"/>
    <w:rsid w:val="26752D47"/>
    <w:rsid w:val="27BE4120"/>
    <w:rsid w:val="27E358EE"/>
    <w:rsid w:val="280010C7"/>
    <w:rsid w:val="283C1D56"/>
    <w:rsid w:val="283D284C"/>
    <w:rsid w:val="28B70904"/>
    <w:rsid w:val="2B3E669D"/>
    <w:rsid w:val="2B421DF4"/>
    <w:rsid w:val="2BA5154E"/>
    <w:rsid w:val="2C1620B8"/>
    <w:rsid w:val="2C297927"/>
    <w:rsid w:val="2C4B06E9"/>
    <w:rsid w:val="2C6B1FD6"/>
    <w:rsid w:val="2CE80BFA"/>
    <w:rsid w:val="2D6B4364"/>
    <w:rsid w:val="2E906EA7"/>
    <w:rsid w:val="2EA87D0C"/>
    <w:rsid w:val="2F280A9E"/>
    <w:rsid w:val="301F1121"/>
    <w:rsid w:val="30673F24"/>
    <w:rsid w:val="30715219"/>
    <w:rsid w:val="319A609D"/>
    <w:rsid w:val="325B3ECE"/>
    <w:rsid w:val="326341F4"/>
    <w:rsid w:val="343044D1"/>
    <w:rsid w:val="35A16FAA"/>
    <w:rsid w:val="38151AAC"/>
    <w:rsid w:val="38C65867"/>
    <w:rsid w:val="38F01CF9"/>
    <w:rsid w:val="393A2779"/>
    <w:rsid w:val="3A1862BB"/>
    <w:rsid w:val="3A532AA4"/>
    <w:rsid w:val="3AFF7929"/>
    <w:rsid w:val="3C100419"/>
    <w:rsid w:val="3C651AB5"/>
    <w:rsid w:val="3CA91EED"/>
    <w:rsid w:val="3DD10A73"/>
    <w:rsid w:val="3E1C2251"/>
    <w:rsid w:val="3E5A1553"/>
    <w:rsid w:val="3EB30540"/>
    <w:rsid w:val="3FB36901"/>
    <w:rsid w:val="401D428C"/>
    <w:rsid w:val="40EC1A1F"/>
    <w:rsid w:val="412E24D8"/>
    <w:rsid w:val="415F3DF4"/>
    <w:rsid w:val="423C2C6D"/>
    <w:rsid w:val="42640EDA"/>
    <w:rsid w:val="43422F8C"/>
    <w:rsid w:val="43AE52B1"/>
    <w:rsid w:val="44671021"/>
    <w:rsid w:val="446E5B1A"/>
    <w:rsid w:val="449C380E"/>
    <w:rsid w:val="451E3E9B"/>
    <w:rsid w:val="458120E2"/>
    <w:rsid w:val="45902115"/>
    <w:rsid w:val="463810CB"/>
    <w:rsid w:val="465971C9"/>
    <w:rsid w:val="469535E5"/>
    <w:rsid w:val="470855B8"/>
    <w:rsid w:val="474254FF"/>
    <w:rsid w:val="479C11AF"/>
    <w:rsid w:val="47B74BE0"/>
    <w:rsid w:val="48794FF1"/>
    <w:rsid w:val="488C0349"/>
    <w:rsid w:val="48C40393"/>
    <w:rsid w:val="4A084559"/>
    <w:rsid w:val="4A3239B5"/>
    <w:rsid w:val="4AA32A24"/>
    <w:rsid w:val="4AF91647"/>
    <w:rsid w:val="4B0C12C2"/>
    <w:rsid w:val="4B522A61"/>
    <w:rsid w:val="4B836478"/>
    <w:rsid w:val="4BA40DAF"/>
    <w:rsid w:val="4BEA1D7F"/>
    <w:rsid w:val="4C772788"/>
    <w:rsid w:val="4CC2010B"/>
    <w:rsid w:val="4CD45ADF"/>
    <w:rsid w:val="4CFC36D9"/>
    <w:rsid w:val="4D292FEC"/>
    <w:rsid w:val="4DCE1143"/>
    <w:rsid w:val="4DDB5109"/>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5127C43"/>
    <w:rsid w:val="55382397"/>
    <w:rsid w:val="557B5983"/>
    <w:rsid w:val="55E1417E"/>
    <w:rsid w:val="5618097E"/>
    <w:rsid w:val="56344B9B"/>
    <w:rsid w:val="563A7D56"/>
    <w:rsid w:val="56EB5820"/>
    <w:rsid w:val="57B14AB1"/>
    <w:rsid w:val="57BD05B1"/>
    <w:rsid w:val="58231718"/>
    <w:rsid w:val="58435E93"/>
    <w:rsid w:val="58516DDF"/>
    <w:rsid w:val="58907ED8"/>
    <w:rsid w:val="58C61100"/>
    <w:rsid w:val="5AF64D62"/>
    <w:rsid w:val="5B66652E"/>
    <w:rsid w:val="5BB628CB"/>
    <w:rsid w:val="5D4F1324"/>
    <w:rsid w:val="5D9868F9"/>
    <w:rsid w:val="5E1A51B3"/>
    <w:rsid w:val="5E92370D"/>
    <w:rsid w:val="5EEB5984"/>
    <w:rsid w:val="5EFA0C2F"/>
    <w:rsid w:val="5F1E3231"/>
    <w:rsid w:val="5F36210A"/>
    <w:rsid w:val="5F725E4C"/>
    <w:rsid w:val="6028541F"/>
    <w:rsid w:val="60E07B90"/>
    <w:rsid w:val="610E7E78"/>
    <w:rsid w:val="622A0984"/>
    <w:rsid w:val="62AD53E3"/>
    <w:rsid w:val="62FE645E"/>
    <w:rsid w:val="63C86330"/>
    <w:rsid w:val="64663A4D"/>
    <w:rsid w:val="64F34A99"/>
    <w:rsid w:val="650A39C8"/>
    <w:rsid w:val="650C5878"/>
    <w:rsid w:val="656C6A72"/>
    <w:rsid w:val="661B39BA"/>
    <w:rsid w:val="664C7607"/>
    <w:rsid w:val="66D245DF"/>
    <w:rsid w:val="67140B44"/>
    <w:rsid w:val="672D189C"/>
    <w:rsid w:val="67A51714"/>
    <w:rsid w:val="67C155F3"/>
    <w:rsid w:val="68524A61"/>
    <w:rsid w:val="688468F5"/>
    <w:rsid w:val="689F3C2F"/>
    <w:rsid w:val="68FD7EFD"/>
    <w:rsid w:val="69492E5D"/>
    <w:rsid w:val="69AB006E"/>
    <w:rsid w:val="6A6807ED"/>
    <w:rsid w:val="6B1C09F3"/>
    <w:rsid w:val="6BFA7AAB"/>
    <w:rsid w:val="6C115B8E"/>
    <w:rsid w:val="6C245735"/>
    <w:rsid w:val="6CA4565C"/>
    <w:rsid w:val="6CD05926"/>
    <w:rsid w:val="6CFC7CF3"/>
    <w:rsid w:val="6D270B93"/>
    <w:rsid w:val="6D42261C"/>
    <w:rsid w:val="6DD45875"/>
    <w:rsid w:val="6DFC4526"/>
    <w:rsid w:val="6E5170FF"/>
    <w:rsid w:val="6E6D4B6B"/>
    <w:rsid w:val="6FE54A08"/>
    <w:rsid w:val="72161B1F"/>
    <w:rsid w:val="735E2D4E"/>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73444A"/>
    <w:rsid w:val="7A9650E9"/>
    <w:rsid w:val="7AC2273D"/>
    <w:rsid w:val="7AC4378E"/>
    <w:rsid w:val="7AD36012"/>
    <w:rsid w:val="7B0F4223"/>
    <w:rsid w:val="7B254F7B"/>
    <w:rsid w:val="7B4711AF"/>
    <w:rsid w:val="7B8C6DB5"/>
    <w:rsid w:val="7BD01205"/>
    <w:rsid w:val="7C55320F"/>
    <w:rsid w:val="7C752D6E"/>
    <w:rsid w:val="7D1878D9"/>
    <w:rsid w:val="7E0842C0"/>
    <w:rsid w:val="7E231D01"/>
    <w:rsid w:val="7E2C012F"/>
    <w:rsid w:val="7EFE3833"/>
    <w:rsid w:val="7F1624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2" Type="http://schemas.microsoft.com/office/2011/relationships/people" Target="people.xml"/><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footnotes" Target="footnotes.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microsoft.com/office/2011/relationships/commentsExtended" Target="commentsExtended.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comments" Target="comment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6.xml"/><Relationship Id="rId15" Type="http://schemas.openxmlformats.org/officeDocument/2006/relationships/footer" Target="footer5.xml"/><Relationship Id="rId14" Type="http://schemas.openxmlformats.org/officeDocument/2006/relationships/header" Target="header5.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86073-F760-45F6-8F40-509549178419}">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29</Pages>
  <Words>8018</Words>
  <Characters>45707</Characters>
  <Lines>380</Lines>
  <Paragraphs>107</Paragraphs>
  <TotalTime>0</TotalTime>
  <ScaleCrop>false</ScaleCrop>
  <LinksUpToDate>false</LinksUpToDate>
  <CharactersWithSpaces>53618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2022-02-08T11:59:00Z</dcterms:created>
  <dc:creator>MCC Support</dc:creator>
  <cp:keywords>&lt;keyword[, keyword, ]&gt;</cp:keywords>
  <cp:lastModifiedBy>Danni SONG(CMCC)</cp:lastModifiedBy>
  <cp:lastPrinted>2019-02-25T14:05:00Z</cp:lastPrinted>
  <dcterms:modified xsi:type="dcterms:W3CDTF">2022-02-10T02:32:04Z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04474052F4204BA5B42FD1D93C8D3927</vt:lpwstr>
  </property>
</Properties>
</file>