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671F3433"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 xml:space="preserve">3GPP TSG RAN WG4 Meeting </w:t>
      </w:r>
      <w:r w:rsidR="00ED647C">
        <w:rPr>
          <w:rFonts w:eastAsia="Malgun Gothic"/>
          <w:b/>
          <w:bCs/>
          <w:sz w:val="28"/>
          <w:lang w:val="en-GB"/>
        </w:rPr>
        <w:t>AH-1807</w:t>
      </w:r>
      <w:r w:rsidRPr="00DE4417">
        <w:rPr>
          <w:rFonts w:eastAsia="Malgun Gothic"/>
          <w:b/>
          <w:bCs/>
          <w:sz w:val="28"/>
          <w:lang w:val="en-GB" w:eastAsia="ko-KR"/>
        </w:rPr>
        <w:tab/>
      </w:r>
      <w:r w:rsidR="00B63970">
        <w:rPr>
          <w:rFonts w:eastAsia="Malgun Gothic"/>
          <w:b/>
          <w:bCs/>
          <w:sz w:val="28"/>
          <w:lang w:val="en-GB"/>
        </w:rPr>
        <w:t>R4-1809259</w:t>
      </w:r>
      <w:bookmarkStart w:id="0" w:name="_GoBack"/>
      <w:bookmarkEnd w:id="0"/>
    </w:p>
    <w:p w14:paraId="50CBE1C5" w14:textId="4734E8EE" w:rsidR="003E1A65" w:rsidRPr="00DE4417" w:rsidRDefault="00ED647C"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Montreal</w:t>
      </w:r>
      <w:r w:rsidR="003E1A65" w:rsidRPr="00DE4417">
        <w:rPr>
          <w:rFonts w:eastAsia="Malgun Gothic"/>
          <w:b/>
          <w:bCs/>
          <w:sz w:val="28"/>
          <w:lang w:val="en-GB" w:eastAsia="ko-KR"/>
        </w:rPr>
        <w:t xml:space="preserve">, </w:t>
      </w:r>
      <w:r>
        <w:rPr>
          <w:rFonts w:eastAsia="Malgun Gothic"/>
          <w:b/>
          <w:bCs/>
          <w:sz w:val="28"/>
          <w:lang w:val="en-GB" w:eastAsia="ko-KR"/>
        </w:rPr>
        <w:t>Canada,</w:t>
      </w:r>
      <w:r w:rsidR="003E1A65" w:rsidRPr="00DE4417">
        <w:rPr>
          <w:rFonts w:eastAsia="Malgun Gothic"/>
          <w:b/>
          <w:bCs/>
          <w:sz w:val="28"/>
          <w:lang w:val="en-GB" w:eastAsia="ko-KR"/>
        </w:rPr>
        <w:t xml:space="preserve"> </w:t>
      </w:r>
      <w:r>
        <w:rPr>
          <w:rFonts w:eastAsia="Malgun Gothic"/>
          <w:b/>
          <w:bCs/>
          <w:sz w:val="28"/>
          <w:lang w:val="en-GB" w:eastAsia="ko-KR"/>
        </w:rPr>
        <w:t>02 – 06</w:t>
      </w:r>
      <w:r w:rsidR="00FC5279">
        <w:rPr>
          <w:rFonts w:eastAsia="Malgun Gothic"/>
          <w:b/>
          <w:bCs/>
          <w:sz w:val="28"/>
          <w:lang w:val="en-GB" w:eastAsia="ko-KR"/>
        </w:rPr>
        <w:t xml:space="preserve"> </w:t>
      </w:r>
      <w:r>
        <w:rPr>
          <w:rFonts w:eastAsia="Malgun Gothic"/>
          <w:b/>
          <w:bCs/>
          <w:sz w:val="28"/>
          <w:lang w:val="en-GB" w:eastAsia="ko-KR"/>
        </w:rPr>
        <w:t>Jul</w:t>
      </w:r>
      <w:r w:rsidR="00B32A3F">
        <w:rPr>
          <w:rFonts w:eastAsia="Malgun Gothic"/>
          <w:b/>
          <w:bCs/>
          <w:sz w:val="28"/>
          <w:lang w:val="en-GB" w:eastAsia="ko-KR"/>
        </w:rPr>
        <w:t>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4B49F23" w:rsidR="00B81FC7" w:rsidRPr="00DE4417" w:rsidRDefault="00B81FC7" w:rsidP="008159B1">
      <w:pPr>
        <w:ind w:left="2160" w:hanging="2160"/>
        <w:rPr>
          <w:b/>
          <w:lang w:val="en-GB"/>
        </w:rPr>
      </w:pPr>
      <w:r w:rsidRPr="00DE4417">
        <w:rPr>
          <w:b/>
          <w:lang w:val="en-GB"/>
        </w:rPr>
        <w:t>Title:</w:t>
      </w:r>
      <w:r w:rsidRPr="00DE4417">
        <w:rPr>
          <w:b/>
          <w:lang w:val="en-GB"/>
        </w:rPr>
        <w:tab/>
      </w:r>
      <w:r w:rsidR="00ED647C">
        <w:rPr>
          <w:lang w:val="en-GB"/>
        </w:rPr>
        <w:t xml:space="preserve">On SNR </w:t>
      </w:r>
      <w:r w:rsidR="000C3AB6">
        <w:rPr>
          <w:lang w:val="en-GB"/>
        </w:rPr>
        <w:t>reference point definition</w:t>
      </w:r>
      <w:r w:rsidR="0050474F">
        <w:rPr>
          <w:lang w:val="en-GB"/>
        </w:rPr>
        <w:t xml:space="preserve"> in FR2</w:t>
      </w:r>
    </w:p>
    <w:p w14:paraId="7530BFCB" w14:textId="0B8EF143" w:rsidR="008B3975" w:rsidRPr="008B3975" w:rsidRDefault="00B81FC7" w:rsidP="00B81FC7">
      <w:pPr>
        <w:rPr>
          <w:lang w:val="en-GB"/>
        </w:rPr>
      </w:pPr>
      <w:r w:rsidRPr="00DE4417">
        <w:rPr>
          <w:b/>
          <w:lang w:val="en-GB"/>
        </w:rPr>
        <w:t>Agenda Item:</w:t>
      </w:r>
      <w:r w:rsidRPr="00DE4417">
        <w:rPr>
          <w:lang w:val="en-GB"/>
        </w:rPr>
        <w:tab/>
      </w:r>
      <w:r w:rsidR="00CC6B35" w:rsidRPr="00DE4417">
        <w:rPr>
          <w:lang w:val="en-GB"/>
        </w:rPr>
        <w:tab/>
      </w:r>
      <w:r w:rsidR="008B3975">
        <w:rPr>
          <w:lang w:val="en-GB"/>
        </w:rPr>
        <w:t>5.6.2</w:t>
      </w:r>
    </w:p>
    <w:p w14:paraId="21F2DA1B" w14:textId="41DF70C9" w:rsidR="00B81FC7" w:rsidRPr="00DE4417" w:rsidRDefault="00B81FC7" w:rsidP="00B81FC7">
      <w:pPr>
        <w:rPr>
          <w:sz w:val="18"/>
          <w:szCs w:val="18"/>
          <w:lang w:val="en-GB"/>
        </w:rPr>
      </w:pPr>
      <w:r w:rsidRPr="00DE4417">
        <w:rPr>
          <w:b/>
          <w:lang w:val="en-GB"/>
        </w:rPr>
        <w:t>Document for:</w:t>
      </w:r>
      <w:r w:rsidRPr="00DE4417">
        <w:rPr>
          <w:lang w:val="en-GB"/>
        </w:rPr>
        <w:tab/>
      </w:r>
      <w:r w:rsidR="00ED647C">
        <w:rPr>
          <w:lang w:val="en-GB"/>
        </w:rPr>
        <w:t>Approval</w:t>
      </w:r>
    </w:p>
    <w:p w14:paraId="7CA60390" w14:textId="68FA0500" w:rsidR="00B81FC7" w:rsidRDefault="00B81FC7" w:rsidP="00B81FC7">
      <w:pPr>
        <w:pStyle w:val="berschrift1"/>
        <w:rPr>
          <w:rFonts w:cs="Arial"/>
        </w:rPr>
      </w:pPr>
      <w:r w:rsidRPr="00DE4417">
        <w:rPr>
          <w:rFonts w:cs="Arial"/>
        </w:rPr>
        <w:t>Introduction</w:t>
      </w:r>
    </w:p>
    <w:p w14:paraId="5A9ED0AD" w14:textId="778439FD" w:rsidR="00ED647C" w:rsidRPr="00ED647C" w:rsidRDefault="00777904" w:rsidP="00ED647C">
      <w:pPr>
        <w:rPr>
          <w:lang w:val="en-GB" w:eastAsia="en-US"/>
        </w:rPr>
      </w:pPr>
      <w:r>
        <w:rPr>
          <w:lang w:val="en-GB" w:eastAsia="en-US"/>
        </w:rPr>
        <w:t>In the last meetings the SNR limitations from a test setup point of view have been discussed in [1] and [2]. Also some preliminary agreements on the reference point for SNR have been made in [3]. In this contribution we further discuss the iss</w:t>
      </w:r>
      <w:r w:rsidR="000C3AB6">
        <w:rPr>
          <w:lang w:val="en-GB" w:eastAsia="en-US"/>
        </w:rPr>
        <w:t>ue.</w:t>
      </w:r>
    </w:p>
    <w:p w14:paraId="59D92B3E" w14:textId="41CAD6E4" w:rsidR="00FC45FA" w:rsidRDefault="002A659B" w:rsidP="00FC45FA">
      <w:pPr>
        <w:pStyle w:val="berschrift1"/>
        <w:rPr>
          <w:rFonts w:cs="Arial"/>
        </w:rPr>
      </w:pPr>
      <w:bookmarkStart w:id="1" w:name="OLE_LINK10"/>
      <w:bookmarkStart w:id="2" w:name="OLE_LINK11"/>
      <w:r w:rsidRPr="00DE4417">
        <w:rPr>
          <w:rFonts w:cs="Arial"/>
        </w:rPr>
        <w:t>Discussion</w:t>
      </w:r>
    </w:p>
    <w:p w14:paraId="6C1EA76D" w14:textId="7BACFBD3" w:rsidR="00123C55" w:rsidRDefault="00EF69C6" w:rsidP="00ED2B38">
      <w:pPr>
        <w:pStyle w:val="berschrift2"/>
        <w:rPr>
          <w:lang w:val="en-US"/>
        </w:rPr>
      </w:pPr>
      <w:r>
        <w:rPr>
          <w:lang w:val="en-US"/>
        </w:rPr>
        <w:t xml:space="preserve"> </w:t>
      </w:r>
      <w:r w:rsidR="004F69CD">
        <w:rPr>
          <w:lang w:val="en-US"/>
        </w:rPr>
        <w:t>SNR r</w:t>
      </w:r>
      <w:r w:rsidR="00777904">
        <w:rPr>
          <w:lang w:val="en-US"/>
        </w:rPr>
        <w:t>eference point for FR2</w:t>
      </w:r>
    </w:p>
    <w:p w14:paraId="65817EE6" w14:textId="55A386A2" w:rsidR="00777904" w:rsidRDefault="00103B7F" w:rsidP="00777904">
      <w:pPr>
        <w:rPr>
          <w:lang w:eastAsia="en-US"/>
        </w:rPr>
      </w:pPr>
      <w:r>
        <w:rPr>
          <w:lang w:eastAsia="en-US"/>
        </w:rPr>
        <w:t>In [3] from the last meeting there</w:t>
      </w:r>
      <w:r w:rsidR="00777904">
        <w:rPr>
          <w:lang w:eastAsia="en-US"/>
        </w:rPr>
        <w:t xml:space="preserve"> was</w:t>
      </w:r>
      <w:r>
        <w:rPr>
          <w:lang w:eastAsia="en-US"/>
        </w:rPr>
        <w:t xml:space="preserve"> a tentative</w:t>
      </w:r>
      <w:r w:rsidR="00777904">
        <w:rPr>
          <w:lang w:eastAsia="en-US"/>
        </w:rPr>
        <w:t xml:space="preserve"> agreed that for calculating the feasible SNR range of the test system</w:t>
      </w:r>
      <w:r w:rsidR="00865FD8">
        <w:rPr>
          <w:lang w:eastAsia="en-US"/>
        </w:rPr>
        <w:t>,</w:t>
      </w:r>
      <w:r w:rsidR="00777904">
        <w:rPr>
          <w:lang w:eastAsia="en-US"/>
        </w:rPr>
        <w:t xml:space="preserve"> the reference point of the SNR definition should be at the baseband of the UE. To be able to do this several assumptions on the UE had to be made, so in [2] the same values as provided for the reference sensitivity discussions have been reused.</w:t>
      </w:r>
    </w:p>
    <w:p w14:paraId="0C96B017" w14:textId="582ADEBC" w:rsidR="00777904" w:rsidRDefault="00777904" w:rsidP="00777904">
      <w:pPr>
        <w:rPr>
          <w:lang w:eastAsia="en-US"/>
        </w:rPr>
      </w:pPr>
      <w:r>
        <w:rPr>
          <w:lang w:eastAsia="en-US"/>
        </w:rPr>
        <w:t xml:space="preserve">This approach is fine for analyzing the feasible SNR range of the test system, however it has limitations when trying to verify whether a SNR has been implemented correctly in a Test Case. From a test system point of view it is not feasible to reproducibly verify a set SNR at the baseband of UE, since this may be impacted by the UE itself and vary from UE to UE. </w:t>
      </w:r>
    </w:p>
    <w:p w14:paraId="1F34A590" w14:textId="2F4789BF" w:rsidR="003A600C" w:rsidRPr="003A600C" w:rsidRDefault="00777904" w:rsidP="00777904">
      <w:pPr>
        <w:rPr>
          <w:lang w:eastAsia="en-US"/>
        </w:rPr>
      </w:pPr>
      <w:r>
        <w:rPr>
          <w:lang w:eastAsia="en-US"/>
        </w:rPr>
        <w:t>Therefor</w:t>
      </w:r>
      <w:r w:rsidR="00865FD8">
        <w:rPr>
          <w:lang w:eastAsia="en-US"/>
        </w:rPr>
        <w:t>e</w:t>
      </w:r>
      <w:r>
        <w:rPr>
          <w:lang w:eastAsia="en-US"/>
        </w:rPr>
        <w:t xml:space="preserve"> when defining the requirements a different referen</w:t>
      </w:r>
      <w:r w:rsidR="004F69CD">
        <w:rPr>
          <w:lang w:eastAsia="en-US"/>
        </w:rPr>
        <w:t>ce point should be selected, so that the correct setting of the SNR can be easily verified.</w:t>
      </w:r>
      <w:r w:rsidR="00CE38FE">
        <w:rPr>
          <w:lang w:eastAsia="en-US"/>
        </w:rPr>
        <w:t xml:space="preserve"> Since typically the absolute level for a given test case is defined at the center of the quiet zone, SNR should be defined in the same way.</w:t>
      </w:r>
      <w:r w:rsidR="003A600C">
        <w:rPr>
          <w:lang w:eastAsia="en-US"/>
        </w:rPr>
        <w:t xml:space="preserve"> Additionally this would have the beneficial effect that a consistent reference point would be used for </w:t>
      </w:r>
      <w:proofErr w:type="spellStart"/>
      <w:r w:rsidR="003A600C">
        <w:rPr>
          <w:lang w:eastAsia="en-US"/>
        </w:rPr>
        <w:t>Demod</w:t>
      </w:r>
      <w:proofErr w:type="spellEnd"/>
      <w:r w:rsidR="003A600C">
        <w:rPr>
          <w:lang w:eastAsia="en-US"/>
        </w:rPr>
        <w:t xml:space="preserve"> and RRM requirements, thus avoiding any confusion.</w:t>
      </w:r>
    </w:p>
    <w:p w14:paraId="373C2A7E" w14:textId="4CCBDDB9" w:rsidR="00CE38FE" w:rsidRDefault="00CE38FE" w:rsidP="00777904">
      <w:pPr>
        <w:rPr>
          <w:lang w:eastAsia="en-US"/>
        </w:rPr>
      </w:pPr>
      <w:r w:rsidRPr="00CE38FE">
        <w:rPr>
          <w:b/>
          <w:lang w:eastAsia="en-US"/>
        </w:rPr>
        <w:t>Proposal 1:</w:t>
      </w:r>
      <w:r>
        <w:rPr>
          <w:b/>
          <w:lang w:eastAsia="en-US"/>
        </w:rPr>
        <w:t xml:space="preserve"> </w:t>
      </w:r>
      <w:r w:rsidRPr="00CE38FE">
        <w:rPr>
          <w:lang w:eastAsia="en-US"/>
        </w:rPr>
        <w:t>The reference point for SNR in the requirements is in the center of the quiet zone.</w:t>
      </w:r>
    </w:p>
    <w:p w14:paraId="4405F18D" w14:textId="7AF3F4F1" w:rsidR="00CE38FE" w:rsidRDefault="00CE38FE" w:rsidP="00777904">
      <w:pPr>
        <w:rPr>
          <w:lang w:eastAsia="en-US"/>
        </w:rPr>
      </w:pPr>
      <w:r>
        <w:rPr>
          <w:lang w:eastAsia="en-US"/>
        </w:rPr>
        <w:t xml:space="preserve">It should be noted that this has no impact on the previously conducted </w:t>
      </w:r>
      <w:r w:rsidR="00865FD8">
        <w:rPr>
          <w:lang w:eastAsia="en-US"/>
        </w:rPr>
        <w:t xml:space="preserve">study </w:t>
      </w:r>
      <w:r>
        <w:rPr>
          <w:lang w:eastAsia="en-US"/>
        </w:rPr>
        <w:t>on SNR feasibility, since the values that were calculated for the baseband of the UE can be converted to a different reference point at the center of the quiet zone.</w:t>
      </w:r>
    </w:p>
    <w:p w14:paraId="6D78CAD3" w14:textId="6CCC50B5" w:rsidR="003A600C" w:rsidRDefault="003A600C" w:rsidP="00777904">
      <w:pPr>
        <w:rPr>
          <w:lang w:eastAsia="en-US"/>
        </w:rPr>
      </w:pPr>
      <w:r>
        <w:rPr>
          <w:lang w:eastAsia="en-US"/>
        </w:rPr>
        <w:t>During the requirements definition phase the mapping between SNR at the baseband of the UE and the center of the quiet zone needs to be defined, so that it is clear how to convert one into the other without creating any confusion. Here the UE parameters captured in Annex B.3 of TR 38.810 for the SNR feasibility study can be reused.</w:t>
      </w:r>
    </w:p>
    <w:p w14:paraId="7965CF28" w14:textId="0E4E44FC" w:rsidR="003A600C" w:rsidRPr="003A600C" w:rsidRDefault="003A600C" w:rsidP="00777904">
      <w:pPr>
        <w:rPr>
          <w:b/>
          <w:lang w:eastAsia="en-US"/>
        </w:rPr>
      </w:pPr>
      <w:r w:rsidRPr="003A600C">
        <w:rPr>
          <w:b/>
          <w:lang w:eastAsia="en-US"/>
        </w:rPr>
        <w:lastRenderedPageBreak/>
        <w:t xml:space="preserve">Proposal 2: </w:t>
      </w:r>
      <w:r w:rsidRPr="003A600C">
        <w:rPr>
          <w:lang w:eastAsia="en-US"/>
        </w:rPr>
        <w:t xml:space="preserve">Use the values </w:t>
      </w:r>
      <w:r>
        <w:rPr>
          <w:lang w:eastAsia="en-US"/>
        </w:rPr>
        <w:t>from Annex B.3 of</w:t>
      </w:r>
      <w:r w:rsidRPr="003A600C">
        <w:rPr>
          <w:lang w:eastAsia="en-US"/>
        </w:rPr>
        <w:t xml:space="preserve"> TR 38.810 </w:t>
      </w:r>
      <w:r>
        <w:rPr>
          <w:lang w:eastAsia="en-US"/>
        </w:rPr>
        <w:t>to convert SNR reference point from center of the quiet zone to the baseband of the UE.</w:t>
      </w:r>
    </w:p>
    <w:bookmarkEnd w:id="1"/>
    <w:bookmarkEnd w:id="2"/>
    <w:p w14:paraId="6A30F3C3" w14:textId="35C58FA7" w:rsidR="00EE0AC3" w:rsidRDefault="00CE38FE" w:rsidP="00EE0AC3">
      <w:pPr>
        <w:pStyle w:val="berschrift1"/>
        <w:rPr>
          <w:rFonts w:cs="Arial"/>
        </w:rPr>
      </w:pPr>
      <w:r>
        <w:rPr>
          <w:rFonts w:cs="Arial"/>
        </w:rPr>
        <w:t>Conclusion</w:t>
      </w:r>
    </w:p>
    <w:p w14:paraId="3A6713F1" w14:textId="1FC2F8BC" w:rsidR="00ED647C" w:rsidRDefault="00DF2021" w:rsidP="00ED647C">
      <w:pPr>
        <w:rPr>
          <w:lang w:val="en-GB" w:eastAsia="en-US"/>
        </w:rPr>
      </w:pPr>
      <w:r>
        <w:rPr>
          <w:lang w:val="en-GB" w:eastAsia="en-US"/>
        </w:rPr>
        <w:t>In this paper we discussed the reference point for SNR for NR FR2 requirements, in our view i</w:t>
      </w:r>
      <w:r w:rsidR="00BB2F15">
        <w:rPr>
          <w:lang w:val="en-GB" w:eastAsia="en-US"/>
        </w:rPr>
        <w:t>t should be located in the cent</w:t>
      </w:r>
      <w:r>
        <w:rPr>
          <w:lang w:val="en-GB" w:eastAsia="en-US"/>
        </w:rPr>
        <w:t>r</w:t>
      </w:r>
      <w:r w:rsidR="00BB2F15">
        <w:rPr>
          <w:lang w:val="en-GB" w:eastAsia="en-US"/>
        </w:rPr>
        <w:t>e</w:t>
      </w:r>
      <w:r>
        <w:rPr>
          <w:lang w:val="en-GB" w:eastAsia="en-US"/>
        </w:rPr>
        <w:t xml:space="preserve"> of the quiet zone, since this would make the SNR verifiable in a test system and would have the additional benefit of having a common reference point for demodulation and RRM requirements.</w:t>
      </w:r>
    </w:p>
    <w:p w14:paraId="56CF8CD1" w14:textId="345DB030" w:rsidR="00DF2021" w:rsidRDefault="00DF2021" w:rsidP="00DF2021">
      <w:pPr>
        <w:rPr>
          <w:lang w:eastAsia="en-US"/>
        </w:rPr>
      </w:pPr>
      <w:r w:rsidRPr="00CE38FE">
        <w:rPr>
          <w:b/>
          <w:lang w:eastAsia="en-US"/>
        </w:rPr>
        <w:t>Proposal 1:</w:t>
      </w:r>
      <w:r>
        <w:rPr>
          <w:b/>
          <w:lang w:eastAsia="en-US"/>
        </w:rPr>
        <w:t xml:space="preserve"> </w:t>
      </w:r>
      <w:r w:rsidRPr="00CE38FE">
        <w:rPr>
          <w:lang w:eastAsia="en-US"/>
        </w:rPr>
        <w:t>The reference point for SNR in the requirements is in the center of the quiet zone.</w:t>
      </w:r>
    </w:p>
    <w:p w14:paraId="093CDF1B" w14:textId="1C5D1BA9" w:rsidR="00DF2021" w:rsidRDefault="00DF2021" w:rsidP="00DF2021">
      <w:pPr>
        <w:rPr>
          <w:lang w:eastAsia="en-US"/>
        </w:rPr>
      </w:pPr>
      <w:r>
        <w:rPr>
          <w:lang w:eastAsia="en-US"/>
        </w:rPr>
        <w:t>The previously conducted analysis for SNR is not affected by this, the results can be converted to the new reference point.</w:t>
      </w:r>
    </w:p>
    <w:p w14:paraId="66D90D07" w14:textId="77777777" w:rsidR="00DF2021" w:rsidRPr="003A600C" w:rsidRDefault="00DF2021" w:rsidP="00DF2021">
      <w:pPr>
        <w:rPr>
          <w:b/>
          <w:lang w:eastAsia="en-US"/>
        </w:rPr>
      </w:pPr>
      <w:r w:rsidRPr="003A600C">
        <w:rPr>
          <w:b/>
          <w:lang w:eastAsia="en-US"/>
        </w:rPr>
        <w:t xml:space="preserve">Proposal 2: </w:t>
      </w:r>
      <w:r w:rsidRPr="003A600C">
        <w:rPr>
          <w:lang w:eastAsia="en-US"/>
        </w:rPr>
        <w:t xml:space="preserve">Use the values </w:t>
      </w:r>
      <w:r>
        <w:rPr>
          <w:lang w:eastAsia="en-US"/>
        </w:rPr>
        <w:t>from Annex B.3 of</w:t>
      </w:r>
      <w:r w:rsidRPr="003A600C">
        <w:rPr>
          <w:lang w:eastAsia="en-US"/>
        </w:rPr>
        <w:t xml:space="preserve"> TR 38.810 </w:t>
      </w:r>
      <w:r>
        <w:rPr>
          <w:lang w:eastAsia="en-US"/>
        </w:rPr>
        <w:t>to convert SNR reference point from center of the quiet zone to the baseband of the UE.</w:t>
      </w:r>
    </w:p>
    <w:p w14:paraId="1559997D" w14:textId="4AF64BAF" w:rsidR="00030A7F" w:rsidRPr="00DE4417" w:rsidRDefault="00030A7F" w:rsidP="00711530">
      <w:pPr>
        <w:pStyle w:val="berschrift1"/>
        <w:numPr>
          <w:ilvl w:val="0"/>
          <w:numId w:val="0"/>
        </w:numPr>
        <w:rPr>
          <w:rFonts w:cs="Arial"/>
        </w:rPr>
      </w:pPr>
      <w:bookmarkStart w:id="3" w:name="_Ref473660868"/>
      <w:bookmarkStart w:id="4" w:name="_Ref473660708"/>
      <w:bookmarkStart w:id="5" w:name="OLE_LINK6"/>
      <w:bookmarkStart w:id="6" w:name="OLE_LINK7"/>
      <w:r w:rsidRPr="00DE4417">
        <w:rPr>
          <w:rFonts w:cs="Arial"/>
        </w:rPr>
        <w:t>References</w:t>
      </w:r>
    </w:p>
    <w:bookmarkEnd w:id="3"/>
    <w:bookmarkEnd w:id="4"/>
    <w:bookmarkEnd w:id="5"/>
    <w:bookmarkEnd w:id="6"/>
    <w:p w14:paraId="21B3076C" w14:textId="1E9DCB19" w:rsidR="008D6AB8" w:rsidRDefault="008D6AB8" w:rsidP="008D6AB8">
      <w:pPr>
        <w:pStyle w:val="Listenabsatz"/>
        <w:numPr>
          <w:ilvl w:val="0"/>
          <w:numId w:val="46"/>
        </w:numPr>
        <w:spacing w:after="0" w:line="240" w:lineRule="auto"/>
        <w:rPr>
          <w:lang w:val="en-GB"/>
        </w:rPr>
      </w:pPr>
      <w:r w:rsidRPr="009A37B8">
        <w:rPr>
          <w:lang w:val="en-GB"/>
        </w:rPr>
        <w:t>R4-180</w:t>
      </w:r>
      <w:r>
        <w:rPr>
          <w:lang w:val="en-GB"/>
        </w:rPr>
        <w:t>8403</w:t>
      </w:r>
      <w:r w:rsidRPr="009A37B8">
        <w:rPr>
          <w:lang w:val="en-GB"/>
        </w:rPr>
        <w:t>:</w:t>
      </w:r>
      <w:r w:rsidRPr="009A37B8">
        <w:rPr>
          <w:lang w:val="en-US"/>
        </w:rPr>
        <w:t xml:space="preserve"> </w:t>
      </w:r>
      <w:r w:rsidRPr="008D6AB8">
        <w:rPr>
          <w:lang w:val="en-GB"/>
        </w:rPr>
        <w:t>TP for TR 38.810 v2.1.0 on Demodulation and CSI Baseline setup;</w:t>
      </w:r>
      <w:r>
        <w:rPr>
          <w:lang w:val="en-GB"/>
        </w:rPr>
        <w:t xml:space="preserve"> Anritsu; </w:t>
      </w:r>
      <w:r w:rsidRPr="009A37B8">
        <w:rPr>
          <w:lang w:val="en-GB"/>
        </w:rPr>
        <w:t xml:space="preserve">RAN4 #87; </w:t>
      </w:r>
      <w:r>
        <w:rPr>
          <w:lang w:val="en-GB"/>
        </w:rPr>
        <w:t>Busan May 2018</w:t>
      </w:r>
    </w:p>
    <w:p w14:paraId="4E4B351E" w14:textId="7B7ABA08" w:rsidR="008D6AB8" w:rsidRDefault="008D6AB8" w:rsidP="008D6AB8">
      <w:pPr>
        <w:pStyle w:val="Listenabsatz"/>
        <w:numPr>
          <w:ilvl w:val="0"/>
          <w:numId w:val="46"/>
        </w:numPr>
        <w:spacing w:after="0" w:line="240" w:lineRule="auto"/>
        <w:rPr>
          <w:lang w:val="en-GB"/>
        </w:rPr>
      </w:pPr>
      <w:r w:rsidRPr="009A37B8">
        <w:rPr>
          <w:lang w:val="en-GB"/>
        </w:rPr>
        <w:t>R4-180</w:t>
      </w:r>
      <w:r>
        <w:rPr>
          <w:lang w:val="en-GB"/>
        </w:rPr>
        <w:t>7662</w:t>
      </w:r>
      <w:r w:rsidRPr="009A37B8">
        <w:rPr>
          <w:lang w:val="en-GB"/>
        </w:rPr>
        <w:t>:</w:t>
      </w:r>
      <w:r w:rsidRPr="009A37B8">
        <w:rPr>
          <w:lang w:val="en-US"/>
        </w:rPr>
        <w:t xml:space="preserve"> </w:t>
      </w:r>
      <w:r w:rsidRPr="008D6AB8">
        <w:rPr>
          <w:lang w:val="en-GB"/>
        </w:rPr>
        <w:t>Estimation of DL SNR and AWGN levels for demodulation and CSI requirements in FR2;</w:t>
      </w:r>
      <w:r>
        <w:rPr>
          <w:lang w:val="en-GB"/>
        </w:rPr>
        <w:t xml:space="preserve"> Rohde &amp; Schwarz; </w:t>
      </w:r>
      <w:r w:rsidRPr="009A37B8">
        <w:rPr>
          <w:lang w:val="en-GB"/>
        </w:rPr>
        <w:t xml:space="preserve">RAN4 #87; </w:t>
      </w:r>
      <w:r>
        <w:rPr>
          <w:lang w:val="en-GB"/>
        </w:rPr>
        <w:t>Busan May 2018</w:t>
      </w:r>
    </w:p>
    <w:p w14:paraId="4CE29CD9" w14:textId="1BA28C2E" w:rsidR="00EF4DC8" w:rsidRPr="000C3AB6" w:rsidRDefault="004A0AAA" w:rsidP="000C3AB6">
      <w:pPr>
        <w:pStyle w:val="Listenabsatz"/>
        <w:numPr>
          <w:ilvl w:val="0"/>
          <w:numId w:val="46"/>
        </w:numPr>
        <w:spacing w:after="0" w:line="240" w:lineRule="auto"/>
        <w:rPr>
          <w:lang w:val="en-GB"/>
        </w:rPr>
      </w:pPr>
      <w:r w:rsidRPr="009A37B8">
        <w:rPr>
          <w:lang w:val="en-GB"/>
        </w:rPr>
        <w:t>R4-180</w:t>
      </w:r>
      <w:r>
        <w:rPr>
          <w:lang w:val="en-GB"/>
        </w:rPr>
        <w:t>8541</w:t>
      </w:r>
      <w:r w:rsidRPr="009A37B8">
        <w:rPr>
          <w:lang w:val="en-GB"/>
        </w:rPr>
        <w:t>:</w:t>
      </w:r>
      <w:r w:rsidRPr="009A37B8">
        <w:rPr>
          <w:lang w:val="en-US"/>
        </w:rPr>
        <w:t xml:space="preserve"> </w:t>
      </w:r>
      <w:r w:rsidRPr="009A37B8">
        <w:rPr>
          <w:lang w:val="en-GB"/>
        </w:rPr>
        <w:t>Way Forward on Concluding the NR Test Methods SI</w:t>
      </w:r>
      <w:r>
        <w:rPr>
          <w:lang w:val="en-GB"/>
        </w:rPr>
        <w:t xml:space="preserve">; </w:t>
      </w:r>
      <w:r w:rsidRPr="009A37B8">
        <w:rPr>
          <w:lang w:val="en-GB"/>
        </w:rPr>
        <w:t>Intel, CATR, Rohde &amp; Schwarz, Anritsu, Spir</w:t>
      </w:r>
      <w:r>
        <w:rPr>
          <w:lang w:val="en-GB"/>
        </w:rPr>
        <w:t xml:space="preserve">ent; </w:t>
      </w:r>
      <w:r w:rsidRPr="009A37B8">
        <w:rPr>
          <w:lang w:val="en-GB"/>
        </w:rPr>
        <w:t xml:space="preserve">RAN4 #87; </w:t>
      </w:r>
      <w:r>
        <w:rPr>
          <w:lang w:val="en-GB"/>
        </w:rPr>
        <w:t>Busan May 2018</w:t>
      </w:r>
    </w:p>
    <w:sectPr w:rsidR="00EF4DC8" w:rsidRPr="000C3AB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A2918" w14:textId="77777777" w:rsidR="008275B8" w:rsidRDefault="008275B8" w:rsidP="00371D7D">
      <w:r>
        <w:separator/>
      </w:r>
    </w:p>
  </w:endnote>
  <w:endnote w:type="continuationSeparator" w:id="0">
    <w:p w14:paraId="386B1F13" w14:textId="77777777" w:rsidR="008275B8" w:rsidRDefault="008275B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90FF8F7"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63970">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76582" w14:textId="77777777" w:rsidR="008275B8" w:rsidRDefault="008275B8" w:rsidP="00371D7D">
      <w:r>
        <w:separator/>
      </w:r>
    </w:p>
  </w:footnote>
  <w:footnote w:type="continuationSeparator" w:id="0">
    <w:p w14:paraId="5DE5D06E" w14:textId="77777777" w:rsidR="008275B8" w:rsidRDefault="008275B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4454636"/>
    <w:multiLevelType w:val="hybridMultilevel"/>
    <w:tmpl w:val="8DF46C2E"/>
    <w:lvl w:ilvl="0" w:tplc="AA3A0CA0">
      <w:start w:val="1"/>
      <w:numFmt w:val="bullet"/>
      <w:lvlText w:val="–"/>
      <w:lvlJc w:val="left"/>
      <w:pPr>
        <w:tabs>
          <w:tab w:val="num" w:pos="720"/>
        </w:tabs>
        <w:ind w:left="720" w:hanging="360"/>
      </w:pPr>
      <w:rPr>
        <w:rFonts w:ascii="Arial" w:hAnsi="Arial" w:hint="default"/>
      </w:rPr>
    </w:lvl>
    <w:lvl w:ilvl="1" w:tplc="ACB8984A">
      <w:start w:val="1"/>
      <w:numFmt w:val="bullet"/>
      <w:lvlText w:val="–"/>
      <w:lvlJc w:val="left"/>
      <w:pPr>
        <w:tabs>
          <w:tab w:val="num" w:pos="1440"/>
        </w:tabs>
        <w:ind w:left="1440" w:hanging="360"/>
      </w:pPr>
      <w:rPr>
        <w:rFonts w:ascii="Arial" w:hAnsi="Arial" w:hint="default"/>
      </w:rPr>
    </w:lvl>
    <w:lvl w:ilvl="2" w:tplc="FDAEC096" w:tentative="1">
      <w:start w:val="1"/>
      <w:numFmt w:val="bullet"/>
      <w:lvlText w:val="–"/>
      <w:lvlJc w:val="left"/>
      <w:pPr>
        <w:tabs>
          <w:tab w:val="num" w:pos="2160"/>
        </w:tabs>
        <w:ind w:left="2160" w:hanging="360"/>
      </w:pPr>
      <w:rPr>
        <w:rFonts w:ascii="Arial" w:hAnsi="Arial" w:hint="default"/>
      </w:rPr>
    </w:lvl>
    <w:lvl w:ilvl="3" w:tplc="E47AC7DC" w:tentative="1">
      <w:start w:val="1"/>
      <w:numFmt w:val="bullet"/>
      <w:lvlText w:val="–"/>
      <w:lvlJc w:val="left"/>
      <w:pPr>
        <w:tabs>
          <w:tab w:val="num" w:pos="2880"/>
        </w:tabs>
        <w:ind w:left="2880" w:hanging="360"/>
      </w:pPr>
      <w:rPr>
        <w:rFonts w:ascii="Arial" w:hAnsi="Arial" w:hint="default"/>
      </w:rPr>
    </w:lvl>
    <w:lvl w:ilvl="4" w:tplc="B50C218E" w:tentative="1">
      <w:start w:val="1"/>
      <w:numFmt w:val="bullet"/>
      <w:lvlText w:val="–"/>
      <w:lvlJc w:val="left"/>
      <w:pPr>
        <w:tabs>
          <w:tab w:val="num" w:pos="3600"/>
        </w:tabs>
        <w:ind w:left="3600" w:hanging="360"/>
      </w:pPr>
      <w:rPr>
        <w:rFonts w:ascii="Arial" w:hAnsi="Arial" w:hint="default"/>
      </w:rPr>
    </w:lvl>
    <w:lvl w:ilvl="5" w:tplc="AE661036" w:tentative="1">
      <w:start w:val="1"/>
      <w:numFmt w:val="bullet"/>
      <w:lvlText w:val="–"/>
      <w:lvlJc w:val="left"/>
      <w:pPr>
        <w:tabs>
          <w:tab w:val="num" w:pos="4320"/>
        </w:tabs>
        <w:ind w:left="4320" w:hanging="360"/>
      </w:pPr>
      <w:rPr>
        <w:rFonts w:ascii="Arial" w:hAnsi="Arial" w:hint="default"/>
      </w:rPr>
    </w:lvl>
    <w:lvl w:ilvl="6" w:tplc="66B6CCFC" w:tentative="1">
      <w:start w:val="1"/>
      <w:numFmt w:val="bullet"/>
      <w:lvlText w:val="–"/>
      <w:lvlJc w:val="left"/>
      <w:pPr>
        <w:tabs>
          <w:tab w:val="num" w:pos="5040"/>
        </w:tabs>
        <w:ind w:left="5040" w:hanging="360"/>
      </w:pPr>
      <w:rPr>
        <w:rFonts w:ascii="Arial" w:hAnsi="Arial" w:hint="default"/>
      </w:rPr>
    </w:lvl>
    <w:lvl w:ilvl="7" w:tplc="933292C0" w:tentative="1">
      <w:start w:val="1"/>
      <w:numFmt w:val="bullet"/>
      <w:lvlText w:val="–"/>
      <w:lvlJc w:val="left"/>
      <w:pPr>
        <w:tabs>
          <w:tab w:val="num" w:pos="5760"/>
        </w:tabs>
        <w:ind w:left="5760" w:hanging="360"/>
      </w:pPr>
      <w:rPr>
        <w:rFonts w:ascii="Arial" w:hAnsi="Arial" w:hint="default"/>
      </w:rPr>
    </w:lvl>
    <w:lvl w:ilvl="8" w:tplc="73920F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F7B3E"/>
    <w:multiLevelType w:val="hybridMultilevel"/>
    <w:tmpl w:val="AE884E2E"/>
    <w:lvl w:ilvl="0" w:tplc="A49C8EDE">
      <w:start w:val="1"/>
      <w:numFmt w:val="decimal"/>
      <w:lvlText w:val="%1."/>
      <w:lvlJc w:val="left"/>
      <w:pPr>
        <w:tabs>
          <w:tab w:val="num" w:pos="720"/>
        </w:tabs>
        <w:ind w:left="720" w:hanging="360"/>
      </w:pPr>
    </w:lvl>
    <w:lvl w:ilvl="1" w:tplc="41A2582E">
      <w:start w:val="1"/>
      <w:numFmt w:val="decimal"/>
      <w:lvlText w:val="%2."/>
      <w:lvlJc w:val="left"/>
      <w:pPr>
        <w:tabs>
          <w:tab w:val="num" w:pos="1440"/>
        </w:tabs>
        <w:ind w:left="1440" w:hanging="360"/>
      </w:pPr>
    </w:lvl>
    <w:lvl w:ilvl="2" w:tplc="623C093C" w:tentative="1">
      <w:start w:val="1"/>
      <w:numFmt w:val="decimal"/>
      <w:lvlText w:val="%3."/>
      <w:lvlJc w:val="left"/>
      <w:pPr>
        <w:tabs>
          <w:tab w:val="num" w:pos="2160"/>
        </w:tabs>
        <w:ind w:left="2160" w:hanging="360"/>
      </w:pPr>
    </w:lvl>
    <w:lvl w:ilvl="3" w:tplc="C098223E" w:tentative="1">
      <w:start w:val="1"/>
      <w:numFmt w:val="decimal"/>
      <w:lvlText w:val="%4."/>
      <w:lvlJc w:val="left"/>
      <w:pPr>
        <w:tabs>
          <w:tab w:val="num" w:pos="2880"/>
        </w:tabs>
        <w:ind w:left="2880" w:hanging="360"/>
      </w:pPr>
    </w:lvl>
    <w:lvl w:ilvl="4" w:tplc="14D0EA6C" w:tentative="1">
      <w:start w:val="1"/>
      <w:numFmt w:val="decimal"/>
      <w:lvlText w:val="%5."/>
      <w:lvlJc w:val="left"/>
      <w:pPr>
        <w:tabs>
          <w:tab w:val="num" w:pos="3600"/>
        </w:tabs>
        <w:ind w:left="3600" w:hanging="360"/>
      </w:pPr>
    </w:lvl>
    <w:lvl w:ilvl="5" w:tplc="D8B65A10" w:tentative="1">
      <w:start w:val="1"/>
      <w:numFmt w:val="decimal"/>
      <w:lvlText w:val="%6."/>
      <w:lvlJc w:val="left"/>
      <w:pPr>
        <w:tabs>
          <w:tab w:val="num" w:pos="4320"/>
        </w:tabs>
        <w:ind w:left="4320" w:hanging="360"/>
      </w:pPr>
    </w:lvl>
    <w:lvl w:ilvl="6" w:tplc="9EACC04A" w:tentative="1">
      <w:start w:val="1"/>
      <w:numFmt w:val="decimal"/>
      <w:lvlText w:val="%7."/>
      <w:lvlJc w:val="left"/>
      <w:pPr>
        <w:tabs>
          <w:tab w:val="num" w:pos="5040"/>
        </w:tabs>
        <w:ind w:left="5040" w:hanging="360"/>
      </w:pPr>
    </w:lvl>
    <w:lvl w:ilvl="7" w:tplc="515CC1D0" w:tentative="1">
      <w:start w:val="1"/>
      <w:numFmt w:val="decimal"/>
      <w:lvlText w:val="%8."/>
      <w:lvlJc w:val="left"/>
      <w:pPr>
        <w:tabs>
          <w:tab w:val="num" w:pos="5760"/>
        </w:tabs>
        <w:ind w:left="5760" w:hanging="360"/>
      </w:pPr>
    </w:lvl>
    <w:lvl w:ilvl="8" w:tplc="F446D634" w:tentative="1">
      <w:start w:val="1"/>
      <w:numFmt w:val="decimal"/>
      <w:lvlText w:val="%9."/>
      <w:lvlJc w:val="left"/>
      <w:pPr>
        <w:tabs>
          <w:tab w:val="num" w:pos="6480"/>
        </w:tabs>
        <w:ind w:left="6480" w:hanging="360"/>
      </w:p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14E41"/>
    <w:multiLevelType w:val="hybridMultilevel"/>
    <w:tmpl w:val="B9B259C2"/>
    <w:lvl w:ilvl="0" w:tplc="BF00D2E8">
      <w:start w:val="1"/>
      <w:numFmt w:val="bullet"/>
      <w:lvlText w:val="–"/>
      <w:lvlJc w:val="left"/>
      <w:pPr>
        <w:tabs>
          <w:tab w:val="num" w:pos="720"/>
        </w:tabs>
        <w:ind w:left="720" w:hanging="360"/>
      </w:pPr>
      <w:rPr>
        <w:rFonts w:ascii="Arial" w:hAnsi="Arial" w:hint="default"/>
      </w:rPr>
    </w:lvl>
    <w:lvl w:ilvl="1" w:tplc="91701482">
      <w:start w:val="1"/>
      <w:numFmt w:val="bullet"/>
      <w:lvlText w:val="–"/>
      <w:lvlJc w:val="left"/>
      <w:pPr>
        <w:tabs>
          <w:tab w:val="num" w:pos="1440"/>
        </w:tabs>
        <w:ind w:left="1440" w:hanging="360"/>
      </w:pPr>
      <w:rPr>
        <w:rFonts w:ascii="Arial" w:hAnsi="Arial" w:hint="default"/>
      </w:rPr>
    </w:lvl>
    <w:lvl w:ilvl="2" w:tplc="43381760" w:tentative="1">
      <w:start w:val="1"/>
      <w:numFmt w:val="bullet"/>
      <w:lvlText w:val="–"/>
      <w:lvlJc w:val="left"/>
      <w:pPr>
        <w:tabs>
          <w:tab w:val="num" w:pos="2160"/>
        </w:tabs>
        <w:ind w:left="2160" w:hanging="360"/>
      </w:pPr>
      <w:rPr>
        <w:rFonts w:ascii="Arial" w:hAnsi="Arial" w:hint="default"/>
      </w:rPr>
    </w:lvl>
    <w:lvl w:ilvl="3" w:tplc="20F48E8A" w:tentative="1">
      <w:start w:val="1"/>
      <w:numFmt w:val="bullet"/>
      <w:lvlText w:val="–"/>
      <w:lvlJc w:val="left"/>
      <w:pPr>
        <w:tabs>
          <w:tab w:val="num" w:pos="2880"/>
        </w:tabs>
        <w:ind w:left="2880" w:hanging="360"/>
      </w:pPr>
      <w:rPr>
        <w:rFonts w:ascii="Arial" w:hAnsi="Arial" w:hint="default"/>
      </w:rPr>
    </w:lvl>
    <w:lvl w:ilvl="4" w:tplc="C03C4F6A" w:tentative="1">
      <w:start w:val="1"/>
      <w:numFmt w:val="bullet"/>
      <w:lvlText w:val="–"/>
      <w:lvlJc w:val="left"/>
      <w:pPr>
        <w:tabs>
          <w:tab w:val="num" w:pos="3600"/>
        </w:tabs>
        <w:ind w:left="3600" w:hanging="360"/>
      </w:pPr>
      <w:rPr>
        <w:rFonts w:ascii="Arial" w:hAnsi="Arial" w:hint="default"/>
      </w:rPr>
    </w:lvl>
    <w:lvl w:ilvl="5" w:tplc="22C41336" w:tentative="1">
      <w:start w:val="1"/>
      <w:numFmt w:val="bullet"/>
      <w:lvlText w:val="–"/>
      <w:lvlJc w:val="left"/>
      <w:pPr>
        <w:tabs>
          <w:tab w:val="num" w:pos="4320"/>
        </w:tabs>
        <w:ind w:left="4320" w:hanging="360"/>
      </w:pPr>
      <w:rPr>
        <w:rFonts w:ascii="Arial" w:hAnsi="Arial" w:hint="default"/>
      </w:rPr>
    </w:lvl>
    <w:lvl w:ilvl="6" w:tplc="76066168" w:tentative="1">
      <w:start w:val="1"/>
      <w:numFmt w:val="bullet"/>
      <w:lvlText w:val="–"/>
      <w:lvlJc w:val="left"/>
      <w:pPr>
        <w:tabs>
          <w:tab w:val="num" w:pos="5040"/>
        </w:tabs>
        <w:ind w:left="5040" w:hanging="360"/>
      </w:pPr>
      <w:rPr>
        <w:rFonts w:ascii="Arial" w:hAnsi="Arial" w:hint="default"/>
      </w:rPr>
    </w:lvl>
    <w:lvl w:ilvl="7" w:tplc="3E70C970" w:tentative="1">
      <w:start w:val="1"/>
      <w:numFmt w:val="bullet"/>
      <w:lvlText w:val="–"/>
      <w:lvlJc w:val="left"/>
      <w:pPr>
        <w:tabs>
          <w:tab w:val="num" w:pos="5760"/>
        </w:tabs>
        <w:ind w:left="5760" w:hanging="360"/>
      </w:pPr>
      <w:rPr>
        <w:rFonts w:ascii="Arial" w:hAnsi="Arial" w:hint="default"/>
      </w:rPr>
    </w:lvl>
    <w:lvl w:ilvl="8" w:tplc="59C2D5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8"/>
  </w:num>
  <w:num w:numId="33">
    <w:abstractNumId w:val="38"/>
  </w:num>
  <w:num w:numId="34">
    <w:abstractNumId w:val="3"/>
  </w:num>
  <w:num w:numId="35">
    <w:abstractNumId w:val="16"/>
  </w:num>
  <w:num w:numId="36">
    <w:abstractNumId w:val="29"/>
  </w:num>
  <w:num w:numId="37">
    <w:abstractNumId w:val="24"/>
  </w:num>
  <w:num w:numId="38">
    <w:abstractNumId w:val="37"/>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7"/>
  </w:num>
  <w:num w:numId="46">
    <w:abstractNumId w:val="9"/>
  </w:num>
  <w:num w:numId="47">
    <w:abstractNumId w:val="36"/>
  </w:num>
  <w:num w:numId="48">
    <w:abstractNumId w:val="1"/>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3AB6"/>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3B7F"/>
    <w:rsid w:val="0010446A"/>
    <w:rsid w:val="0010792C"/>
    <w:rsid w:val="00110B13"/>
    <w:rsid w:val="001114C1"/>
    <w:rsid w:val="00112164"/>
    <w:rsid w:val="001137DA"/>
    <w:rsid w:val="0011436A"/>
    <w:rsid w:val="001147B0"/>
    <w:rsid w:val="00114995"/>
    <w:rsid w:val="00116DFF"/>
    <w:rsid w:val="001178F0"/>
    <w:rsid w:val="00117F9C"/>
    <w:rsid w:val="00123745"/>
    <w:rsid w:val="00123C5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4CA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478A0"/>
    <w:rsid w:val="0035204A"/>
    <w:rsid w:val="0036038D"/>
    <w:rsid w:val="003607C5"/>
    <w:rsid w:val="003608E0"/>
    <w:rsid w:val="003644E5"/>
    <w:rsid w:val="003660C7"/>
    <w:rsid w:val="003664A2"/>
    <w:rsid w:val="00367E6D"/>
    <w:rsid w:val="0037072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600C"/>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0AAA"/>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4F69CD"/>
    <w:rsid w:val="00502740"/>
    <w:rsid w:val="00502B4D"/>
    <w:rsid w:val="0050474F"/>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1572"/>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21B4"/>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60D3"/>
    <w:rsid w:val="00667A9C"/>
    <w:rsid w:val="00674D96"/>
    <w:rsid w:val="00675624"/>
    <w:rsid w:val="00680FDD"/>
    <w:rsid w:val="00681799"/>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530"/>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77904"/>
    <w:rsid w:val="00780057"/>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275B8"/>
    <w:rsid w:val="00831E58"/>
    <w:rsid w:val="0083554F"/>
    <w:rsid w:val="00836315"/>
    <w:rsid w:val="00837DB8"/>
    <w:rsid w:val="00844428"/>
    <w:rsid w:val="00846CBA"/>
    <w:rsid w:val="00857A17"/>
    <w:rsid w:val="00861EA4"/>
    <w:rsid w:val="00862AFA"/>
    <w:rsid w:val="00863700"/>
    <w:rsid w:val="0086567A"/>
    <w:rsid w:val="00865D16"/>
    <w:rsid w:val="00865FD8"/>
    <w:rsid w:val="00867C2A"/>
    <w:rsid w:val="00870546"/>
    <w:rsid w:val="00870C53"/>
    <w:rsid w:val="00871558"/>
    <w:rsid w:val="00871F58"/>
    <w:rsid w:val="00872FCD"/>
    <w:rsid w:val="008731C9"/>
    <w:rsid w:val="00875139"/>
    <w:rsid w:val="0087559E"/>
    <w:rsid w:val="00875D1D"/>
    <w:rsid w:val="008779BB"/>
    <w:rsid w:val="00882425"/>
    <w:rsid w:val="00882F18"/>
    <w:rsid w:val="00887996"/>
    <w:rsid w:val="008919FA"/>
    <w:rsid w:val="00894205"/>
    <w:rsid w:val="008948CA"/>
    <w:rsid w:val="008966F6"/>
    <w:rsid w:val="008A4F4D"/>
    <w:rsid w:val="008A5259"/>
    <w:rsid w:val="008B0514"/>
    <w:rsid w:val="008B12D0"/>
    <w:rsid w:val="008B3975"/>
    <w:rsid w:val="008B3E44"/>
    <w:rsid w:val="008B4257"/>
    <w:rsid w:val="008B7827"/>
    <w:rsid w:val="008B7853"/>
    <w:rsid w:val="008C1554"/>
    <w:rsid w:val="008C2395"/>
    <w:rsid w:val="008C291E"/>
    <w:rsid w:val="008C2C73"/>
    <w:rsid w:val="008C77C6"/>
    <w:rsid w:val="008D0A86"/>
    <w:rsid w:val="008D2D94"/>
    <w:rsid w:val="008D552A"/>
    <w:rsid w:val="008D6AB8"/>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64EA"/>
    <w:rsid w:val="009D713C"/>
    <w:rsid w:val="009D7EBE"/>
    <w:rsid w:val="009E49C0"/>
    <w:rsid w:val="009E4CBE"/>
    <w:rsid w:val="009E4FE7"/>
    <w:rsid w:val="009E6538"/>
    <w:rsid w:val="009E766D"/>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4DE5"/>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4638"/>
    <w:rsid w:val="00A95090"/>
    <w:rsid w:val="00A9514D"/>
    <w:rsid w:val="00A96690"/>
    <w:rsid w:val="00A97BF8"/>
    <w:rsid w:val="00AA04CC"/>
    <w:rsid w:val="00AA0D07"/>
    <w:rsid w:val="00AA0F9B"/>
    <w:rsid w:val="00AA3AF8"/>
    <w:rsid w:val="00AA66CB"/>
    <w:rsid w:val="00AA7167"/>
    <w:rsid w:val="00AB0D1B"/>
    <w:rsid w:val="00AB153A"/>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2B9"/>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3970"/>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15"/>
    <w:rsid w:val="00BB567F"/>
    <w:rsid w:val="00BB601B"/>
    <w:rsid w:val="00BB61DB"/>
    <w:rsid w:val="00BB6A4C"/>
    <w:rsid w:val="00BC0823"/>
    <w:rsid w:val="00BC0850"/>
    <w:rsid w:val="00BC08FC"/>
    <w:rsid w:val="00BC2229"/>
    <w:rsid w:val="00BD0D1A"/>
    <w:rsid w:val="00BD13E2"/>
    <w:rsid w:val="00BD347F"/>
    <w:rsid w:val="00BD4781"/>
    <w:rsid w:val="00BD55A2"/>
    <w:rsid w:val="00BD6319"/>
    <w:rsid w:val="00BD73CC"/>
    <w:rsid w:val="00BD75F1"/>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21"/>
    <w:rsid w:val="00C665B6"/>
    <w:rsid w:val="00C66AEC"/>
    <w:rsid w:val="00C67824"/>
    <w:rsid w:val="00C700CC"/>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D6DEE"/>
    <w:rsid w:val="00CE0D0F"/>
    <w:rsid w:val="00CE2567"/>
    <w:rsid w:val="00CE38FE"/>
    <w:rsid w:val="00CE6A12"/>
    <w:rsid w:val="00CE7B33"/>
    <w:rsid w:val="00CF23C9"/>
    <w:rsid w:val="00CF3ECE"/>
    <w:rsid w:val="00CF41D2"/>
    <w:rsid w:val="00D0035A"/>
    <w:rsid w:val="00D00B3C"/>
    <w:rsid w:val="00D04FCA"/>
    <w:rsid w:val="00D05BE4"/>
    <w:rsid w:val="00D071B9"/>
    <w:rsid w:val="00D10215"/>
    <w:rsid w:val="00D121AD"/>
    <w:rsid w:val="00D132ED"/>
    <w:rsid w:val="00D15EF0"/>
    <w:rsid w:val="00D1738E"/>
    <w:rsid w:val="00D176E5"/>
    <w:rsid w:val="00D20074"/>
    <w:rsid w:val="00D204DC"/>
    <w:rsid w:val="00D23A0A"/>
    <w:rsid w:val="00D23C94"/>
    <w:rsid w:val="00D24042"/>
    <w:rsid w:val="00D25BD4"/>
    <w:rsid w:val="00D27579"/>
    <w:rsid w:val="00D30C67"/>
    <w:rsid w:val="00D323E4"/>
    <w:rsid w:val="00D3301A"/>
    <w:rsid w:val="00D33E05"/>
    <w:rsid w:val="00D34A16"/>
    <w:rsid w:val="00D36BEA"/>
    <w:rsid w:val="00D4043B"/>
    <w:rsid w:val="00D424E3"/>
    <w:rsid w:val="00D42662"/>
    <w:rsid w:val="00D42AF3"/>
    <w:rsid w:val="00D4520F"/>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DF2021"/>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275CC"/>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2B38"/>
    <w:rsid w:val="00ED533B"/>
    <w:rsid w:val="00ED5892"/>
    <w:rsid w:val="00ED647C"/>
    <w:rsid w:val="00EE0AC3"/>
    <w:rsid w:val="00EE17A9"/>
    <w:rsid w:val="00EE17D7"/>
    <w:rsid w:val="00EE33CE"/>
    <w:rsid w:val="00EE42C5"/>
    <w:rsid w:val="00EE4801"/>
    <w:rsid w:val="00EE49E6"/>
    <w:rsid w:val="00EE555F"/>
    <w:rsid w:val="00EE6715"/>
    <w:rsid w:val="00EF0BCA"/>
    <w:rsid w:val="00EF1BF6"/>
    <w:rsid w:val="00EF4DC8"/>
    <w:rsid w:val="00EF69C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39802376">
      <w:bodyDiv w:val="1"/>
      <w:marLeft w:val="0"/>
      <w:marRight w:val="0"/>
      <w:marTop w:val="0"/>
      <w:marBottom w:val="0"/>
      <w:divBdr>
        <w:top w:val="none" w:sz="0" w:space="0" w:color="auto"/>
        <w:left w:val="none" w:sz="0" w:space="0" w:color="auto"/>
        <w:bottom w:val="none" w:sz="0" w:space="0" w:color="auto"/>
        <w:right w:val="none" w:sz="0" w:space="0" w:color="auto"/>
      </w:divBdr>
      <w:divsChild>
        <w:div w:id="747533187">
          <w:marLeft w:val="547"/>
          <w:marRight w:val="0"/>
          <w:marTop w:val="96"/>
          <w:marBottom w:val="0"/>
          <w:divBdr>
            <w:top w:val="none" w:sz="0" w:space="0" w:color="auto"/>
            <w:left w:val="none" w:sz="0" w:space="0" w:color="auto"/>
            <w:bottom w:val="none" w:sz="0" w:space="0" w:color="auto"/>
            <w:right w:val="none" w:sz="0" w:space="0" w:color="auto"/>
          </w:divBdr>
        </w:div>
        <w:div w:id="1956711874">
          <w:marLeft w:val="720"/>
          <w:marRight w:val="0"/>
          <w:marTop w:val="96"/>
          <w:marBottom w:val="0"/>
          <w:divBdr>
            <w:top w:val="none" w:sz="0" w:space="0" w:color="auto"/>
            <w:left w:val="none" w:sz="0" w:space="0" w:color="auto"/>
            <w:bottom w:val="none" w:sz="0" w:space="0" w:color="auto"/>
            <w:right w:val="none" w:sz="0" w:space="0" w:color="auto"/>
          </w:divBdr>
        </w:div>
        <w:div w:id="1310596177">
          <w:marLeft w:val="1267"/>
          <w:marRight w:val="0"/>
          <w:marTop w:val="86"/>
          <w:marBottom w:val="0"/>
          <w:divBdr>
            <w:top w:val="none" w:sz="0" w:space="0" w:color="auto"/>
            <w:left w:val="none" w:sz="0" w:space="0" w:color="auto"/>
            <w:bottom w:val="none" w:sz="0" w:space="0" w:color="auto"/>
            <w:right w:val="none" w:sz="0" w:space="0" w:color="auto"/>
          </w:divBdr>
        </w:div>
        <w:div w:id="513610452">
          <w:marLeft w:val="1267"/>
          <w:marRight w:val="0"/>
          <w:marTop w:val="86"/>
          <w:marBottom w:val="0"/>
          <w:divBdr>
            <w:top w:val="none" w:sz="0" w:space="0" w:color="auto"/>
            <w:left w:val="none" w:sz="0" w:space="0" w:color="auto"/>
            <w:bottom w:val="none" w:sz="0" w:space="0" w:color="auto"/>
            <w:right w:val="none" w:sz="0" w:space="0" w:color="auto"/>
          </w:divBdr>
        </w:div>
        <w:div w:id="1065879365">
          <w:marLeft w:val="720"/>
          <w:marRight w:val="0"/>
          <w:marTop w:val="96"/>
          <w:marBottom w:val="0"/>
          <w:divBdr>
            <w:top w:val="none" w:sz="0" w:space="0" w:color="auto"/>
            <w:left w:val="none" w:sz="0" w:space="0" w:color="auto"/>
            <w:bottom w:val="none" w:sz="0" w:space="0" w:color="auto"/>
            <w:right w:val="none" w:sz="0" w:space="0" w:color="auto"/>
          </w:divBdr>
        </w:div>
        <w:div w:id="405763871">
          <w:marLeft w:val="1354"/>
          <w:marRight w:val="0"/>
          <w:marTop w:val="77"/>
          <w:marBottom w:val="0"/>
          <w:divBdr>
            <w:top w:val="none" w:sz="0" w:space="0" w:color="auto"/>
            <w:left w:val="none" w:sz="0" w:space="0" w:color="auto"/>
            <w:bottom w:val="none" w:sz="0" w:space="0" w:color="auto"/>
            <w:right w:val="none" w:sz="0" w:space="0" w:color="auto"/>
          </w:divBdr>
        </w:div>
        <w:div w:id="1515799971">
          <w:marLeft w:val="720"/>
          <w:marRight w:val="0"/>
          <w:marTop w:val="96"/>
          <w:marBottom w:val="0"/>
          <w:divBdr>
            <w:top w:val="none" w:sz="0" w:space="0" w:color="auto"/>
            <w:left w:val="none" w:sz="0" w:space="0" w:color="auto"/>
            <w:bottom w:val="none" w:sz="0" w:space="0" w:color="auto"/>
            <w:right w:val="none" w:sz="0" w:space="0" w:color="auto"/>
          </w:divBdr>
        </w:div>
        <w:div w:id="1341928666">
          <w:marLeft w:val="1166"/>
          <w:marRight w:val="0"/>
          <w:marTop w:val="77"/>
          <w:marBottom w:val="0"/>
          <w:divBdr>
            <w:top w:val="none" w:sz="0" w:space="0" w:color="auto"/>
            <w:left w:val="none" w:sz="0" w:space="0" w:color="auto"/>
            <w:bottom w:val="none" w:sz="0" w:space="0" w:color="auto"/>
            <w:right w:val="none" w:sz="0" w:space="0" w:color="auto"/>
          </w:divBdr>
        </w:div>
        <w:div w:id="479927154">
          <w:marLeft w:val="1166"/>
          <w:marRight w:val="0"/>
          <w:marTop w:val="77"/>
          <w:marBottom w:val="0"/>
          <w:divBdr>
            <w:top w:val="none" w:sz="0" w:space="0" w:color="auto"/>
            <w:left w:val="none" w:sz="0" w:space="0" w:color="auto"/>
            <w:bottom w:val="none" w:sz="0" w:space="0" w:color="auto"/>
            <w:right w:val="none" w:sz="0" w:space="0" w:color="auto"/>
          </w:divBdr>
        </w:div>
        <w:div w:id="846823258">
          <w:marLeft w:val="1166"/>
          <w:marRight w:val="0"/>
          <w:marTop w:val="77"/>
          <w:marBottom w:val="0"/>
          <w:divBdr>
            <w:top w:val="none" w:sz="0" w:space="0" w:color="auto"/>
            <w:left w:val="none" w:sz="0" w:space="0" w:color="auto"/>
            <w:bottom w:val="none" w:sz="0" w:space="0" w:color="auto"/>
            <w:right w:val="none" w:sz="0" w:space="0" w:color="auto"/>
          </w:divBdr>
        </w:div>
        <w:div w:id="2056616490">
          <w:marLeft w:val="1166"/>
          <w:marRight w:val="0"/>
          <w:marTop w:val="77"/>
          <w:marBottom w:val="0"/>
          <w:divBdr>
            <w:top w:val="none" w:sz="0" w:space="0" w:color="auto"/>
            <w:left w:val="none" w:sz="0" w:space="0" w:color="auto"/>
            <w:bottom w:val="none" w:sz="0" w:space="0" w:color="auto"/>
            <w:right w:val="none" w:sz="0" w:space="0" w:color="auto"/>
          </w:divBdr>
        </w:div>
        <w:div w:id="206458225">
          <w:marLeft w:val="1166"/>
          <w:marRight w:val="0"/>
          <w:marTop w:val="77"/>
          <w:marBottom w:val="0"/>
          <w:divBdr>
            <w:top w:val="none" w:sz="0" w:space="0" w:color="auto"/>
            <w:left w:val="none" w:sz="0" w:space="0" w:color="auto"/>
            <w:bottom w:val="none" w:sz="0" w:space="0" w:color="auto"/>
            <w:right w:val="none" w:sz="0" w:space="0" w:color="auto"/>
          </w:divBdr>
        </w:div>
      </w:divsChild>
    </w:div>
    <w:div w:id="309941788">
      <w:bodyDiv w:val="1"/>
      <w:marLeft w:val="0"/>
      <w:marRight w:val="0"/>
      <w:marTop w:val="0"/>
      <w:marBottom w:val="0"/>
      <w:divBdr>
        <w:top w:val="none" w:sz="0" w:space="0" w:color="auto"/>
        <w:left w:val="none" w:sz="0" w:space="0" w:color="auto"/>
        <w:bottom w:val="none" w:sz="0" w:space="0" w:color="auto"/>
        <w:right w:val="none" w:sz="0" w:space="0" w:color="auto"/>
      </w:divBdr>
      <w:divsChild>
        <w:div w:id="970674943">
          <w:marLeft w:val="1166"/>
          <w:marRight w:val="0"/>
          <w:marTop w:val="115"/>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1677125">
      <w:bodyDiv w:val="1"/>
      <w:marLeft w:val="0"/>
      <w:marRight w:val="0"/>
      <w:marTop w:val="0"/>
      <w:marBottom w:val="0"/>
      <w:divBdr>
        <w:top w:val="none" w:sz="0" w:space="0" w:color="auto"/>
        <w:left w:val="none" w:sz="0" w:space="0" w:color="auto"/>
        <w:bottom w:val="none" w:sz="0" w:space="0" w:color="auto"/>
        <w:right w:val="none" w:sz="0" w:space="0" w:color="auto"/>
      </w:divBdr>
      <w:divsChild>
        <w:div w:id="1807814114">
          <w:marLeft w:val="1166"/>
          <w:marRight w:val="0"/>
          <w:marTop w:val="115"/>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3A025-4BF2-4BDE-9720-7CB1CD57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490</Words>
  <Characters>3090</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11</cp:revision>
  <dcterms:created xsi:type="dcterms:W3CDTF">2018-06-25T06:35:00Z</dcterms:created>
  <dcterms:modified xsi:type="dcterms:W3CDTF">2018-06-25T19:32:00Z</dcterms:modified>
  <cp:category/>
</cp:coreProperties>
</file>