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1E5C" w:rsidRPr="00841BCD" w:rsidRDefault="00AA1E5C" w:rsidP="00AA1E5C">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WG4 Meeting AH-1807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F57FD7" w:rsidRPr="00F57FD7">
        <w:rPr>
          <w:rFonts w:ascii="Arial" w:eastAsia="宋体" w:hAnsi="Arial" w:cs="Times New Roman"/>
          <w:b/>
          <w:bCs/>
          <w:sz w:val="24"/>
          <w:szCs w:val="20"/>
          <w:lang w:val="en-GB" w:eastAsia="ja-JP"/>
        </w:rPr>
        <w:t>R4-1808780</w:t>
      </w:r>
      <w:bookmarkStart w:id="3" w:name="_GoBack"/>
      <w:bookmarkEnd w:id="3"/>
    </w:p>
    <w:p w:rsidR="00841BCD" w:rsidRPr="00841BCD" w:rsidRDefault="00AA1E5C" w:rsidP="00AA1E5C">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 xml:space="preserve">Montreal, Canada, July 2 – 6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06758A">
        <w:rPr>
          <w:rFonts w:ascii="Arial" w:eastAsia="Calibri" w:hAnsi="Arial" w:cs="Arial"/>
          <w:b/>
          <w:bCs/>
          <w:sz w:val="24"/>
          <w:lang w:val="en-GB"/>
        </w:rPr>
        <w:t xml:space="preserve">Remaining issues for </w:t>
      </w:r>
      <w:r w:rsidR="008204C6">
        <w:rPr>
          <w:rFonts w:ascii="Arial" w:eastAsia="Calibri" w:hAnsi="Arial" w:cs="Arial"/>
          <w:b/>
          <w:bCs/>
          <w:sz w:val="24"/>
          <w:lang w:val="en-GB"/>
        </w:rPr>
        <w:t>intra</w:t>
      </w:r>
      <w:r w:rsidR="00A15A9F">
        <w:rPr>
          <w:rFonts w:ascii="Arial" w:eastAsia="Calibri" w:hAnsi="Arial" w:cs="Arial"/>
          <w:b/>
          <w:bCs/>
          <w:sz w:val="24"/>
          <w:lang w:val="en-GB"/>
        </w:rPr>
        <w:t>-frequency measurement</w:t>
      </w:r>
      <w:r w:rsidR="00754AAA">
        <w:rPr>
          <w:rFonts w:ascii="Arial" w:eastAsia="Calibri" w:hAnsi="Arial" w:cs="Arial"/>
          <w:b/>
          <w:bCs/>
          <w:sz w:val="24"/>
          <w:lang w:val="en-GB"/>
        </w:rPr>
        <w:t xml:space="preserve"> </w:t>
      </w:r>
      <w:r w:rsidR="00503B03">
        <w:rPr>
          <w:rFonts w:ascii="Arial" w:eastAsia="Calibri" w:hAnsi="Arial" w:cs="Arial"/>
          <w:b/>
          <w:bCs/>
          <w:sz w:val="24"/>
          <w:lang w:val="en-GB"/>
        </w:rPr>
        <w:t>with</w:t>
      </w:r>
      <w:r w:rsidR="0006758A">
        <w:rPr>
          <w:rFonts w:ascii="Arial" w:eastAsia="Calibri" w:hAnsi="Arial" w:cs="Arial"/>
          <w:b/>
          <w:bCs/>
          <w:sz w:val="24"/>
          <w:lang w:val="en-GB"/>
        </w:rPr>
        <w:t>out gap</w:t>
      </w:r>
      <w:r w:rsidR="00503B03">
        <w:rPr>
          <w:rFonts w:ascii="Arial" w:eastAsia="Calibri" w:hAnsi="Arial" w:cs="Arial"/>
          <w:b/>
          <w:bCs/>
          <w:sz w:val="24"/>
          <w:lang w:val="en-GB"/>
        </w:rPr>
        <w:t xml:space="preserve"> </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54AAA">
        <w:rPr>
          <w:rFonts w:ascii="Arial" w:eastAsia="MS Mincho" w:hAnsi="Arial" w:cs="Arial"/>
          <w:b/>
          <w:bCs/>
          <w:sz w:val="24"/>
          <w:szCs w:val="20"/>
          <w:lang w:val="en-GB"/>
        </w:rPr>
        <w:t>5.2.4.1.1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5D0338" w:rsidRDefault="007A6422" w:rsidP="00754AAA">
      <w:pPr>
        <w:ind w:right="-23"/>
        <w:rPr>
          <w:rFonts w:eastAsia="Calibri" w:cs="Times New Roman"/>
          <w:szCs w:val="20"/>
        </w:rPr>
      </w:pPr>
      <w:r>
        <w:rPr>
          <w:rFonts w:eastAsia="Calibri" w:cs="Times New Roman"/>
          <w:szCs w:val="20"/>
        </w:rPr>
        <w:t xml:space="preserve">RAN4 is discussing the </w:t>
      </w:r>
      <w:bookmarkStart w:id="4" w:name="_Hlk513205245"/>
      <w:r w:rsidR="00F03CC9">
        <w:rPr>
          <w:rFonts w:eastAsia="Calibri" w:cs="Times New Roman"/>
          <w:szCs w:val="20"/>
        </w:rPr>
        <w:t>intra-frequency measurement requirements for NR</w:t>
      </w:r>
      <w:r w:rsidR="00754AAA">
        <w:rPr>
          <w:rFonts w:eastAsia="Calibri" w:cs="Times New Roman"/>
          <w:szCs w:val="20"/>
        </w:rPr>
        <w:t xml:space="preserve">. </w:t>
      </w:r>
      <w:r w:rsidR="00F03CC9">
        <w:rPr>
          <w:rFonts w:eastAsia="Calibri" w:cs="Times New Roman"/>
          <w:szCs w:val="20"/>
        </w:rPr>
        <w:t xml:space="preserve">For </w:t>
      </w:r>
      <w:r w:rsidR="00F03CC9" w:rsidRPr="00F03CC9">
        <w:rPr>
          <w:rFonts w:eastAsia="Calibri" w:cs="Times New Roman"/>
          <w:szCs w:val="20"/>
        </w:rPr>
        <w:t>intra-frequency</w:t>
      </w:r>
      <w:r w:rsidR="00F03CC9">
        <w:rPr>
          <w:rFonts w:eastAsia="Calibri" w:cs="Times New Roman"/>
          <w:szCs w:val="20"/>
        </w:rPr>
        <w:t xml:space="preserve"> measurement without MG, </w:t>
      </w:r>
      <w:r w:rsidR="005D0338">
        <w:rPr>
          <w:rFonts w:eastAsia="Calibri" w:cs="Times New Roman"/>
          <w:szCs w:val="20"/>
        </w:rPr>
        <w:t>CR</w:t>
      </w:r>
      <w:r w:rsidR="00E52560">
        <w:rPr>
          <w:rFonts w:eastAsia="Calibri" w:cs="Times New Roman"/>
          <w:szCs w:val="20"/>
        </w:rPr>
        <w:t xml:space="preserve"> </w:t>
      </w:r>
      <w:r w:rsidR="00E52560">
        <w:rPr>
          <w:rFonts w:eastAsia="Calibri" w:cs="Times New Roman"/>
          <w:szCs w:val="20"/>
        </w:rPr>
        <w:fldChar w:fldCharType="begin"/>
      </w:r>
      <w:r w:rsidR="00E52560">
        <w:rPr>
          <w:rFonts w:eastAsia="Calibri" w:cs="Times New Roman"/>
          <w:szCs w:val="20"/>
        </w:rPr>
        <w:instrText xml:space="preserve"> REF _Ref517446342 \r \h </w:instrText>
      </w:r>
      <w:r w:rsidR="00E52560">
        <w:rPr>
          <w:rFonts w:eastAsia="Calibri" w:cs="Times New Roman"/>
          <w:szCs w:val="20"/>
        </w:rPr>
      </w:r>
      <w:r w:rsidR="00E52560">
        <w:rPr>
          <w:rFonts w:eastAsia="Calibri" w:cs="Times New Roman"/>
          <w:szCs w:val="20"/>
        </w:rPr>
        <w:fldChar w:fldCharType="separate"/>
      </w:r>
      <w:r w:rsidR="00E52560">
        <w:rPr>
          <w:rFonts w:eastAsia="Calibri" w:cs="Times New Roman"/>
          <w:szCs w:val="20"/>
        </w:rPr>
        <w:t>[1]</w:t>
      </w:r>
      <w:r w:rsidR="00E52560">
        <w:rPr>
          <w:rFonts w:eastAsia="Calibri" w:cs="Times New Roman"/>
          <w:szCs w:val="20"/>
        </w:rPr>
        <w:fldChar w:fldCharType="end"/>
      </w:r>
      <w:r w:rsidR="005D0338">
        <w:rPr>
          <w:rFonts w:cs="Times New Roman" w:hint="eastAsia"/>
          <w:szCs w:val="20"/>
          <w:lang w:eastAsia="zh-CN"/>
        </w:rPr>
        <w:t xml:space="preserve"> is agreed in RAN4#87 which captures all </w:t>
      </w:r>
      <w:r w:rsidR="005D0338">
        <w:rPr>
          <w:rFonts w:cs="Times New Roman"/>
          <w:szCs w:val="20"/>
          <w:lang w:eastAsia="zh-CN"/>
        </w:rPr>
        <w:t>the</w:t>
      </w:r>
      <w:r w:rsidR="005D0338">
        <w:rPr>
          <w:rFonts w:cs="Times New Roman" w:hint="eastAsia"/>
          <w:szCs w:val="20"/>
          <w:lang w:eastAsia="zh-CN"/>
        </w:rPr>
        <w:t xml:space="preserve"> </w:t>
      </w:r>
      <w:r w:rsidR="005D0338">
        <w:rPr>
          <w:rFonts w:cs="Times New Roman"/>
          <w:szCs w:val="20"/>
          <w:lang w:eastAsia="zh-CN"/>
        </w:rPr>
        <w:t xml:space="preserve">agreements made during the meeting. In our understanding, </w:t>
      </w:r>
      <w:r w:rsidR="005D0338">
        <w:rPr>
          <w:rFonts w:eastAsia="Calibri" w:cs="Times New Roman"/>
          <w:szCs w:val="20"/>
        </w:rPr>
        <w:t>the</w:t>
      </w:r>
      <w:r w:rsidR="00754AAA">
        <w:rPr>
          <w:rFonts w:eastAsia="Calibri" w:cs="Times New Roman"/>
          <w:szCs w:val="20"/>
        </w:rPr>
        <w:t xml:space="preserve"> remaining open issue</w:t>
      </w:r>
      <w:r w:rsidR="005D0338">
        <w:rPr>
          <w:rFonts w:eastAsia="Calibri" w:cs="Times New Roman"/>
          <w:szCs w:val="20"/>
        </w:rPr>
        <w:t>s</w:t>
      </w:r>
      <w:r w:rsidR="00754AAA">
        <w:rPr>
          <w:rFonts w:eastAsia="Calibri" w:cs="Times New Roman"/>
          <w:szCs w:val="20"/>
        </w:rPr>
        <w:t xml:space="preserve"> </w:t>
      </w:r>
      <w:r w:rsidR="005D0338">
        <w:rPr>
          <w:rFonts w:eastAsia="Calibri" w:cs="Times New Roman"/>
          <w:szCs w:val="20"/>
        </w:rPr>
        <w:t xml:space="preserve">are </w:t>
      </w:r>
    </w:p>
    <w:p w:rsidR="00F03CC9" w:rsidRPr="005D0338" w:rsidRDefault="005D0338" w:rsidP="000D4E89">
      <w:pPr>
        <w:pStyle w:val="ListParagraph"/>
        <w:numPr>
          <w:ilvl w:val="0"/>
          <w:numId w:val="42"/>
        </w:numPr>
        <w:ind w:right="-23"/>
        <w:rPr>
          <w:rFonts w:eastAsia="Calibri" w:cs="Times New Roman"/>
          <w:szCs w:val="20"/>
        </w:rPr>
      </w:pPr>
      <w:r>
        <w:rPr>
          <w:rFonts w:eastAsia="Calibri" w:cs="Times New Roman"/>
          <w:szCs w:val="20"/>
        </w:rPr>
        <w:t>R</w:t>
      </w:r>
      <w:r w:rsidR="00754AAA" w:rsidRPr="005D0338">
        <w:rPr>
          <w:rFonts w:eastAsia="Calibri" w:cs="Times New Roman"/>
          <w:szCs w:val="20"/>
        </w:rPr>
        <w:t xml:space="preserve">equirements </w:t>
      </w:r>
      <w:r w:rsidR="00F03CC9" w:rsidRPr="005D0338">
        <w:rPr>
          <w:rFonts w:eastAsia="Calibri" w:cs="Times New Roman"/>
          <w:szCs w:val="20"/>
        </w:rPr>
        <w:t xml:space="preserve">for multiple serving </w:t>
      </w:r>
      <w:r w:rsidR="00EF236A" w:rsidRPr="005D0338">
        <w:rPr>
          <w:rFonts w:eastAsia="Calibri" w:cs="Times New Roman"/>
          <w:szCs w:val="20"/>
        </w:rPr>
        <w:t xml:space="preserve">cells in </w:t>
      </w:r>
      <w:r w:rsidR="00F03CC9" w:rsidRPr="005D0338">
        <w:rPr>
          <w:rFonts w:eastAsia="Calibri" w:cs="Times New Roman"/>
          <w:szCs w:val="20"/>
        </w:rPr>
        <w:t>NR CA</w:t>
      </w:r>
      <w:r w:rsidR="00754AAA" w:rsidRPr="005D0338">
        <w:rPr>
          <w:rFonts w:eastAsia="Calibri" w:cs="Times New Roman"/>
          <w:szCs w:val="20"/>
          <w:vertAlign w:val="subscript"/>
        </w:rPr>
        <w:t xml:space="preserve"> </w:t>
      </w:r>
    </w:p>
    <w:p w:rsidR="005D0338" w:rsidRDefault="005D0338" w:rsidP="000D4E89">
      <w:pPr>
        <w:pStyle w:val="ListParagraph"/>
        <w:numPr>
          <w:ilvl w:val="0"/>
          <w:numId w:val="42"/>
        </w:numPr>
        <w:ind w:right="-23"/>
        <w:rPr>
          <w:rFonts w:eastAsia="Calibri" w:cs="Times New Roman"/>
          <w:szCs w:val="20"/>
        </w:rPr>
      </w:pPr>
      <w:r>
        <w:rPr>
          <w:rFonts w:eastAsia="Calibri" w:cs="Times New Roman"/>
          <w:szCs w:val="20"/>
        </w:rPr>
        <w:t>Requirements for the case where SMTC is fully overlapping with MG</w:t>
      </w:r>
    </w:p>
    <w:p w:rsidR="005D0338" w:rsidRPr="005D0338" w:rsidRDefault="005D0338" w:rsidP="000D4E89">
      <w:pPr>
        <w:pStyle w:val="ListParagraph"/>
        <w:numPr>
          <w:ilvl w:val="0"/>
          <w:numId w:val="42"/>
        </w:numPr>
        <w:rPr>
          <w:rFonts w:eastAsia="Calibri" w:cs="Times New Roman"/>
          <w:szCs w:val="20"/>
        </w:rPr>
      </w:pPr>
      <w:r w:rsidRPr="005D0338">
        <w:rPr>
          <w:rFonts w:eastAsia="Calibri" w:cs="Times New Roman"/>
          <w:szCs w:val="20"/>
        </w:rPr>
        <w:t>Scaling factor for Rx beam sweeping in FR2</w:t>
      </w:r>
    </w:p>
    <w:p w:rsidR="00F03CC9" w:rsidRDefault="00F03CC9" w:rsidP="000D4E89">
      <w:pPr>
        <w:pStyle w:val="ListParagraph"/>
        <w:numPr>
          <w:ilvl w:val="0"/>
          <w:numId w:val="42"/>
        </w:numPr>
        <w:ind w:right="-23"/>
        <w:rPr>
          <w:rFonts w:eastAsia="Calibri" w:cs="Times New Roman"/>
          <w:szCs w:val="20"/>
        </w:rPr>
      </w:pPr>
      <w:r>
        <w:rPr>
          <w:rFonts w:eastAsia="Calibri" w:cs="Times New Roman"/>
          <w:szCs w:val="20"/>
        </w:rPr>
        <w:t xml:space="preserve">Requirements with </w:t>
      </w:r>
      <w:r w:rsidR="005D0338">
        <w:rPr>
          <w:rFonts w:eastAsia="Calibri" w:cs="Times New Roman"/>
          <w:szCs w:val="20"/>
        </w:rPr>
        <w:t xml:space="preserve">separate </w:t>
      </w:r>
      <w:r w:rsidR="00B53D00">
        <w:rPr>
          <w:rFonts w:eastAsia="Calibri" w:cs="Times New Roman"/>
          <w:szCs w:val="20"/>
        </w:rPr>
        <w:t>DRX</w:t>
      </w:r>
      <w:r w:rsidR="005D0338">
        <w:rPr>
          <w:rFonts w:eastAsia="Calibri" w:cs="Times New Roman"/>
          <w:szCs w:val="20"/>
        </w:rPr>
        <w:t xml:space="preserve"> configuration in MN and SN</w:t>
      </w:r>
    </w:p>
    <w:p w:rsidR="005D0338" w:rsidRDefault="005D0338" w:rsidP="000D4E89">
      <w:pPr>
        <w:pStyle w:val="ListParagraph"/>
        <w:numPr>
          <w:ilvl w:val="0"/>
          <w:numId w:val="42"/>
        </w:numPr>
        <w:ind w:right="-23"/>
        <w:rPr>
          <w:rFonts w:eastAsia="Calibri" w:cs="Times New Roman"/>
          <w:szCs w:val="20"/>
        </w:rPr>
      </w:pPr>
      <w:r>
        <w:rPr>
          <w:rFonts w:eastAsia="Calibri" w:cs="Times New Roman"/>
          <w:szCs w:val="20"/>
        </w:rPr>
        <w:t>Requirements for de-activated SCell in FR2</w:t>
      </w:r>
    </w:p>
    <w:p w:rsidR="00EF236A" w:rsidRDefault="00EF236A" w:rsidP="000D4E89">
      <w:pPr>
        <w:pStyle w:val="ListParagraph"/>
        <w:numPr>
          <w:ilvl w:val="0"/>
          <w:numId w:val="42"/>
        </w:numPr>
        <w:ind w:right="-23"/>
        <w:rPr>
          <w:rFonts w:eastAsia="Calibri" w:cs="Times New Roman"/>
          <w:szCs w:val="20"/>
        </w:rPr>
      </w:pPr>
      <w:r>
        <w:rPr>
          <w:rFonts w:eastAsia="Calibri" w:cs="Times New Roman"/>
          <w:szCs w:val="20"/>
        </w:rPr>
        <w:t>Requirements with full overlapped SMTC and RLM-RS in FR2</w:t>
      </w:r>
    </w:p>
    <w:p w:rsidR="00126990" w:rsidRPr="00126990" w:rsidRDefault="006265E0" w:rsidP="00C74935">
      <w:pPr>
        <w:ind w:right="-23"/>
        <w:rPr>
          <w:rFonts w:eastAsia="Calibri" w:cs="Times New Roman"/>
          <w:szCs w:val="20"/>
        </w:rPr>
      </w:pPr>
      <w:r>
        <w:rPr>
          <w:rFonts w:eastAsia="Calibri" w:cs="Times New Roman"/>
          <w:szCs w:val="20"/>
        </w:rPr>
        <w:t xml:space="preserve">The first issue of CA requirements, the third issue of Rx beam sweeping and the last issue of fully overlapped SMTC and RLM-RS in FR2 are addressed in our companion paper. </w:t>
      </w:r>
      <w:r w:rsidR="00C42DCE">
        <w:rPr>
          <w:rFonts w:eastAsia="Calibri" w:cs="Times New Roman"/>
          <w:szCs w:val="20"/>
        </w:rPr>
        <w:t xml:space="preserve">In this paper, </w:t>
      </w:r>
      <w:bookmarkStart w:id="5" w:name="_Hlk513205847"/>
      <w:bookmarkEnd w:id="4"/>
      <w:r w:rsidR="001034FB">
        <w:rPr>
          <w:rFonts w:eastAsia="Calibri" w:cs="Times New Roman"/>
          <w:szCs w:val="20"/>
        </w:rPr>
        <w:t>we</w:t>
      </w:r>
      <w:r w:rsidR="00C203DD">
        <w:rPr>
          <w:rFonts w:eastAsia="Calibri" w:cs="Times New Roman"/>
          <w:szCs w:val="20"/>
        </w:rPr>
        <w:t xml:space="preserve"> will </w:t>
      </w:r>
      <w:bookmarkStart w:id="6" w:name="_Hlk517539659"/>
      <w:r w:rsidR="00C203DD">
        <w:rPr>
          <w:rFonts w:eastAsia="Calibri" w:cs="Times New Roman"/>
          <w:szCs w:val="20"/>
        </w:rPr>
        <w:t xml:space="preserve">provide our views on </w:t>
      </w:r>
      <w:r>
        <w:rPr>
          <w:rFonts w:eastAsia="Calibri" w:cs="Times New Roman"/>
          <w:szCs w:val="20"/>
        </w:rPr>
        <w:t>the remaining open issues for defining requirements for intra-frequency measurement without gap</w:t>
      </w:r>
      <w:bookmarkEnd w:id="6"/>
      <w:r w:rsidR="00C203DD">
        <w:rPr>
          <w:rFonts w:eastAsia="Calibri" w:cs="Times New Roman"/>
          <w:szCs w:val="20"/>
        </w:rPr>
        <w:t xml:space="preserve">. </w:t>
      </w:r>
    </w:p>
    <w:bookmarkEnd w:id="5"/>
    <w:p w:rsidR="003B659E" w:rsidRDefault="003B659E" w:rsidP="00AE56B1">
      <w:pPr>
        <w:pStyle w:val="RAN4H1"/>
      </w:pPr>
      <w:r w:rsidRPr="00AE56B1">
        <w:t>Discussion</w:t>
      </w:r>
    </w:p>
    <w:p w:rsidR="00100DF1" w:rsidRDefault="00FE6250" w:rsidP="00100DF1">
      <w:pPr>
        <w:pStyle w:val="RAN4H2"/>
        <w:rPr>
          <w:rFonts w:eastAsia="Calibri"/>
        </w:rPr>
      </w:pPr>
      <w:r>
        <w:rPr>
          <w:rFonts w:eastAsia="Calibri"/>
        </w:rPr>
        <w:t>F</w:t>
      </w:r>
      <w:r w:rsidR="00F64F6E">
        <w:rPr>
          <w:rFonts w:eastAsia="Calibri"/>
        </w:rPr>
        <w:t>ully overlapped SMTC and MG</w:t>
      </w:r>
    </w:p>
    <w:p w:rsidR="00100DF1" w:rsidRDefault="00F64F6E" w:rsidP="00100DF1">
      <w:pPr>
        <w:ind w:right="-23"/>
        <w:rPr>
          <w:rFonts w:eastAsia="Calibri" w:cs="Times New Roman"/>
          <w:szCs w:val="20"/>
        </w:rPr>
      </w:pPr>
      <w:r>
        <w:rPr>
          <w:rFonts w:eastAsia="Calibri" w:cs="Times New Roman"/>
          <w:szCs w:val="20"/>
        </w:rPr>
        <w:t xml:space="preserve">In </w:t>
      </w:r>
      <w:r>
        <w:rPr>
          <w:rFonts w:eastAsia="Calibri" w:cs="Times New Roman"/>
          <w:szCs w:val="20"/>
        </w:rPr>
        <w:fldChar w:fldCharType="begin"/>
      </w:r>
      <w:r>
        <w:rPr>
          <w:rFonts w:eastAsia="Calibri" w:cs="Times New Roman"/>
          <w:szCs w:val="20"/>
        </w:rPr>
        <w:instrText xml:space="preserve"> REF _Ref517446342 \r \h </w:instrText>
      </w:r>
      <w:r>
        <w:rPr>
          <w:rFonts w:eastAsia="Calibri" w:cs="Times New Roman"/>
          <w:szCs w:val="20"/>
        </w:rPr>
      </w:r>
      <w:r>
        <w:rPr>
          <w:rFonts w:eastAsia="Calibri" w:cs="Times New Roman"/>
          <w:szCs w:val="20"/>
        </w:rPr>
        <w:fldChar w:fldCharType="separate"/>
      </w:r>
      <w:r>
        <w:rPr>
          <w:rFonts w:eastAsia="Calibri" w:cs="Times New Roman"/>
          <w:szCs w:val="20"/>
        </w:rPr>
        <w:t>[1]</w:t>
      </w:r>
      <w:r>
        <w:rPr>
          <w:rFonts w:eastAsia="Calibri" w:cs="Times New Roman"/>
          <w:szCs w:val="20"/>
        </w:rPr>
        <w:fldChar w:fldCharType="end"/>
      </w:r>
      <w:r>
        <w:rPr>
          <w:rFonts w:eastAsia="Calibri" w:cs="Times New Roman"/>
          <w:szCs w:val="20"/>
        </w:rPr>
        <w:t xml:space="preserve"> there are two editor notes related to collision with MG. </w:t>
      </w:r>
    </w:p>
    <w:tbl>
      <w:tblPr>
        <w:tblStyle w:val="TableGrid"/>
        <w:tblW w:w="0" w:type="auto"/>
        <w:tblLook w:val="04A0" w:firstRow="1" w:lastRow="0" w:firstColumn="1" w:lastColumn="0" w:noHBand="0" w:noVBand="1"/>
      </w:tblPr>
      <w:tblGrid>
        <w:gridCol w:w="9617"/>
      </w:tblGrid>
      <w:tr w:rsidR="00100DF1" w:rsidTr="00100DF1">
        <w:tc>
          <w:tcPr>
            <w:tcW w:w="9617" w:type="dxa"/>
          </w:tcPr>
          <w:p w:rsidR="00F64F6E" w:rsidRDefault="00F64F6E" w:rsidP="00F64F6E">
            <w:pPr>
              <w:pStyle w:val="B1"/>
              <w:ind w:left="284" w:firstLine="0"/>
              <w:rPr>
                <w:i/>
              </w:rPr>
            </w:pPr>
            <w:r w:rsidRPr="005D3582">
              <w:rPr>
                <w:i/>
              </w:rPr>
              <w:t xml:space="preserve">Editor’s note : It is FFS </w:t>
            </w:r>
            <w:r>
              <w:rPr>
                <w:i/>
              </w:rPr>
              <w:t>how</w:t>
            </w:r>
            <w:r w:rsidRPr="005D3582">
              <w:rPr>
                <w:i/>
              </w:rPr>
              <w:t xml:space="preserve"> requirements are defined for the case that SMTC are fully overlapping with measurement gap</w:t>
            </w:r>
          </w:p>
          <w:p w:rsidR="00100DF1" w:rsidRDefault="00F64F6E" w:rsidP="00F64F6E">
            <w:r>
              <w:rPr>
                <w:i/>
              </w:rPr>
              <w:t>Editor’s note: It is FFS if the same scaling factor can be applied for FR2 in case of partial overlap between SMTC and measurement gap</w:t>
            </w:r>
          </w:p>
        </w:tc>
      </w:tr>
    </w:tbl>
    <w:p w:rsidR="00F64F6E" w:rsidRDefault="00F64F6E" w:rsidP="00E20ED2">
      <w:r>
        <w:t>On the other hand, below agreements are made in RAN4#87.</w:t>
      </w:r>
    </w:p>
    <w:tbl>
      <w:tblPr>
        <w:tblStyle w:val="TableGrid"/>
        <w:tblW w:w="0" w:type="auto"/>
        <w:tblLook w:val="04A0" w:firstRow="1" w:lastRow="0" w:firstColumn="1" w:lastColumn="0" w:noHBand="0" w:noVBand="1"/>
      </w:tblPr>
      <w:tblGrid>
        <w:gridCol w:w="9617"/>
      </w:tblGrid>
      <w:tr w:rsidR="00F64F6E" w:rsidTr="00F64F6E">
        <w:tc>
          <w:tcPr>
            <w:tcW w:w="9617" w:type="dxa"/>
          </w:tcPr>
          <w:p w:rsidR="00F64F6E" w:rsidRPr="00F64F6E" w:rsidRDefault="00F64F6E" w:rsidP="00F64F6E">
            <w:pPr>
              <w:numPr>
                <w:ilvl w:val="0"/>
                <w:numId w:val="43"/>
              </w:numPr>
              <w:overflowPunct w:val="0"/>
              <w:autoSpaceDE w:val="0"/>
              <w:autoSpaceDN w:val="0"/>
              <w:adjustRightInd w:val="0"/>
              <w:spacing w:before="0" w:after="180"/>
              <w:textAlignment w:val="baseline"/>
              <w:rPr>
                <w:rFonts w:eastAsia="宋体" w:cs="Times New Roman"/>
                <w:szCs w:val="20"/>
                <w:highlight w:val="green"/>
                <w:lang w:val="en-GB" w:eastAsia="ja-JP"/>
              </w:rPr>
            </w:pPr>
            <w:r w:rsidRPr="00F64F6E">
              <w:rPr>
                <w:rFonts w:eastAsia="宋体" w:cs="Times New Roman"/>
                <w:szCs w:val="20"/>
                <w:highlight w:val="green"/>
                <w:lang w:val="en-GB" w:eastAsia="ja-JP"/>
              </w:rPr>
              <w:t>FR1</w:t>
            </w:r>
          </w:p>
          <w:p w:rsidR="00F64F6E" w:rsidRPr="00F64F6E" w:rsidRDefault="00F64F6E" w:rsidP="00F64F6E">
            <w:pPr>
              <w:numPr>
                <w:ilvl w:val="1"/>
                <w:numId w:val="43"/>
              </w:numPr>
              <w:overflowPunct w:val="0"/>
              <w:autoSpaceDE w:val="0"/>
              <w:autoSpaceDN w:val="0"/>
              <w:adjustRightInd w:val="0"/>
              <w:spacing w:before="0" w:after="180"/>
              <w:textAlignment w:val="baseline"/>
              <w:rPr>
                <w:rFonts w:eastAsia="宋体" w:cs="Times New Roman"/>
                <w:szCs w:val="20"/>
                <w:highlight w:val="green"/>
                <w:lang w:val="en-GB" w:eastAsia="ja-JP"/>
              </w:rPr>
            </w:pPr>
            <w:r w:rsidRPr="00F64F6E">
              <w:rPr>
                <w:rFonts w:eastAsia="宋体" w:cs="Times New Roman"/>
                <w:szCs w:val="20"/>
                <w:highlight w:val="green"/>
                <w:lang w:val="en-GB" w:eastAsia="ja-JP"/>
              </w:rPr>
              <w:t>When FR1 type A/B measurements and measurement gap are fully colliding, the type A/B measurement is treated in the same way as a type C measurement</w:t>
            </w:r>
            <w:r w:rsidRPr="00F64F6E">
              <w:rPr>
                <w:rFonts w:eastAsia="宋体" w:cs="Times New Roman" w:hint="eastAsia"/>
                <w:szCs w:val="20"/>
                <w:highlight w:val="green"/>
                <w:lang w:val="en-GB" w:eastAsia="zh-CN"/>
              </w:rPr>
              <w:t xml:space="preserve"> (i.e., gap sharing)</w:t>
            </w:r>
          </w:p>
          <w:p w:rsidR="00F64F6E" w:rsidRPr="00F64F6E" w:rsidRDefault="00F64F6E" w:rsidP="00F64F6E">
            <w:pPr>
              <w:numPr>
                <w:ilvl w:val="0"/>
                <w:numId w:val="43"/>
              </w:numPr>
              <w:overflowPunct w:val="0"/>
              <w:autoSpaceDE w:val="0"/>
              <w:autoSpaceDN w:val="0"/>
              <w:adjustRightInd w:val="0"/>
              <w:spacing w:before="0" w:after="180"/>
              <w:textAlignment w:val="baseline"/>
              <w:rPr>
                <w:rFonts w:eastAsia="宋体" w:cs="Times New Roman"/>
                <w:szCs w:val="20"/>
                <w:highlight w:val="green"/>
                <w:lang w:val="en-GB" w:eastAsia="ja-JP"/>
              </w:rPr>
            </w:pPr>
            <w:r w:rsidRPr="00F64F6E">
              <w:rPr>
                <w:rFonts w:eastAsia="宋体" w:cs="Times New Roman"/>
                <w:szCs w:val="20"/>
                <w:highlight w:val="green"/>
                <w:lang w:val="en-GB" w:eastAsia="ja-JP"/>
              </w:rPr>
              <w:t>FR</w:t>
            </w:r>
            <w:r w:rsidRPr="00F64F6E">
              <w:rPr>
                <w:rFonts w:eastAsia="宋体" w:cs="Times New Roman" w:hint="eastAsia"/>
                <w:szCs w:val="20"/>
                <w:highlight w:val="green"/>
                <w:lang w:val="en-GB" w:eastAsia="zh-CN"/>
              </w:rPr>
              <w:t>2</w:t>
            </w:r>
          </w:p>
          <w:p w:rsidR="00F64F6E" w:rsidRPr="00F64F6E" w:rsidRDefault="00F64F6E" w:rsidP="00F64F6E">
            <w:pPr>
              <w:numPr>
                <w:ilvl w:val="1"/>
                <w:numId w:val="43"/>
              </w:numPr>
              <w:overflowPunct w:val="0"/>
              <w:autoSpaceDE w:val="0"/>
              <w:autoSpaceDN w:val="0"/>
              <w:adjustRightInd w:val="0"/>
              <w:spacing w:before="0" w:after="180"/>
              <w:textAlignment w:val="baseline"/>
              <w:rPr>
                <w:rFonts w:eastAsia="宋体" w:cs="Times New Roman"/>
                <w:szCs w:val="20"/>
                <w:highlight w:val="green"/>
                <w:lang w:val="en-GB" w:eastAsia="ja-JP"/>
              </w:rPr>
            </w:pPr>
            <w:r w:rsidRPr="00F64F6E">
              <w:rPr>
                <w:rFonts w:eastAsia="宋体" w:cs="Times New Roman"/>
                <w:szCs w:val="20"/>
                <w:highlight w:val="green"/>
                <w:lang w:val="en-GB" w:eastAsia="ja-JP"/>
              </w:rPr>
              <w:t>For scenario 2b, Option 1-1: “Intra frequency measurement could be conducted only outside of MG” is selected</w:t>
            </w:r>
          </w:p>
          <w:p w:rsidR="00F64F6E" w:rsidRPr="00F64F6E" w:rsidRDefault="00F64F6E" w:rsidP="00E20ED2">
            <w:pPr>
              <w:numPr>
                <w:ilvl w:val="1"/>
                <w:numId w:val="43"/>
              </w:numPr>
              <w:overflowPunct w:val="0"/>
              <w:autoSpaceDE w:val="0"/>
              <w:autoSpaceDN w:val="0"/>
              <w:adjustRightInd w:val="0"/>
              <w:spacing w:before="0" w:after="180"/>
              <w:textAlignment w:val="baseline"/>
              <w:rPr>
                <w:rFonts w:eastAsia="宋体" w:cs="Times New Roman"/>
                <w:szCs w:val="20"/>
                <w:highlight w:val="green"/>
                <w:lang w:val="en-GB" w:eastAsia="ja-JP"/>
              </w:rPr>
            </w:pPr>
            <w:r w:rsidRPr="00F64F6E">
              <w:rPr>
                <w:rFonts w:eastAsia="宋体" w:cs="Times New Roman"/>
                <w:szCs w:val="20"/>
                <w:highlight w:val="green"/>
                <w:lang w:val="en-GB" w:eastAsia="ja-JP"/>
              </w:rPr>
              <w:t>When FR2 type B measurements and measurement gap are fully colliding, the type B measurement is treated in the same way as a type C measurement</w:t>
            </w:r>
            <w:r w:rsidRPr="00F64F6E">
              <w:rPr>
                <w:rFonts w:eastAsia="宋体" w:cs="Times New Roman" w:hint="eastAsia"/>
                <w:szCs w:val="20"/>
                <w:highlight w:val="green"/>
                <w:lang w:val="en-GB" w:eastAsia="zh-CN"/>
              </w:rPr>
              <w:t xml:space="preserve"> (i.e., gap sharing)</w:t>
            </w:r>
          </w:p>
        </w:tc>
      </w:tr>
    </w:tbl>
    <w:p w:rsidR="00F64F6E" w:rsidRDefault="00F64F6E" w:rsidP="00E20ED2">
      <w:r w:rsidRPr="00F64F6E">
        <w:t>In our view, the second note should be already resolved by RAN4#87 agreements, and the same scaling factor of Kp can be applied for FR2 in case of partial overlap between SMTC and measurement gap, so this note can be removed directly.</w:t>
      </w:r>
    </w:p>
    <w:p w:rsidR="00A0203F" w:rsidRDefault="00F64F6E" w:rsidP="00E20ED2">
      <w:r>
        <w:lastRenderedPageBreak/>
        <w:t>For</w:t>
      </w:r>
      <w:r w:rsidRPr="00F64F6E">
        <w:t xml:space="preserve"> </w:t>
      </w:r>
      <w:r>
        <w:t xml:space="preserve">the first note, i.e. </w:t>
      </w:r>
      <w:r w:rsidRPr="00F64F6E">
        <w:t>the case that SMTC are fully overlapping with measurement gap</w:t>
      </w:r>
      <w:r>
        <w:t xml:space="preserve">, the technical agreements have also been made. </w:t>
      </w:r>
      <w:r w:rsidR="00A0203F">
        <w:t>The only issue is just how to capture it in the spec. There could be two options</w:t>
      </w:r>
    </w:p>
    <w:p w:rsidR="00A0203F" w:rsidRDefault="00A0203F" w:rsidP="00A0203F">
      <w:pPr>
        <w:pStyle w:val="ListParagraph"/>
        <w:numPr>
          <w:ilvl w:val="0"/>
          <w:numId w:val="42"/>
        </w:numPr>
      </w:pPr>
      <w:r>
        <w:t>Add the carrier scaling factor defined for gap based measurement to the requirements in section 9.2.5</w:t>
      </w:r>
    </w:p>
    <w:p w:rsidR="00A0203F" w:rsidRDefault="00A0203F" w:rsidP="00A0203F">
      <w:pPr>
        <w:pStyle w:val="ListParagraph"/>
        <w:numPr>
          <w:ilvl w:val="0"/>
          <w:numId w:val="42"/>
        </w:numPr>
      </w:pPr>
      <w:r>
        <w:t>Add a statement in section 9.2.5 that in case of fully overlapped SMTC and MG, the requirements is defined as if the measurement is gap based, and as specified in section 9.2.6</w:t>
      </w:r>
    </w:p>
    <w:p w:rsidR="00F64F6E" w:rsidRDefault="00A0203F" w:rsidP="00E20ED2">
      <w:r>
        <w:t>In our view, the second option is preferred. Although in case of fully overlapped SMTC and MG, the intra-frequency measurement is performed in MG, they are not gap based measurement. In order not to complicate the applicability of gapless measurement and gap based measurement, it is better to not apply the carrier scaling factor directly for type A/B measurements.</w:t>
      </w:r>
    </w:p>
    <w:p w:rsidR="00F64F6E" w:rsidRDefault="00A0203F" w:rsidP="00A0203F">
      <w:pPr>
        <w:pStyle w:val="RAN4proposal"/>
      </w:pPr>
      <w:bookmarkStart w:id="7" w:name="_Ref517456732"/>
      <w:r w:rsidRPr="00A0203F">
        <w:t>Add a statement in section 9.2.5 that in case of fully overlapped SMTC and MG, the requirements is defined as if the measurement is gap based, and as specified in section 9.2.6</w:t>
      </w:r>
      <w:r>
        <w:t>.</w:t>
      </w:r>
      <w:bookmarkEnd w:id="7"/>
    </w:p>
    <w:p w:rsidR="00FE6250" w:rsidRDefault="00FE6250" w:rsidP="00FE6250">
      <w:pPr>
        <w:pStyle w:val="RAN4H2"/>
      </w:pPr>
      <w:r>
        <w:t>S</w:t>
      </w:r>
      <w:r w:rsidRPr="00FE6250">
        <w:t>eparate DRX configuration in MN and SN</w:t>
      </w:r>
    </w:p>
    <w:p w:rsidR="00FE6250" w:rsidRDefault="00FE6250" w:rsidP="00FE6250">
      <w:r>
        <w:t xml:space="preserve">So far, the requirements for DRX is defined based on a single DRX cycle, so it remains open how to handle possible different DRX configuration in MN and SN in EN-DC, where MN and SN can independently configure measurement and DRX for MCG and SCG, respectively. It is possible that DRX is configured in MN but not in SN, DRX is configured in SN but not in MN, or DRX is configured in both MN and SN but with different DRX cycles. Some companies have proposed to use the maximum of DRX cycle from MN and SN to determine the UE requirements. </w:t>
      </w:r>
    </w:p>
    <w:p w:rsidR="00FE6250" w:rsidRDefault="00FE6250" w:rsidP="00FE6250">
      <w:r>
        <w:t xml:space="preserve">In our view, however, this approach may be problematic. When there is no EN-DC, when an LTE eNB or NR gNB configures a measurement, it will expect the measurement performance to be according to its DRX configuration (if DRX is used and the DRX cycle). Following the proposal, the measurement performance will be dependent also on the DRX configuration in another node. It should be note that even the current RAN2 and RAN3 specification supports MN and SN to exchange the DRX configuration, MN and SN may configure the DRX independently based on different considerations, so basing the measurement performance of one MO configured by MN on the DRX configuration of SN (or vice versa) is not reasonable. </w:t>
      </w:r>
    </w:p>
    <w:p w:rsidR="00FE6250" w:rsidRDefault="00FE6250" w:rsidP="00FE6250">
      <w:r>
        <w:t>The same issue has been discussed in LTE DC and the corresponding requirements are defined in section 8.8.2 to 8.8.4 of 36.133. PCell requirements are based on DRX configuration in MCG, PSCell requirements are based on DRX configuration in SCG, and inter-frequency and inter-RAT requirements are based on DRX configuration in MCG. In short, the requirements are determined by the DRX configuration in the configuring node. We suggest to re-use the same principle in NR.</w:t>
      </w:r>
    </w:p>
    <w:p w:rsidR="00FE6250" w:rsidRDefault="00FE6250" w:rsidP="00FE6250">
      <w:pPr>
        <w:pStyle w:val="RAN4proposal"/>
      </w:pPr>
      <w:bookmarkStart w:id="8" w:name="_Ref517539689"/>
      <w:r>
        <w:t>In EN-DC, the DRX requirements are determined by the DRX configuration in the configuring node.</w:t>
      </w:r>
      <w:bookmarkEnd w:id="8"/>
    </w:p>
    <w:p w:rsidR="00FE6250" w:rsidRDefault="00AB1108" w:rsidP="00FE6250">
      <w:pPr>
        <w:pStyle w:val="RAN4H2"/>
      </w:pPr>
      <w:r>
        <w:t>D</w:t>
      </w:r>
      <w:r w:rsidR="00FE6250" w:rsidRPr="00FE6250">
        <w:t>e-activated SCell in FR2</w:t>
      </w:r>
    </w:p>
    <w:p w:rsidR="00FE6250" w:rsidRDefault="00FE6250" w:rsidP="00FE6250">
      <w:r>
        <w:t xml:space="preserve">The requirements for de-activated SCC in FR1 have been agreed in </w:t>
      </w:r>
      <w:r w:rsidR="004F2218">
        <w:fldChar w:fldCharType="begin"/>
      </w:r>
      <w:r w:rsidR="004F2218">
        <w:instrText xml:space="preserve"> REF _Ref517520557 \r \h </w:instrText>
      </w:r>
      <w:r w:rsidR="004F2218">
        <w:fldChar w:fldCharType="separate"/>
      </w:r>
      <w:r w:rsidR="004F2218">
        <w:t>[2]</w:t>
      </w:r>
      <w:r w:rsidR="004F2218">
        <w:fldChar w:fldCharType="end"/>
      </w:r>
      <w:r w:rsidR="004F2218">
        <w:t xml:space="preserve">. They are defined based on </w:t>
      </w:r>
      <w:r w:rsidR="004F2218" w:rsidRPr="004F2218">
        <w:t>measCycleSCell</w:t>
      </w:r>
      <w:r w:rsidR="004F2218">
        <w:t xml:space="preserve">, which follows the same way as in LTE. For FR2, some companies proposed </w:t>
      </w:r>
      <w:r w:rsidR="004F2218">
        <w:fldChar w:fldCharType="begin"/>
      </w:r>
      <w:r w:rsidR="004F2218">
        <w:instrText xml:space="preserve"> REF _Ref517520714 \r \h </w:instrText>
      </w:r>
      <w:r w:rsidR="004F2218">
        <w:fldChar w:fldCharType="separate"/>
      </w:r>
      <w:r w:rsidR="004F2218">
        <w:t>[3]</w:t>
      </w:r>
      <w:r w:rsidR="004F2218">
        <w:fldChar w:fldCharType="end"/>
      </w:r>
      <w:r w:rsidR="004F2218">
        <w:t xml:space="preserve"> that the requirements should be “</w:t>
      </w:r>
      <w:r w:rsidR="004F2218" w:rsidRPr="004F2218">
        <w:t>derived under the assumption that that new measurement samples including RX beamsweeping are available every max(max(measCycleSCell, DRX cycle), N3x SMTC period)</w:t>
      </w:r>
      <w:r w:rsidR="004F2218">
        <w:t xml:space="preserve">”. </w:t>
      </w:r>
    </w:p>
    <w:p w:rsidR="004F2218" w:rsidRDefault="004F2218" w:rsidP="00FE6250">
      <w:r>
        <w:t xml:space="preserve">The proposal is discussed in RAN4#87 but without conclusion. Some companies raise the concern that the requirements in essence mean UE needs to sweep all Rx beam directions within one </w:t>
      </w:r>
      <w:r w:rsidRPr="004F2218">
        <w:t>measCycleSCell</w:t>
      </w:r>
      <w:r>
        <w:t xml:space="preserve">, instead of one Rx beam direction per </w:t>
      </w:r>
      <w:r w:rsidRPr="004F2218">
        <w:t>measCycleSCell</w:t>
      </w:r>
      <w:r w:rsidR="00437DEB">
        <w:t xml:space="preserve">, so the power </w:t>
      </w:r>
      <w:r w:rsidR="00F04EB4">
        <w:t>consumption will be increased and the benefit</w:t>
      </w:r>
      <w:r w:rsidR="00DA30AF">
        <w:t xml:space="preserve"> from</w:t>
      </w:r>
      <w:r w:rsidR="00F04EB4">
        <w:t xml:space="preserve"> de-activating of SCell may be compromised.</w:t>
      </w:r>
    </w:p>
    <w:p w:rsidR="00AB1108" w:rsidRDefault="00F04EB4" w:rsidP="00FE6250">
      <w:r>
        <w:t xml:space="preserve">We share the same concern as mentioned in </w:t>
      </w:r>
      <w:r>
        <w:fldChar w:fldCharType="begin"/>
      </w:r>
      <w:r>
        <w:instrText xml:space="preserve"> REF _Ref517520714 \r \h </w:instrText>
      </w:r>
      <w:r>
        <w:fldChar w:fldCharType="separate"/>
      </w:r>
      <w:r>
        <w:t>[3]</w:t>
      </w:r>
      <w:r>
        <w:fldChar w:fldCharType="end"/>
      </w:r>
      <w:r>
        <w:t xml:space="preserve">, as the cell detection or measurement delay will be very large with typical </w:t>
      </w:r>
      <w:r w:rsidRPr="00F04EB4">
        <w:t>measCycleSCell</w:t>
      </w:r>
      <w:r>
        <w:t xml:space="preserve"> like 640ms, and the mobility can hardly work </w:t>
      </w:r>
      <w:r w:rsidR="00DA30AF">
        <w:t xml:space="preserve">in FR2 </w:t>
      </w:r>
      <w:r>
        <w:t xml:space="preserve">with 12.8s measurement period. </w:t>
      </w:r>
      <w:r w:rsidR="00082B05">
        <w:t xml:space="preserve">To address the concern on UE power consumption, we think the same approach as used for misaligned DRX can be used. </w:t>
      </w:r>
    </w:p>
    <w:p w:rsidR="00F04EB4" w:rsidRDefault="00082B05" w:rsidP="00FE6250">
      <w:r>
        <w:t>In RRM and RLM requirements, if DRX ON-duration is not aligned with SMTC window or RLM-RS, UE would need to wake up during DRX OFF time to perform measurement</w:t>
      </w:r>
      <w:r w:rsidR="00AB1108">
        <w:t xml:space="preserve">. To address the increased power consumption, it is agreed to add a scaling factor of 1.5 for DRX cycle &lt;= 320ms, while for larger DRX cycles there is no scaling since UE is considered to already achieve significant power saving from DRX. </w:t>
      </w:r>
    </w:p>
    <w:p w:rsidR="00AB1108" w:rsidRDefault="00AB1108" w:rsidP="00FE6250">
      <w:r>
        <w:lastRenderedPageBreak/>
        <w:t xml:space="preserve">The issue in de-activated SCell measurement is similar, that additional wake up is required for UE to meet the measurement requirement assuming UE </w:t>
      </w:r>
      <w:r w:rsidRPr="00AB1108">
        <w:t>sweep</w:t>
      </w:r>
      <w:r>
        <w:t>s</w:t>
      </w:r>
      <w:r w:rsidRPr="00AB1108">
        <w:t xml:space="preserve"> all Rx beam directions within one measCycleSCell</w:t>
      </w:r>
      <w:r>
        <w:t xml:space="preserve">. Our suggestion is that this assumption at least holds for </w:t>
      </w:r>
      <w:r w:rsidR="00853175" w:rsidRPr="00853175">
        <w:t>max(measCycleSCell, DRX cycle)</w:t>
      </w:r>
      <w:r w:rsidR="00853175">
        <w:t xml:space="preserve"> &gt; 320ms. </w:t>
      </w:r>
    </w:p>
    <w:p w:rsidR="00853175" w:rsidRPr="00FE6250" w:rsidRDefault="00853175" w:rsidP="00853175">
      <w:pPr>
        <w:pStyle w:val="RAN4proposal"/>
      </w:pPr>
      <w:bookmarkStart w:id="9" w:name="_Ref517539691"/>
      <w:r>
        <w:t xml:space="preserve">Requirements for de-activated SCell measurement in FR2 is defined assuming UE sweeps all Rx beam directions per </w:t>
      </w:r>
      <w:r w:rsidRPr="00853175">
        <w:t>max(max(measCycleSCell, DRX cycle), N</w:t>
      </w:r>
      <w:r>
        <w:t>x</w:t>
      </w:r>
      <w:r w:rsidRPr="00853175">
        <w:t>SMTC period)</w:t>
      </w:r>
      <w:r>
        <w:t xml:space="preserve"> when </w:t>
      </w:r>
      <w:r w:rsidRPr="00853175">
        <w:t>max(measCycleSCell, DRX cycle) &gt; 320ms</w:t>
      </w:r>
      <w:r>
        <w:t>.</w:t>
      </w:r>
      <w:bookmarkEnd w:id="9"/>
    </w:p>
    <w:p w:rsidR="00CD7492" w:rsidRDefault="00CD7492" w:rsidP="00A37002">
      <w:pPr>
        <w:pStyle w:val="RAN4H1"/>
      </w:pPr>
      <w:r w:rsidRPr="00A37002">
        <w:t>Conclusion</w:t>
      </w:r>
    </w:p>
    <w:p w:rsidR="00410C1C" w:rsidRDefault="00853175" w:rsidP="004F3D3B">
      <w:pPr>
        <w:rPr>
          <w:rFonts w:eastAsia="Calibri" w:cs="Times New Roman"/>
          <w:szCs w:val="20"/>
        </w:rPr>
      </w:pPr>
      <w:r>
        <w:rPr>
          <w:rFonts w:eastAsia="Calibri" w:cs="Times New Roman"/>
          <w:szCs w:val="20"/>
        </w:rPr>
        <w:t>In this paper, we provided our views on the remaining open issues for defining requirements for intra-frequency measurement without gap.</w:t>
      </w:r>
    </w:p>
    <w:p w:rsidR="00853175" w:rsidRPr="00853175" w:rsidRDefault="00853175" w:rsidP="004F3D3B">
      <w:pPr>
        <w:rPr>
          <w:rFonts w:eastAsia="Calibri" w:cs="Times New Roman"/>
          <w:b/>
          <w:szCs w:val="20"/>
        </w:rPr>
      </w:pPr>
      <w:r w:rsidRPr="00853175">
        <w:rPr>
          <w:rFonts w:eastAsia="Calibri" w:cs="Times New Roman"/>
          <w:b/>
          <w:szCs w:val="20"/>
        </w:rPr>
        <w:fldChar w:fldCharType="begin"/>
      </w:r>
      <w:r w:rsidRPr="00853175">
        <w:rPr>
          <w:b/>
          <w:lang w:val="en-GB"/>
        </w:rPr>
        <w:instrText xml:space="preserve"> REF _Ref517456732 \r \h </w:instrText>
      </w:r>
      <w:r>
        <w:rPr>
          <w:rFonts w:eastAsia="Calibri" w:cs="Times New Roman"/>
          <w:b/>
          <w:szCs w:val="20"/>
        </w:rPr>
        <w:instrText xml:space="preserve"> \* MERGEFORMAT </w:instrText>
      </w:r>
      <w:r w:rsidRPr="00853175">
        <w:rPr>
          <w:rFonts w:eastAsia="Calibri" w:cs="Times New Roman"/>
          <w:b/>
          <w:szCs w:val="20"/>
        </w:rPr>
      </w:r>
      <w:r w:rsidRPr="00853175">
        <w:rPr>
          <w:rFonts w:eastAsia="Calibri" w:cs="Times New Roman"/>
          <w:b/>
          <w:szCs w:val="20"/>
        </w:rPr>
        <w:fldChar w:fldCharType="separate"/>
      </w:r>
      <w:r w:rsidRPr="00853175">
        <w:rPr>
          <w:b/>
          <w:lang w:val="en-GB"/>
        </w:rPr>
        <w:t>Proposal 1:</w:t>
      </w:r>
      <w:r w:rsidRPr="00853175">
        <w:rPr>
          <w:rFonts w:eastAsia="Calibri" w:cs="Times New Roman"/>
          <w:b/>
          <w:szCs w:val="20"/>
        </w:rPr>
        <w:fldChar w:fldCharType="end"/>
      </w:r>
      <w:r w:rsidRPr="00853175">
        <w:rPr>
          <w:rFonts w:eastAsia="Calibri" w:cs="Times New Roman"/>
          <w:b/>
          <w:szCs w:val="20"/>
        </w:rPr>
        <w:t xml:space="preserve"> </w:t>
      </w:r>
      <w:r w:rsidRPr="00853175">
        <w:rPr>
          <w:rFonts w:eastAsia="Calibri" w:cs="Times New Roman"/>
          <w:b/>
          <w:szCs w:val="20"/>
        </w:rPr>
        <w:fldChar w:fldCharType="begin"/>
      </w:r>
      <w:r w:rsidRPr="00853175">
        <w:rPr>
          <w:rFonts w:eastAsia="Calibri" w:cs="Times New Roman"/>
          <w:b/>
          <w:szCs w:val="20"/>
        </w:rPr>
        <w:instrText xml:space="preserve"> REF _Ref517456732 \h </w:instrText>
      </w:r>
      <w:r>
        <w:rPr>
          <w:rFonts w:eastAsia="Calibri" w:cs="Times New Roman"/>
          <w:b/>
          <w:szCs w:val="20"/>
        </w:rPr>
        <w:instrText xml:space="preserve"> \* MERGEFORMAT </w:instrText>
      </w:r>
      <w:r w:rsidRPr="00853175">
        <w:rPr>
          <w:rFonts w:eastAsia="Calibri" w:cs="Times New Roman"/>
          <w:b/>
          <w:szCs w:val="20"/>
        </w:rPr>
      </w:r>
      <w:r w:rsidRPr="00853175">
        <w:rPr>
          <w:rFonts w:eastAsia="Calibri" w:cs="Times New Roman"/>
          <w:b/>
          <w:szCs w:val="20"/>
        </w:rPr>
        <w:fldChar w:fldCharType="separate"/>
      </w:r>
      <w:r w:rsidRPr="00853175">
        <w:rPr>
          <w:b/>
        </w:rPr>
        <w:t>Add a statement in section 9.2.5 that in case of fully overlapped SMTC and MG, the requirements is defined as if the measurement is gap based, and as specified in section 9.2.6.</w:t>
      </w:r>
      <w:r w:rsidRPr="00853175">
        <w:rPr>
          <w:rFonts w:eastAsia="Calibri" w:cs="Times New Roman"/>
          <w:b/>
          <w:szCs w:val="20"/>
        </w:rPr>
        <w:fldChar w:fldCharType="end"/>
      </w:r>
    </w:p>
    <w:p w:rsidR="00853175" w:rsidRPr="00853175" w:rsidRDefault="00853175" w:rsidP="004F3D3B">
      <w:pPr>
        <w:rPr>
          <w:rFonts w:eastAsia="Calibri" w:cs="Times New Roman"/>
          <w:b/>
          <w:szCs w:val="20"/>
        </w:rPr>
      </w:pPr>
      <w:r w:rsidRPr="00853175">
        <w:rPr>
          <w:rFonts w:eastAsia="Calibri" w:cs="Times New Roman"/>
          <w:b/>
          <w:szCs w:val="20"/>
        </w:rPr>
        <w:fldChar w:fldCharType="begin"/>
      </w:r>
      <w:r w:rsidRPr="00853175">
        <w:rPr>
          <w:rFonts w:eastAsia="Calibri" w:cs="Times New Roman"/>
          <w:b/>
          <w:szCs w:val="20"/>
        </w:rPr>
        <w:instrText xml:space="preserve"> REF _Ref517539689 \r \h </w:instrText>
      </w:r>
      <w:r>
        <w:rPr>
          <w:rFonts w:eastAsia="Calibri" w:cs="Times New Roman"/>
          <w:b/>
          <w:szCs w:val="20"/>
        </w:rPr>
        <w:instrText xml:space="preserve"> \* MERGEFORMAT </w:instrText>
      </w:r>
      <w:r w:rsidRPr="00853175">
        <w:rPr>
          <w:rFonts w:eastAsia="Calibri" w:cs="Times New Roman"/>
          <w:b/>
          <w:szCs w:val="20"/>
        </w:rPr>
      </w:r>
      <w:r w:rsidRPr="00853175">
        <w:rPr>
          <w:rFonts w:eastAsia="Calibri" w:cs="Times New Roman"/>
          <w:b/>
          <w:szCs w:val="20"/>
        </w:rPr>
        <w:fldChar w:fldCharType="separate"/>
      </w:r>
      <w:r w:rsidRPr="00853175">
        <w:rPr>
          <w:rFonts w:eastAsia="Calibri" w:cs="Times New Roman"/>
          <w:b/>
          <w:szCs w:val="20"/>
        </w:rPr>
        <w:t>Proposal 2:</w:t>
      </w:r>
      <w:r w:rsidRPr="00853175">
        <w:rPr>
          <w:rFonts w:eastAsia="Calibri" w:cs="Times New Roman"/>
          <w:b/>
          <w:szCs w:val="20"/>
        </w:rPr>
        <w:fldChar w:fldCharType="end"/>
      </w:r>
      <w:r w:rsidRPr="00853175">
        <w:rPr>
          <w:rFonts w:eastAsia="Calibri" w:cs="Times New Roman"/>
          <w:b/>
          <w:szCs w:val="20"/>
        </w:rPr>
        <w:t xml:space="preserve"> </w:t>
      </w:r>
      <w:r w:rsidRPr="00853175">
        <w:rPr>
          <w:rFonts w:eastAsia="Calibri" w:cs="Times New Roman"/>
          <w:b/>
          <w:szCs w:val="20"/>
        </w:rPr>
        <w:fldChar w:fldCharType="begin"/>
      </w:r>
      <w:r w:rsidRPr="00853175">
        <w:rPr>
          <w:rFonts w:eastAsia="Calibri" w:cs="Times New Roman"/>
          <w:b/>
          <w:szCs w:val="20"/>
        </w:rPr>
        <w:instrText xml:space="preserve"> REF _Ref517539689 \h </w:instrText>
      </w:r>
      <w:r>
        <w:rPr>
          <w:rFonts w:eastAsia="Calibri" w:cs="Times New Roman"/>
          <w:b/>
          <w:szCs w:val="20"/>
        </w:rPr>
        <w:instrText xml:space="preserve"> \* MERGEFORMAT </w:instrText>
      </w:r>
      <w:r w:rsidRPr="00853175">
        <w:rPr>
          <w:rFonts w:eastAsia="Calibri" w:cs="Times New Roman"/>
          <w:b/>
          <w:szCs w:val="20"/>
        </w:rPr>
      </w:r>
      <w:r w:rsidRPr="00853175">
        <w:rPr>
          <w:rFonts w:eastAsia="Calibri" w:cs="Times New Roman"/>
          <w:b/>
          <w:szCs w:val="20"/>
        </w:rPr>
        <w:fldChar w:fldCharType="separate"/>
      </w:r>
      <w:r w:rsidRPr="00853175">
        <w:rPr>
          <w:b/>
        </w:rPr>
        <w:t>In EN-DC, the DRX requirements are determined by the DRX configuration in the configuring node.</w:t>
      </w:r>
      <w:r w:rsidRPr="00853175">
        <w:rPr>
          <w:rFonts w:eastAsia="Calibri" w:cs="Times New Roman"/>
          <w:b/>
          <w:szCs w:val="20"/>
        </w:rPr>
        <w:fldChar w:fldCharType="end"/>
      </w:r>
    </w:p>
    <w:p w:rsidR="00853175" w:rsidRPr="00853175" w:rsidRDefault="00853175" w:rsidP="004F3D3B">
      <w:pPr>
        <w:rPr>
          <w:b/>
          <w:lang w:val="en-GB"/>
        </w:rPr>
      </w:pPr>
      <w:r w:rsidRPr="00853175">
        <w:rPr>
          <w:rFonts w:eastAsia="Calibri" w:cs="Times New Roman"/>
          <w:b/>
          <w:szCs w:val="20"/>
        </w:rPr>
        <w:fldChar w:fldCharType="begin"/>
      </w:r>
      <w:r w:rsidRPr="00853175">
        <w:rPr>
          <w:rFonts w:eastAsia="Calibri" w:cs="Times New Roman"/>
          <w:b/>
          <w:szCs w:val="20"/>
        </w:rPr>
        <w:instrText xml:space="preserve"> REF _Ref517539691 \r \h </w:instrText>
      </w:r>
      <w:r>
        <w:rPr>
          <w:rFonts w:eastAsia="Calibri" w:cs="Times New Roman"/>
          <w:b/>
          <w:szCs w:val="20"/>
        </w:rPr>
        <w:instrText xml:space="preserve"> \* MERGEFORMAT </w:instrText>
      </w:r>
      <w:r w:rsidRPr="00853175">
        <w:rPr>
          <w:rFonts w:eastAsia="Calibri" w:cs="Times New Roman"/>
          <w:b/>
          <w:szCs w:val="20"/>
        </w:rPr>
      </w:r>
      <w:r w:rsidRPr="00853175">
        <w:rPr>
          <w:rFonts w:eastAsia="Calibri" w:cs="Times New Roman"/>
          <w:b/>
          <w:szCs w:val="20"/>
        </w:rPr>
        <w:fldChar w:fldCharType="separate"/>
      </w:r>
      <w:r w:rsidRPr="00853175">
        <w:rPr>
          <w:rFonts w:eastAsia="Calibri" w:cs="Times New Roman"/>
          <w:b/>
          <w:szCs w:val="20"/>
        </w:rPr>
        <w:t>Proposal 3:</w:t>
      </w:r>
      <w:r w:rsidRPr="00853175">
        <w:rPr>
          <w:rFonts w:eastAsia="Calibri" w:cs="Times New Roman"/>
          <w:b/>
          <w:szCs w:val="20"/>
        </w:rPr>
        <w:fldChar w:fldCharType="end"/>
      </w:r>
      <w:r w:rsidRPr="00853175">
        <w:rPr>
          <w:rFonts w:eastAsia="Calibri" w:cs="Times New Roman"/>
          <w:b/>
          <w:szCs w:val="20"/>
        </w:rPr>
        <w:t xml:space="preserve"> </w:t>
      </w:r>
      <w:r w:rsidRPr="00853175">
        <w:rPr>
          <w:rFonts w:eastAsia="Calibri" w:cs="Times New Roman"/>
          <w:b/>
          <w:szCs w:val="20"/>
        </w:rPr>
        <w:fldChar w:fldCharType="begin"/>
      </w:r>
      <w:r w:rsidRPr="00853175">
        <w:rPr>
          <w:rFonts w:eastAsia="Calibri" w:cs="Times New Roman"/>
          <w:b/>
          <w:szCs w:val="20"/>
        </w:rPr>
        <w:instrText xml:space="preserve"> REF _Ref517539691 \h </w:instrText>
      </w:r>
      <w:r>
        <w:rPr>
          <w:rFonts w:eastAsia="Calibri" w:cs="Times New Roman"/>
          <w:b/>
          <w:szCs w:val="20"/>
        </w:rPr>
        <w:instrText xml:space="preserve"> \* MERGEFORMAT </w:instrText>
      </w:r>
      <w:r w:rsidRPr="00853175">
        <w:rPr>
          <w:rFonts w:eastAsia="Calibri" w:cs="Times New Roman"/>
          <w:b/>
          <w:szCs w:val="20"/>
        </w:rPr>
      </w:r>
      <w:r w:rsidRPr="00853175">
        <w:rPr>
          <w:rFonts w:eastAsia="Calibri" w:cs="Times New Roman"/>
          <w:b/>
          <w:szCs w:val="20"/>
        </w:rPr>
        <w:fldChar w:fldCharType="separate"/>
      </w:r>
      <w:r w:rsidRPr="00853175">
        <w:rPr>
          <w:b/>
        </w:rPr>
        <w:t>Requirements for de-activated SCell measurement in FR2 is defined assuming UE sweeps all Rx beam directions per max(max(measCycleSCell, DRX cycle), NxSMTC period) when max(measCycleSCell, DRX cycle) &gt; 320ms.</w:t>
      </w:r>
      <w:r w:rsidRPr="00853175">
        <w:rPr>
          <w:rFonts w:eastAsia="Calibri" w:cs="Times New Roman"/>
          <w:b/>
          <w:szCs w:val="20"/>
        </w:rPr>
        <w:fldChar w:fldCharType="end"/>
      </w:r>
    </w:p>
    <w:p w:rsidR="00FE6250" w:rsidRDefault="003B659E" w:rsidP="00FE6250">
      <w:pPr>
        <w:pStyle w:val="RAN4H1"/>
      </w:pPr>
      <w:r w:rsidRPr="0095295C">
        <w:t>References</w:t>
      </w:r>
      <w:bookmarkStart w:id="10" w:name="_Ref431017336"/>
      <w:bookmarkStart w:id="11" w:name="_Ref513196612"/>
      <w:bookmarkStart w:id="12" w:name="_Ref513710934"/>
      <w:bookmarkStart w:id="13" w:name="_Ref513723949"/>
      <w:bookmarkStart w:id="14" w:name="_Ref513728762"/>
    </w:p>
    <w:p w:rsidR="00FE6250" w:rsidRDefault="00FE6250" w:rsidP="00FE6250">
      <w:pPr>
        <w:pStyle w:val="ListParagraph"/>
        <w:numPr>
          <w:ilvl w:val="0"/>
          <w:numId w:val="1"/>
        </w:numPr>
        <w:rPr>
          <w:szCs w:val="20"/>
        </w:rPr>
      </w:pPr>
      <w:bookmarkStart w:id="15" w:name="_Ref517446342"/>
      <w:r w:rsidRPr="00FC7B92">
        <w:rPr>
          <w:szCs w:val="20"/>
        </w:rPr>
        <w:t>R4-180</w:t>
      </w:r>
      <w:r>
        <w:rPr>
          <w:szCs w:val="20"/>
        </w:rPr>
        <w:t>8526</w:t>
      </w:r>
      <w:r w:rsidRPr="00FC7B92">
        <w:rPr>
          <w:szCs w:val="20"/>
        </w:rPr>
        <w:t xml:space="preserve">, </w:t>
      </w:r>
      <w:r w:rsidRPr="00E52560">
        <w:rPr>
          <w:szCs w:val="20"/>
        </w:rPr>
        <w:t>Measurement requirements for multiple SCells in section 9.2</w:t>
      </w:r>
      <w:r w:rsidRPr="00FC7B92">
        <w:rPr>
          <w:szCs w:val="20"/>
        </w:rPr>
        <w:t xml:space="preserve">, </w:t>
      </w:r>
      <w:r>
        <w:rPr>
          <w:szCs w:val="20"/>
        </w:rPr>
        <w:t>Ericsson</w:t>
      </w:r>
      <w:bookmarkEnd w:id="15"/>
    </w:p>
    <w:p w:rsidR="004F2218" w:rsidRDefault="004F2218" w:rsidP="004F2218">
      <w:pPr>
        <w:pStyle w:val="ListParagraph"/>
        <w:numPr>
          <w:ilvl w:val="0"/>
          <w:numId w:val="1"/>
        </w:numPr>
        <w:rPr>
          <w:szCs w:val="20"/>
        </w:rPr>
      </w:pPr>
      <w:bookmarkStart w:id="16" w:name="_Ref517520557"/>
      <w:r w:rsidRPr="004F2218">
        <w:rPr>
          <w:szCs w:val="20"/>
        </w:rPr>
        <w:t>R4-1807974</w:t>
      </w:r>
      <w:r>
        <w:rPr>
          <w:szCs w:val="20"/>
        </w:rPr>
        <w:t xml:space="preserve">, </w:t>
      </w:r>
      <w:r w:rsidRPr="004F2218">
        <w:rPr>
          <w:szCs w:val="20"/>
        </w:rPr>
        <w:t>FR1 measurement requirements for deactivated SCells in section 9.2</w:t>
      </w:r>
      <w:r>
        <w:rPr>
          <w:szCs w:val="20"/>
        </w:rPr>
        <w:t>, Ericsson</w:t>
      </w:r>
      <w:bookmarkEnd w:id="16"/>
      <w:r>
        <w:rPr>
          <w:szCs w:val="20"/>
        </w:rPr>
        <w:t xml:space="preserve"> </w:t>
      </w:r>
    </w:p>
    <w:p w:rsidR="004F2218" w:rsidRPr="00FC7B92" w:rsidRDefault="004F2218" w:rsidP="004F2218">
      <w:pPr>
        <w:pStyle w:val="ListParagraph"/>
        <w:numPr>
          <w:ilvl w:val="0"/>
          <w:numId w:val="1"/>
        </w:numPr>
        <w:rPr>
          <w:szCs w:val="20"/>
        </w:rPr>
      </w:pPr>
      <w:bookmarkStart w:id="17" w:name="_Ref517520714"/>
      <w:r w:rsidRPr="004F2218">
        <w:rPr>
          <w:szCs w:val="20"/>
        </w:rPr>
        <w:t>R4-1806231</w:t>
      </w:r>
      <w:r>
        <w:rPr>
          <w:szCs w:val="20"/>
        </w:rPr>
        <w:t xml:space="preserve">, </w:t>
      </w:r>
      <w:r w:rsidRPr="004F2218">
        <w:rPr>
          <w:szCs w:val="20"/>
        </w:rPr>
        <w:t>Discussion on intrafrequency measurement requirements with deactivated SCells</w:t>
      </w:r>
      <w:r>
        <w:rPr>
          <w:szCs w:val="20"/>
        </w:rPr>
        <w:t>, Ericsson</w:t>
      </w:r>
      <w:bookmarkEnd w:id="17"/>
      <w:r>
        <w:rPr>
          <w:szCs w:val="20"/>
        </w:rPr>
        <w:t xml:space="preserve"> </w:t>
      </w:r>
    </w:p>
    <w:p w:rsidR="00FE6250" w:rsidRPr="00FE6250" w:rsidRDefault="00FE6250" w:rsidP="00FE6250"/>
    <w:bookmarkEnd w:id="10"/>
    <w:bookmarkEnd w:id="11"/>
    <w:bookmarkEnd w:id="12"/>
    <w:bookmarkEnd w:id="13"/>
    <w:bookmarkEnd w:id="14"/>
    <w:p w:rsidR="00E20ED2" w:rsidRPr="00E52560" w:rsidRDefault="00E20ED2" w:rsidP="00E52560">
      <w:pPr>
        <w:overflowPunct w:val="0"/>
        <w:autoSpaceDE w:val="0"/>
        <w:autoSpaceDN w:val="0"/>
        <w:adjustRightInd w:val="0"/>
        <w:ind w:left="360" w:right="-22"/>
        <w:jc w:val="both"/>
        <w:textAlignment w:val="baseline"/>
        <w:rPr>
          <w:szCs w:val="20"/>
        </w:rPr>
      </w:pPr>
    </w:p>
    <w:sectPr w:rsidR="00E20ED2" w:rsidRPr="00E5256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3BD4" w:rsidRDefault="00703BD4" w:rsidP="00001C9B">
      <w:pPr>
        <w:spacing w:after="0" w:line="240" w:lineRule="auto"/>
      </w:pPr>
      <w:r>
        <w:separator/>
      </w:r>
    </w:p>
  </w:endnote>
  <w:endnote w:type="continuationSeparator" w:id="0">
    <w:p w:rsidR="00703BD4" w:rsidRDefault="00703BD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3BD4" w:rsidRDefault="00703BD4" w:rsidP="00001C9B">
      <w:pPr>
        <w:spacing w:after="0" w:line="240" w:lineRule="auto"/>
      </w:pPr>
      <w:r>
        <w:separator/>
      </w:r>
    </w:p>
  </w:footnote>
  <w:footnote w:type="continuationSeparator" w:id="0">
    <w:p w:rsidR="00703BD4" w:rsidRDefault="00703BD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553E2"/>
    <w:multiLevelType w:val="hybridMultilevel"/>
    <w:tmpl w:val="9D8EEC18"/>
    <w:lvl w:ilvl="0" w:tplc="D5BAFD92">
      <w:start w:val="1"/>
      <w:numFmt w:val="bullet"/>
      <w:lvlText w:val=""/>
      <w:lvlJc w:val="left"/>
      <w:pPr>
        <w:tabs>
          <w:tab w:val="num" w:pos="720"/>
        </w:tabs>
        <w:ind w:left="720" w:hanging="360"/>
      </w:pPr>
      <w:rPr>
        <w:rFonts w:ascii="Wingdings" w:hAnsi="Wingdings" w:hint="default"/>
      </w:rPr>
    </w:lvl>
    <w:lvl w:ilvl="1" w:tplc="7BA8647A">
      <w:numFmt w:val="bullet"/>
      <w:lvlText w:val="•"/>
      <w:lvlJc w:val="left"/>
      <w:pPr>
        <w:tabs>
          <w:tab w:val="num" w:pos="1440"/>
        </w:tabs>
        <w:ind w:left="1440" w:hanging="360"/>
      </w:pPr>
      <w:rPr>
        <w:rFonts w:ascii="Arial" w:hAnsi="Arial" w:hint="default"/>
      </w:rPr>
    </w:lvl>
    <w:lvl w:ilvl="2" w:tplc="34389ED4">
      <w:numFmt w:val="bullet"/>
      <w:lvlText w:val="-"/>
      <w:lvlJc w:val="left"/>
      <w:pPr>
        <w:tabs>
          <w:tab w:val="num" w:pos="2160"/>
        </w:tabs>
        <w:ind w:left="2160" w:hanging="360"/>
      </w:pPr>
      <w:rPr>
        <w:rFonts w:ascii="Calibri" w:hAnsi="Calibri" w:hint="default"/>
      </w:rPr>
    </w:lvl>
    <w:lvl w:ilvl="3" w:tplc="D42E93B6" w:tentative="1">
      <w:start w:val="1"/>
      <w:numFmt w:val="bullet"/>
      <w:lvlText w:val=""/>
      <w:lvlJc w:val="left"/>
      <w:pPr>
        <w:tabs>
          <w:tab w:val="num" w:pos="2880"/>
        </w:tabs>
        <w:ind w:left="2880" w:hanging="360"/>
      </w:pPr>
      <w:rPr>
        <w:rFonts w:ascii="Wingdings" w:hAnsi="Wingdings" w:hint="default"/>
      </w:rPr>
    </w:lvl>
    <w:lvl w:ilvl="4" w:tplc="2832621A" w:tentative="1">
      <w:start w:val="1"/>
      <w:numFmt w:val="bullet"/>
      <w:lvlText w:val=""/>
      <w:lvlJc w:val="left"/>
      <w:pPr>
        <w:tabs>
          <w:tab w:val="num" w:pos="3600"/>
        </w:tabs>
        <w:ind w:left="3600" w:hanging="360"/>
      </w:pPr>
      <w:rPr>
        <w:rFonts w:ascii="Wingdings" w:hAnsi="Wingdings" w:hint="default"/>
      </w:rPr>
    </w:lvl>
    <w:lvl w:ilvl="5" w:tplc="07F00616" w:tentative="1">
      <w:start w:val="1"/>
      <w:numFmt w:val="bullet"/>
      <w:lvlText w:val=""/>
      <w:lvlJc w:val="left"/>
      <w:pPr>
        <w:tabs>
          <w:tab w:val="num" w:pos="4320"/>
        </w:tabs>
        <w:ind w:left="4320" w:hanging="360"/>
      </w:pPr>
      <w:rPr>
        <w:rFonts w:ascii="Wingdings" w:hAnsi="Wingdings" w:hint="default"/>
      </w:rPr>
    </w:lvl>
    <w:lvl w:ilvl="6" w:tplc="CE181618" w:tentative="1">
      <w:start w:val="1"/>
      <w:numFmt w:val="bullet"/>
      <w:lvlText w:val=""/>
      <w:lvlJc w:val="left"/>
      <w:pPr>
        <w:tabs>
          <w:tab w:val="num" w:pos="5040"/>
        </w:tabs>
        <w:ind w:left="5040" w:hanging="360"/>
      </w:pPr>
      <w:rPr>
        <w:rFonts w:ascii="Wingdings" w:hAnsi="Wingdings" w:hint="default"/>
      </w:rPr>
    </w:lvl>
    <w:lvl w:ilvl="7" w:tplc="0F62922E" w:tentative="1">
      <w:start w:val="1"/>
      <w:numFmt w:val="bullet"/>
      <w:lvlText w:val=""/>
      <w:lvlJc w:val="left"/>
      <w:pPr>
        <w:tabs>
          <w:tab w:val="num" w:pos="5760"/>
        </w:tabs>
        <w:ind w:left="5760" w:hanging="360"/>
      </w:pPr>
      <w:rPr>
        <w:rFonts w:ascii="Wingdings" w:hAnsi="Wingdings" w:hint="default"/>
      </w:rPr>
    </w:lvl>
    <w:lvl w:ilvl="8" w:tplc="653C161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F21C0"/>
    <w:multiLevelType w:val="hybridMultilevel"/>
    <w:tmpl w:val="298AFE5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542E8"/>
    <w:multiLevelType w:val="hybridMultilevel"/>
    <w:tmpl w:val="0FBC2122"/>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831B3"/>
    <w:multiLevelType w:val="hybridMultilevel"/>
    <w:tmpl w:val="E528D380"/>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B97AA2"/>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C120E"/>
    <w:multiLevelType w:val="hybridMultilevel"/>
    <w:tmpl w:val="2918C6A2"/>
    <w:lvl w:ilvl="0" w:tplc="04090001">
      <w:start w:val="1"/>
      <w:numFmt w:val="bullet"/>
      <w:lvlText w:val=""/>
      <w:lvlJc w:val="left"/>
      <w:pPr>
        <w:ind w:left="704" w:hanging="420"/>
      </w:pPr>
      <w:rPr>
        <w:rFonts w:ascii="Symbol" w:hAnsi="Symbol" w:hint="default"/>
      </w:rPr>
    </w:lvl>
    <w:lvl w:ilvl="1" w:tplc="9C1A3C9C">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016FA"/>
    <w:multiLevelType w:val="hybridMultilevel"/>
    <w:tmpl w:val="2800D95C"/>
    <w:lvl w:ilvl="0" w:tplc="30C6696C">
      <w:start w:val="1"/>
      <w:numFmt w:val="bullet"/>
      <w:lvlText w:val=""/>
      <w:lvlJc w:val="left"/>
      <w:pPr>
        <w:tabs>
          <w:tab w:val="num" w:pos="720"/>
        </w:tabs>
        <w:ind w:left="720" w:hanging="360"/>
      </w:pPr>
      <w:rPr>
        <w:rFonts w:ascii="Wingdings" w:hAnsi="Wingdings" w:hint="default"/>
      </w:rPr>
    </w:lvl>
    <w:lvl w:ilvl="1" w:tplc="C8F63438">
      <w:numFmt w:val="bullet"/>
      <w:lvlText w:val="•"/>
      <w:lvlJc w:val="left"/>
      <w:pPr>
        <w:tabs>
          <w:tab w:val="num" w:pos="1440"/>
        </w:tabs>
        <w:ind w:left="1440" w:hanging="360"/>
      </w:pPr>
      <w:rPr>
        <w:rFonts w:ascii="Arial" w:hAnsi="Arial" w:hint="default"/>
      </w:rPr>
    </w:lvl>
    <w:lvl w:ilvl="2" w:tplc="C6C8A328">
      <w:start w:val="1"/>
      <w:numFmt w:val="bullet"/>
      <w:lvlText w:val=""/>
      <w:lvlJc w:val="left"/>
      <w:pPr>
        <w:tabs>
          <w:tab w:val="num" w:pos="2160"/>
        </w:tabs>
        <w:ind w:left="2160" w:hanging="360"/>
      </w:pPr>
      <w:rPr>
        <w:rFonts w:ascii="Wingdings" w:hAnsi="Wingdings" w:hint="default"/>
      </w:rPr>
    </w:lvl>
    <w:lvl w:ilvl="3" w:tplc="2D4AF22E">
      <w:numFmt w:val="bullet"/>
      <w:lvlText w:val="-"/>
      <w:lvlJc w:val="left"/>
      <w:pPr>
        <w:ind w:left="2880" w:hanging="360"/>
      </w:pPr>
      <w:rPr>
        <w:rFonts w:ascii="Times New Roman" w:eastAsia="Calibri" w:hAnsi="Times New Roman" w:cs="Times New Roman" w:hint="default"/>
      </w:rPr>
    </w:lvl>
    <w:lvl w:ilvl="4" w:tplc="A02E8532" w:tentative="1">
      <w:start w:val="1"/>
      <w:numFmt w:val="bullet"/>
      <w:lvlText w:val=""/>
      <w:lvlJc w:val="left"/>
      <w:pPr>
        <w:tabs>
          <w:tab w:val="num" w:pos="3600"/>
        </w:tabs>
        <w:ind w:left="3600" w:hanging="360"/>
      </w:pPr>
      <w:rPr>
        <w:rFonts w:ascii="Wingdings" w:hAnsi="Wingdings" w:hint="default"/>
      </w:rPr>
    </w:lvl>
    <w:lvl w:ilvl="5" w:tplc="3D1A9D2C" w:tentative="1">
      <w:start w:val="1"/>
      <w:numFmt w:val="bullet"/>
      <w:lvlText w:val=""/>
      <w:lvlJc w:val="left"/>
      <w:pPr>
        <w:tabs>
          <w:tab w:val="num" w:pos="4320"/>
        </w:tabs>
        <w:ind w:left="4320" w:hanging="360"/>
      </w:pPr>
      <w:rPr>
        <w:rFonts w:ascii="Wingdings" w:hAnsi="Wingdings" w:hint="default"/>
      </w:rPr>
    </w:lvl>
    <w:lvl w:ilvl="6" w:tplc="4E6C0716" w:tentative="1">
      <w:start w:val="1"/>
      <w:numFmt w:val="bullet"/>
      <w:lvlText w:val=""/>
      <w:lvlJc w:val="left"/>
      <w:pPr>
        <w:tabs>
          <w:tab w:val="num" w:pos="5040"/>
        </w:tabs>
        <w:ind w:left="5040" w:hanging="360"/>
      </w:pPr>
      <w:rPr>
        <w:rFonts w:ascii="Wingdings" w:hAnsi="Wingdings" w:hint="default"/>
      </w:rPr>
    </w:lvl>
    <w:lvl w:ilvl="7" w:tplc="43348978" w:tentative="1">
      <w:start w:val="1"/>
      <w:numFmt w:val="bullet"/>
      <w:lvlText w:val=""/>
      <w:lvlJc w:val="left"/>
      <w:pPr>
        <w:tabs>
          <w:tab w:val="num" w:pos="5760"/>
        </w:tabs>
        <w:ind w:left="5760" w:hanging="360"/>
      </w:pPr>
      <w:rPr>
        <w:rFonts w:ascii="Wingdings" w:hAnsi="Wingdings" w:hint="default"/>
      </w:rPr>
    </w:lvl>
    <w:lvl w:ilvl="8" w:tplc="60A87CB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CD67FE"/>
    <w:multiLevelType w:val="hybridMultilevel"/>
    <w:tmpl w:val="A0CAFB9C"/>
    <w:lvl w:ilvl="0" w:tplc="33686614">
      <w:start w:val="1"/>
      <w:numFmt w:val="bullet"/>
      <w:lvlText w:val="•"/>
      <w:lvlJc w:val="left"/>
      <w:pPr>
        <w:tabs>
          <w:tab w:val="num" w:pos="720"/>
        </w:tabs>
        <w:ind w:left="720" w:hanging="360"/>
      </w:pPr>
      <w:rPr>
        <w:rFonts w:ascii="Arial" w:hAnsi="Arial" w:hint="default"/>
      </w:rPr>
    </w:lvl>
    <w:lvl w:ilvl="1" w:tplc="76483A16">
      <w:start w:val="1"/>
      <w:numFmt w:val="bullet"/>
      <w:lvlText w:val="•"/>
      <w:lvlJc w:val="left"/>
      <w:pPr>
        <w:tabs>
          <w:tab w:val="num" w:pos="1440"/>
        </w:tabs>
        <w:ind w:left="1440" w:hanging="360"/>
      </w:pPr>
      <w:rPr>
        <w:rFonts w:ascii="Arial" w:hAnsi="Arial" w:hint="default"/>
      </w:rPr>
    </w:lvl>
    <w:lvl w:ilvl="2" w:tplc="AFC21FFA">
      <w:numFmt w:val="bullet"/>
      <w:lvlText w:val="•"/>
      <w:lvlJc w:val="left"/>
      <w:pPr>
        <w:tabs>
          <w:tab w:val="num" w:pos="2160"/>
        </w:tabs>
        <w:ind w:left="2160" w:hanging="360"/>
      </w:pPr>
      <w:rPr>
        <w:rFonts w:ascii="Arial" w:hAnsi="Arial" w:hint="default"/>
      </w:rPr>
    </w:lvl>
    <w:lvl w:ilvl="3" w:tplc="FF3E7E16">
      <w:numFmt w:val="bullet"/>
      <w:lvlText w:val="•"/>
      <w:lvlJc w:val="left"/>
      <w:pPr>
        <w:tabs>
          <w:tab w:val="num" w:pos="2880"/>
        </w:tabs>
        <w:ind w:left="2880" w:hanging="360"/>
      </w:pPr>
      <w:rPr>
        <w:rFonts w:ascii="Arial" w:hAnsi="Arial" w:hint="default"/>
      </w:rPr>
    </w:lvl>
    <w:lvl w:ilvl="4" w:tplc="7072542A" w:tentative="1">
      <w:start w:val="1"/>
      <w:numFmt w:val="bullet"/>
      <w:lvlText w:val="•"/>
      <w:lvlJc w:val="left"/>
      <w:pPr>
        <w:tabs>
          <w:tab w:val="num" w:pos="3600"/>
        </w:tabs>
        <w:ind w:left="3600" w:hanging="360"/>
      </w:pPr>
      <w:rPr>
        <w:rFonts w:ascii="Arial" w:hAnsi="Arial" w:hint="default"/>
      </w:rPr>
    </w:lvl>
    <w:lvl w:ilvl="5" w:tplc="59F69F60" w:tentative="1">
      <w:start w:val="1"/>
      <w:numFmt w:val="bullet"/>
      <w:lvlText w:val="•"/>
      <w:lvlJc w:val="left"/>
      <w:pPr>
        <w:tabs>
          <w:tab w:val="num" w:pos="4320"/>
        </w:tabs>
        <w:ind w:left="4320" w:hanging="360"/>
      </w:pPr>
      <w:rPr>
        <w:rFonts w:ascii="Arial" w:hAnsi="Arial" w:hint="default"/>
      </w:rPr>
    </w:lvl>
    <w:lvl w:ilvl="6" w:tplc="D4C05DE4" w:tentative="1">
      <w:start w:val="1"/>
      <w:numFmt w:val="bullet"/>
      <w:lvlText w:val="•"/>
      <w:lvlJc w:val="left"/>
      <w:pPr>
        <w:tabs>
          <w:tab w:val="num" w:pos="5040"/>
        </w:tabs>
        <w:ind w:left="5040" w:hanging="360"/>
      </w:pPr>
      <w:rPr>
        <w:rFonts w:ascii="Arial" w:hAnsi="Arial" w:hint="default"/>
      </w:rPr>
    </w:lvl>
    <w:lvl w:ilvl="7" w:tplc="7D3867D4" w:tentative="1">
      <w:start w:val="1"/>
      <w:numFmt w:val="bullet"/>
      <w:lvlText w:val="•"/>
      <w:lvlJc w:val="left"/>
      <w:pPr>
        <w:tabs>
          <w:tab w:val="num" w:pos="5760"/>
        </w:tabs>
        <w:ind w:left="5760" w:hanging="360"/>
      </w:pPr>
      <w:rPr>
        <w:rFonts w:ascii="Arial" w:hAnsi="Arial" w:hint="default"/>
      </w:rPr>
    </w:lvl>
    <w:lvl w:ilvl="8" w:tplc="B440B1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5369DF"/>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A718A0"/>
    <w:multiLevelType w:val="hybridMultilevel"/>
    <w:tmpl w:val="F412DB3C"/>
    <w:lvl w:ilvl="0" w:tplc="3716D262">
      <w:start w:val="1"/>
      <w:numFmt w:val="bullet"/>
      <w:lvlText w:val="•"/>
      <w:lvlJc w:val="left"/>
      <w:pPr>
        <w:tabs>
          <w:tab w:val="num" w:pos="720"/>
        </w:tabs>
        <w:ind w:left="720" w:hanging="360"/>
      </w:pPr>
      <w:rPr>
        <w:rFonts w:ascii="Arial" w:hAnsi="Arial" w:hint="default"/>
      </w:rPr>
    </w:lvl>
    <w:lvl w:ilvl="1" w:tplc="8B28F5F6">
      <w:start w:val="1"/>
      <w:numFmt w:val="bullet"/>
      <w:lvlText w:val="•"/>
      <w:lvlJc w:val="left"/>
      <w:pPr>
        <w:tabs>
          <w:tab w:val="num" w:pos="1440"/>
        </w:tabs>
        <w:ind w:left="1440" w:hanging="360"/>
      </w:pPr>
      <w:rPr>
        <w:rFonts w:ascii="Arial" w:hAnsi="Arial" w:hint="default"/>
      </w:rPr>
    </w:lvl>
    <w:lvl w:ilvl="2" w:tplc="73F26882">
      <w:numFmt w:val="bullet"/>
      <w:lvlText w:val="•"/>
      <w:lvlJc w:val="left"/>
      <w:pPr>
        <w:tabs>
          <w:tab w:val="num" w:pos="2160"/>
        </w:tabs>
        <w:ind w:left="2160" w:hanging="360"/>
      </w:pPr>
      <w:rPr>
        <w:rFonts w:ascii="Arial" w:hAnsi="Arial" w:hint="default"/>
      </w:rPr>
    </w:lvl>
    <w:lvl w:ilvl="3" w:tplc="AFD872C2">
      <w:start w:val="1"/>
      <w:numFmt w:val="bullet"/>
      <w:lvlText w:val="•"/>
      <w:lvlJc w:val="left"/>
      <w:pPr>
        <w:tabs>
          <w:tab w:val="num" w:pos="2880"/>
        </w:tabs>
        <w:ind w:left="2880" w:hanging="360"/>
      </w:pPr>
      <w:rPr>
        <w:rFonts w:ascii="Arial" w:hAnsi="Arial" w:hint="default"/>
      </w:rPr>
    </w:lvl>
    <w:lvl w:ilvl="4" w:tplc="0338B6CC" w:tentative="1">
      <w:start w:val="1"/>
      <w:numFmt w:val="bullet"/>
      <w:lvlText w:val="•"/>
      <w:lvlJc w:val="left"/>
      <w:pPr>
        <w:tabs>
          <w:tab w:val="num" w:pos="3600"/>
        </w:tabs>
        <w:ind w:left="3600" w:hanging="360"/>
      </w:pPr>
      <w:rPr>
        <w:rFonts w:ascii="Arial" w:hAnsi="Arial" w:hint="default"/>
      </w:rPr>
    </w:lvl>
    <w:lvl w:ilvl="5" w:tplc="6450AB2A" w:tentative="1">
      <w:start w:val="1"/>
      <w:numFmt w:val="bullet"/>
      <w:lvlText w:val="•"/>
      <w:lvlJc w:val="left"/>
      <w:pPr>
        <w:tabs>
          <w:tab w:val="num" w:pos="4320"/>
        </w:tabs>
        <w:ind w:left="4320" w:hanging="360"/>
      </w:pPr>
      <w:rPr>
        <w:rFonts w:ascii="Arial" w:hAnsi="Arial" w:hint="default"/>
      </w:rPr>
    </w:lvl>
    <w:lvl w:ilvl="6" w:tplc="FB0E0922" w:tentative="1">
      <w:start w:val="1"/>
      <w:numFmt w:val="bullet"/>
      <w:lvlText w:val="•"/>
      <w:lvlJc w:val="left"/>
      <w:pPr>
        <w:tabs>
          <w:tab w:val="num" w:pos="5040"/>
        </w:tabs>
        <w:ind w:left="5040" w:hanging="360"/>
      </w:pPr>
      <w:rPr>
        <w:rFonts w:ascii="Arial" w:hAnsi="Arial" w:hint="default"/>
      </w:rPr>
    </w:lvl>
    <w:lvl w:ilvl="7" w:tplc="9F8AEB72" w:tentative="1">
      <w:start w:val="1"/>
      <w:numFmt w:val="bullet"/>
      <w:lvlText w:val="•"/>
      <w:lvlJc w:val="left"/>
      <w:pPr>
        <w:tabs>
          <w:tab w:val="num" w:pos="5760"/>
        </w:tabs>
        <w:ind w:left="5760" w:hanging="360"/>
      </w:pPr>
      <w:rPr>
        <w:rFonts w:ascii="Arial" w:hAnsi="Arial" w:hint="default"/>
      </w:rPr>
    </w:lvl>
    <w:lvl w:ilvl="8" w:tplc="1ACC64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D24A8E"/>
    <w:multiLevelType w:val="hybridMultilevel"/>
    <w:tmpl w:val="298AFE5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D42E5"/>
    <w:multiLevelType w:val="hybridMultilevel"/>
    <w:tmpl w:val="02C20F88"/>
    <w:lvl w:ilvl="0" w:tplc="40BE2442">
      <w:start w:val="1"/>
      <w:numFmt w:val="bullet"/>
      <w:lvlText w:val=""/>
      <w:lvlJc w:val="left"/>
      <w:pPr>
        <w:tabs>
          <w:tab w:val="num" w:pos="720"/>
        </w:tabs>
        <w:ind w:left="720" w:hanging="360"/>
      </w:pPr>
      <w:rPr>
        <w:rFonts w:ascii="Wingdings" w:hAnsi="Wingdings" w:hint="default"/>
      </w:rPr>
    </w:lvl>
    <w:lvl w:ilvl="1" w:tplc="3F923690">
      <w:numFmt w:val="bullet"/>
      <w:lvlText w:val="•"/>
      <w:lvlJc w:val="left"/>
      <w:pPr>
        <w:tabs>
          <w:tab w:val="num" w:pos="1440"/>
        </w:tabs>
        <w:ind w:left="1440" w:hanging="360"/>
      </w:pPr>
      <w:rPr>
        <w:rFonts w:ascii="Arial" w:hAnsi="Arial" w:hint="default"/>
      </w:rPr>
    </w:lvl>
    <w:lvl w:ilvl="2" w:tplc="C38423EE">
      <w:numFmt w:val="bullet"/>
      <w:lvlText w:val="-"/>
      <w:lvlJc w:val="left"/>
      <w:pPr>
        <w:tabs>
          <w:tab w:val="num" w:pos="2160"/>
        </w:tabs>
        <w:ind w:left="2160" w:hanging="360"/>
      </w:pPr>
      <w:rPr>
        <w:rFonts w:ascii="Calibri" w:hAnsi="Calibri" w:hint="default"/>
      </w:rPr>
    </w:lvl>
    <w:lvl w:ilvl="3" w:tplc="CCD81676">
      <w:numFmt w:val="bullet"/>
      <w:lvlText w:val=""/>
      <w:lvlJc w:val="left"/>
      <w:pPr>
        <w:tabs>
          <w:tab w:val="num" w:pos="2880"/>
        </w:tabs>
        <w:ind w:left="2880" w:hanging="360"/>
      </w:pPr>
      <w:rPr>
        <w:rFonts w:ascii="Wingdings" w:hAnsi="Wingdings" w:hint="default"/>
      </w:rPr>
    </w:lvl>
    <w:lvl w:ilvl="4" w:tplc="023E85AE">
      <w:numFmt w:val="bullet"/>
      <w:lvlText w:val="-"/>
      <w:lvlJc w:val="left"/>
      <w:pPr>
        <w:tabs>
          <w:tab w:val="num" w:pos="3600"/>
        </w:tabs>
        <w:ind w:left="3600" w:hanging="360"/>
      </w:pPr>
      <w:rPr>
        <w:rFonts w:ascii="Calibri" w:hAnsi="Calibri" w:hint="default"/>
      </w:rPr>
    </w:lvl>
    <w:lvl w:ilvl="5" w:tplc="DE9824F4">
      <w:numFmt w:val="bullet"/>
      <w:lvlText w:val="-"/>
      <w:lvlJc w:val="left"/>
      <w:pPr>
        <w:tabs>
          <w:tab w:val="num" w:pos="4320"/>
        </w:tabs>
        <w:ind w:left="4320" w:hanging="360"/>
      </w:pPr>
      <w:rPr>
        <w:rFonts w:ascii="Calibri" w:hAnsi="Calibri" w:hint="default"/>
      </w:rPr>
    </w:lvl>
    <w:lvl w:ilvl="6" w:tplc="FAC28066" w:tentative="1">
      <w:start w:val="1"/>
      <w:numFmt w:val="bullet"/>
      <w:lvlText w:val=""/>
      <w:lvlJc w:val="left"/>
      <w:pPr>
        <w:tabs>
          <w:tab w:val="num" w:pos="5040"/>
        </w:tabs>
        <w:ind w:left="5040" w:hanging="360"/>
      </w:pPr>
      <w:rPr>
        <w:rFonts w:ascii="Wingdings" w:hAnsi="Wingdings" w:hint="default"/>
      </w:rPr>
    </w:lvl>
    <w:lvl w:ilvl="7" w:tplc="5AB6908E" w:tentative="1">
      <w:start w:val="1"/>
      <w:numFmt w:val="bullet"/>
      <w:lvlText w:val=""/>
      <w:lvlJc w:val="left"/>
      <w:pPr>
        <w:tabs>
          <w:tab w:val="num" w:pos="5760"/>
        </w:tabs>
        <w:ind w:left="5760" w:hanging="360"/>
      </w:pPr>
      <w:rPr>
        <w:rFonts w:ascii="Wingdings" w:hAnsi="Wingdings" w:hint="default"/>
      </w:rPr>
    </w:lvl>
    <w:lvl w:ilvl="8" w:tplc="17743E1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9A81F80"/>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9273F7"/>
    <w:multiLevelType w:val="hybridMultilevel"/>
    <w:tmpl w:val="2AB26B1A"/>
    <w:lvl w:ilvl="0" w:tplc="277E8CF8">
      <w:start w:val="1"/>
      <w:numFmt w:val="bullet"/>
      <w:lvlText w:val=""/>
      <w:lvlJc w:val="left"/>
      <w:pPr>
        <w:tabs>
          <w:tab w:val="num" w:pos="720"/>
        </w:tabs>
        <w:ind w:left="720" w:hanging="360"/>
      </w:pPr>
      <w:rPr>
        <w:rFonts w:ascii="Wingdings" w:hAnsi="Wingdings" w:hint="default"/>
      </w:rPr>
    </w:lvl>
    <w:lvl w:ilvl="1" w:tplc="A920B906" w:tentative="1">
      <w:start w:val="1"/>
      <w:numFmt w:val="bullet"/>
      <w:lvlText w:val=""/>
      <w:lvlJc w:val="left"/>
      <w:pPr>
        <w:tabs>
          <w:tab w:val="num" w:pos="1440"/>
        </w:tabs>
        <w:ind w:left="1440" w:hanging="360"/>
      </w:pPr>
      <w:rPr>
        <w:rFonts w:ascii="Wingdings" w:hAnsi="Wingdings" w:hint="default"/>
      </w:rPr>
    </w:lvl>
    <w:lvl w:ilvl="2" w:tplc="A46C4E52" w:tentative="1">
      <w:start w:val="1"/>
      <w:numFmt w:val="bullet"/>
      <w:lvlText w:val=""/>
      <w:lvlJc w:val="left"/>
      <w:pPr>
        <w:tabs>
          <w:tab w:val="num" w:pos="2160"/>
        </w:tabs>
        <w:ind w:left="2160" w:hanging="360"/>
      </w:pPr>
      <w:rPr>
        <w:rFonts w:ascii="Wingdings" w:hAnsi="Wingdings" w:hint="default"/>
      </w:rPr>
    </w:lvl>
    <w:lvl w:ilvl="3" w:tplc="386278C8" w:tentative="1">
      <w:start w:val="1"/>
      <w:numFmt w:val="bullet"/>
      <w:lvlText w:val=""/>
      <w:lvlJc w:val="left"/>
      <w:pPr>
        <w:tabs>
          <w:tab w:val="num" w:pos="2880"/>
        </w:tabs>
        <w:ind w:left="2880" w:hanging="360"/>
      </w:pPr>
      <w:rPr>
        <w:rFonts w:ascii="Wingdings" w:hAnsi="Wingdings" w:hint="default"/>
      </w:rPr>
    </w:lvl>
    <w:lvl w:ilvl="4" w:tplc="163AFFE8" w:tentative="1">
      <w:start w:val="1"/>
      <w:numFmt w:val="bullet"/>
      <w:lvlText w:val=""/>
      <w:lvlJc w:val="left"/>
      <w:pPr>
        <w:tabs>
          <w:tab w:val="num" w:pos="3600"/>
        </w:tabs>
        <w:ind w:left="3600" w:hanging="360"/>
      </w:pPr>
      <w:rPr>
        <w:rFonts w:ascii="Wingdings" w:hAnsi="Wingdings" w:hint="default"/>
      </w:rPr>
    </w:lvl>
    <w:lvl w:ilvl="5" w:tplc="020A8256" w:tentative="1">
      <w:start w:val="1"/>
      <w:numFmt w:val="bullet"/>
      <w:lvlText w:val=""/>
      <w:lvlJc w:val="left"/>
      <w:pPr>
        <w:tabs>
          <w:tab w:val="num" w:pos="4320"/>
        </w:tabs>
        <w:ind w:left="4320" w:hanging="360"/>
      </w:pPr>
      <w:rPr>
        <w:rFonts w:ascii="Wingdings" w:hAnsi="Wingdings" w:hint="default"/>
      </w:rPr>
    </w:lvl>
    <w:lvl w:ilvl="6" w:tplc="BA922B3C" w:tentative="1">
      <w:start w:val="1"/>
      <w:numFmt w:val="bullet"/>
      <w:lvlText w:val=""/>
      <w:lvlJc w:val="left"/>
      <w:pPr>
        <w:tabs>
          <w:tab w:val="num" w:pos="5040"/>
        </w:tabs>
        <w:ind w:left="5040" w:hanging="360"/>
      </w:pPr>
      <w:rPr>
        <w:rFonts w:ascii="Wingdings" w:hAnsi="Wingdings" w:hint="default"/>
      </w:rPr>
    </w:lvl>
    <w:lvl w:ilvl="7" w:tplc="0EBCA7CA" w:tentative="1">
      <w:start w:val="1"/>
      <w:numFmt w:val="bullet"/>
      <w:lvlText w:val=""/>
      <w:lvlJc w:val="left"/>
      <w:pPr>
        <w:tabs>
          <w:tab w:val="num" w:pos="5760"/>
        </w:tabs>
        <w:ind w:left="5760" w:hanging="360"/>
      </w:pPr>
      <w:rPr>
        <w:rFonts w:ascii="Wingdings" w:hAnsi="Wingdings" w:hint="default"/>
      </w:rPr>
    </w:lvl>
    <w:lvl w:ilvl="8" w:tplc="6B6C6E7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E427EA"/>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CD2971"/>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8008A1"/>
    <w:multiLevelType w:val="hybridMultilevel"/>
    <w:tmpl w:val="51A8F5B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5A0E20"/>
    <w:multiLevelType w:val="hybridMultilevel"/>
    <w:tmpl w:val="23303774"/>
    <w:lvl w:ilvl="0" w:tplc="E76CE1B6">
      <w:start w:val="1"/>
      <w:numFmt w:val="bullet"/>
      <w:lvlText w:val="•"/>
      <w:lvlJc w:val="left"/>
      <w:pPr>
        <w:tabs>
          <w:tab w:val="num" w:pos="360"/>
        </w:tabs>
        <w:ind w:left="360" w:hanging="360"/>
      </w:pPr>
      <w:rPr>
        <w:rFonts w:ascii="Arial" w:hAnsi="Arial" w:hint="default"/>
      </w:rPr>
    </w:lvl>
    <w:lvl w:ilvl="1" w:tplc="9892B0C2">
      <w:start w:val="1"/>
      <w:numFmt w:val="bullet"/>
      <w:lvlText w:val="•"/>
      <w:lvlJc w:val="left"/>
      <w:pPr>
        <w:tabs>
          <w:tab w:val="num" w:pos="1080"/>
        </w:tabs>
        <w:ind w:left="1080" w:hanging="360"/>
      </w:pPr>
      <w:rPr>
        <w:rFonts w:ascii="Arial" w:hAnsi="Arial" w:hint="default"/>
      </w:rPr>
    </w:lvl>
    <w:lvl w:ilvl="2" w:tplc="B6B830E0">
      <w:numFmt w:val="bullet"/>
      <w:lvlText w:val="•"/>
      <w:lvlJc w:val="left"/>
      <w:pPr>
        <w:tabs>
          <w:tab w:val="num" w:pos="1800"/>
        </w:tabs>
        <w:ind w:left="1800" w:hanging="360"/>
      </w:pPr>
      <w:rPr>
        <w:rFonts w:ascii="Arial" w:hAnsi="Arial" w:hint="default"/>
      </w:rPr>
    </w:lvl>
    <w:lvl w:ilvl="3" w:tplc="9008F49E">
      <w:numFmt w:val="bullet"/>
      <w:lvlText w:val="•"/>
      <w:lvlJc w:val="left"/>
      <w:pPr>
        <w:tabs>
          <w:tab w:val="num" w:pos="2520"/>
        </w:tabs>
        <w:ind w:left="2520" w:hanging="360"/>
      </w:pPr>
      <w:rPr>
        <w:rFonts w:ascii="Arial" w:hAnsi="Arial" w:hint="default"/>
      </w:rPr>
    </w:lvl>
    <w:lvl w:ilvl="4" w:tplc="D3701D7C" w:tentative="1">
      <w:start w:val="1"/>
      <w:numFmt w:val="bullet"/>
      <w:lvlText w:val="•"/>
      <w:lvlJc w:val="left"/>
      <w:pPr>
        <w:tabs>
          <w:tab w:val="num" w:pos="3240"/>
        </w:tabs>
        <w:ind w:left="3240" w:hanging="360"/>
      </w:pPr>
      <w:rPr>
        <w:rFonts w:ascii="Arial" w:hAnsi="Arial" w:hint="default"/>
      </w:rPr>
    </w:lvl>
    <w:lvl w:ilvl="5" w:tplc="96FEF514" w:tentative="1">
      <w:start w:val="1"/>
      <w:numFmt w:val="bullet"/>
      <w:lvlText w:val="•"/>
      <w:lvlJc w:val="left"/>
      <w:pPr>
        <w:tabs>
          <w:tab w:val="num" w:pos="3960"/>
        </w:tabs>
        <w:ind w:left="3960" w:hanging="360"/>
      </w:pPr>
      <w:rPr>
        <w:rFonts w:ascii="Arial" w:hAnsi="Arial" w:hint="default"/>
      </w:rPr>
    </w:lvl>
    <w:lvl w:ilvl="6" w:tplc="85187EB8" w:tentative="1">
      <w:start w:val="1"/>
      <w:numFmt w:val="bullet"/>
      <w:lvlText w:val="•"/>
      <w:lvlJc w:val="left"/>
      <w:pPr>
        <w:tabs>
          <w:tab w:val="num" w:pos="4680"/>
        </w:tabs>
        <w:ind w:left="4680" w:hanging="360"/>
      </w:pPr>
      <w:rPr>
        <w:rFonts w:ascii="Arial" w:hAnsi="Arial" w:hint="default"/>
      </w:rPr>
    </w:lvl>
    <w:lvl w:ilvl="7" w:tplc="B52A95D2" w:tentative="1">
      <w:start w:val="1"/>
      <w:numFmt w:val="bullet"/>
      <w:lvlText w:val="•"/>
      <w:lvlJc w:val="left"/>
      <w:pPr>
        <w:tabs>
          <w:tab w:val="num" w:pos="5400"/>
        </w:tabs>
        <w:ind w:left="5400" w:hanging="360"/>
      </w:pPr>
      <w:rPr>
        <w:rFonts w:ascii="Arial" w:hAnsi="Arial" w:hint="default"/>
      </w:rPr>
    </w:lvl>
    <w:lvl w:ilvl="8" w:tplc="0C183958"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7B352F1"/>
    <w:multiLevelType w:val="hybridMultilevel"/>
    <w:tmpl w:val="776E2A92"/>
    <w:lvl w:ilvl="0" w:tplc="689CA22E">
      <w:start w:val="1"/>
      <w:numFmt w:val="bullet"/>
      <w:lvlText w:val=""/>
      <w:lvlJc w:val="left"/>
      <w:pPr>
        <w:tabs>
          <w:tab w:val="num" w:pos="720"/>
        </w:tabs>
        <w:ind w:left="720" w:hanging="360"/>
      </w:pPr>
      <w:rPr>
        <w:rFonts w:ascii="Wingdings" w:hAnsi="Wingdings" w:hint="default"/>
      </w:rPr>
    </w:lvl>
    <w:lvl w:ilvl="1" w:tplc="4B2C52B4">
      <w:numFmt w:val="bullet"/>
      <w:lvlText w:val="•"/>
      <w:lvlJc w:val="left"/>
      <w:pPr>
        <w:tabs>
          <w:tab w:val="num" w:pos="1440"/>
        </w:tabs>
        <w:ind w:left="1440" w:hanging="360"/>
      </w:pPr>
      <w:rPr>
        <w:rFonts w:ascii="Arial" w:hAnsi="Arial" w:hint="default"/>
      </w:rPr>
    </w:lvl>
    <w:lvl w:ilvl="2" w:tplc="514A13A0">
      <w:numFmt w:val="bullet"/>
      <w:lvlText w:val="-"/>
      <w:lvlJc w:val="left"/>
      <w:pPr>
        <w:tabs>
          <w:tab w:val="num" w:pos="2160"/>
        </w:tabs>
        <w:ind w:left="2160" w:hanging="360"/>
      </w:pPr>
      <w:rPr>
        <w:rFonts w:ascii="Calibri" w:hAnsi="Calibri" w:hint="default"/>
      </w:rPr>
    </w:lvl>
    <w:lvl w:ilvl="3" w:tplc="59463CD6">
      <w:numFmt w:val="bullet"/>
      <w:lvlText w:val=""/>
      <w:lvlJc w:val="left"/>
      <w:pPr>
        <w:tabs>
          <w:tab w:val="num" w:pos="2880"/>
        </w:tabs>
        <w:ind w:left="2880" w:hanging="360"/>
      </w:pPr>
      <w:rPr>
        <w:rFonts w:ascii="Wingdings" w:hAnsi="Wingdings" w:hint="default"/>
      </w:rPr>
    </w:lvl>
    <w:lvl w:ilvl="4" w:tplc="438CA4CE" w:tentative="1">
      <w:start w:val="1"/>
      <w:numFmt w:val="bullet"/>
      <w:lvlText w:val=""/>
      <w:lvlJc w:val="left"/>
      <w:pPr>
        <w:tabs>
          <w:tab w:val="num" w:pos="3600"/>
        </w:tabs>
        <w:ind w:left="3600" w:hanging="360"/>
      </w:pPr>
      <w:rPr>
        <w:rFonts w:ascii="Wingdings" w:hAnsi="Wingdings" w:hint="default"/>
      </w:rPr>
    </w:lvl>
    <w:lvl w:ilvl="5" w:tplc="1ED07E3E" w:tentative="1">
      <w:start w:val="1"/>
      <w:numFmt w:val="bullet"/>
      <w:lvlText w:val=""/>
      <w:lvlJc w:val="left"/>
      <w:pPr>
        <w:tabs>
          <w:tab w:val="num" w:pos="4320"/>
        </w:tabs>
        <w:ind w:left="4320" w:hanging="360"/>
      </w:pPr>
      <w:rPr>
        <w:rFonts w:ascii="Wingdings" w:hAnsi="Wingdings" w:hint="default"/>
      </w:rPr>
    </w:lvl>
    <w:lvl w:ilvl="6" w:tplc="855A657E" w:tentative="1">
      <w:start w:val="1"/>
      <w:numFmt w:val="bullet"/>
      <w:lvlText w:val=""/>
      <w:lvlJc w:val="left"/>
      <w:pPr>
        <w:tabs>
          <w:tab w:val="num" w:pos="5040"/>
        </w:tabs>
        <w:ind w:left="5040" w:hanging="360"/>
      </w:pPr>
      <w:rPr>
        <w:rFonts w:ascii="Wingdings" w:hAnsi="Wingdings" w:hint="default"/>
      </w:rPr>
    </w:lvl>
    <w:lvl w:ilvl="7" w:tplc="E7761B06" w:tentative="1">
      <w:start w:val="1"/>
      <w:numFmt w:val="bullet"/>
      <w:lvlText w:val=""/>
      <w:lvlJc w:val="left"/>
      <w:pPr>
        <w:tabs>
          <w:tab w:val="num" w:pos="5760"/>
        </w:tabs>
        <w:ind w:left="5760" w:hanging="360"/>
      </w:pPr>
      <w:rPr>
        <w:rFonts w:ascii="Wingdings" w:hAnsi="Wingdings" w:hint="default"/>
      </w:rPr>
    </w:lvl>
    <w:lvl w:ilvl="8" w:tplc="0A2EEF1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18"/>
  </w:num>
  <w:num w:numId="4">
    <w:abstractNumId w:val="9"/>
  </w:num>
  <w:num w:numId="5">
    <w:abstractNumId w:val="23"/>
  </w:num>
  <w:num w:numId="6">
    <w:abstractNumId w:val="15"/>
  </w:num>
  <w:num w:numId="7">
    <w:abstractNumId w:val="17"/>
  </w:num>
  <w:num w:numId="8">
    <w:abstractNumId w:val="17"/>
    <w:lvlOverride w:ilvl="0">
      <w:startOverride w:val="1"/>
    </w:lvlOverride>
  </w:num>
  <w:num w:numId="9">
    <w:abstractNumId w:val="17"/>
    <w:lvlOverride w:ilvl="0">
      <w:startOverride w:val="1"/>
    </w:lvlOverride>
  </w:num>
  <w:num w:numId="10">
    <w:abstractNumId w:val="17"/>
    <w:lvlOverride w:ilvl="0">
      <w:startOverride w:val="1"/>
    </w:lvlOverride>
  </w:num>
  <w:num w:numId="11">
    <w:abstractNumId w:val="15"/>
    <w:lvlOverride w:ilvl="0">
      <w:startOverride w:val="1"/>
    </w:lvlOverride>
  </w:num>
  <w:num w:numId="12">
    <w:abstractNumId w:val="17"/>
    <w:lvlOverride w:ilvl="0">
      <w:startOverride w:val="1"/>
    </w:lvlOverride>
  </w:num>
  <w:num w:numId="13">
    <w:abstractNumId w:val="15"/>
    <w:lvlOverride w:ilvl="0">
      <w:startOverride w:val="1"/>
    </w:lvlOverride>
  </w:num>
  <w:num w:numId="14">
    <w:abstractNumId w:val="17"/>
    <w:lvlOverride w:ilvl="0">
      <w:startOverride w:val="1"/>
    </w:lvlOverride>
  </w:num>
  <w:num w:numId="15">
    <w:abstractNumId w:val="31"/>
  </w:num>
  <w:num w:numId="16">
    <w:abstractNumId w:val="7"/>
  </w:num>
  <w:num w:numId="17">
    <w:abstractNumId w:val="22"/>
  </w:num>
  <w:num w:numId="18">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9"/>
  </w:num>
  <w:num w:numId="22">
    <w:abstractNumId w:val="28"/>
  </w:num>
  <w:num w:numId="23">
    <w:abstractNumId w:val="25"/>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30"/>
  </w:num>
  <w:num w:numId="27">
    <w:abstractNumId w:val="11"/>
  </w:num>
  <w:num w:numId="28">
    <w:abstractNumId w:val="1"/>
  </w:num>
  <w:num w:numId="29">
    <w:abstractNumId w:val="2"/>
  </w:num>
  <w:num w:numId="30">
    <w:abstractNumId w:val="29"/>
  </w:num>
  <w:num w:numId="31">
    <w:abstractNumId w:val="27"/>
  </w:num>
  <w:num w:numId="32">
    <w:abstractNumId w:val="13"/>
  </w:num>
  <w:num w:numId="33">
    <w:abstractNumId w:val="16"/>
  </w:num>
  <w:num w:numId="34">
    <w:abstractNumId w:val="12"/>
  </w:num>
  <w:num w:numId="35">
    <w:abstractNumId w:val="5"/>
  </w:num>
  <w:num w:numId="36">
    <w:abstractNumId w:val="24"/>
  </w:num>
  <w:num w:numId="37">
    <w:abstractNumId w:val="4"/>
  </w:num>
  <w:num w:numId="38">
    <w:abstractNumId w:val="8"/>
  </w:num>
  <w:num w:numId="39">
    <w:abstractNumId w:val="26"/>
  </w:num>
  <w:num w:numId="40">
    <w:abstractNumId w:val="22"/>
  </w:num>
  <w:num w:numId="41">
    <w:abstractNumId w:val="20"/>
  </w:num>
  <w:num w:numId="42">
    <w:abstractNumId w:val="3"/>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6B53"/>
    <w:rsid w:val="0006758A"/>
    <w:rsid w:val="0007101A"/>
    <w:rsid w:val="00074FED"/>
    <w:rsid w:val="00082B05"/>
    <w:rsid w:val="0008612A"/>
    <w:rsid w:val="000A7086"/>
    <w:rsid w:val="000B0056"/>
    <w:rsid w:val="000B005F"/>
    <w:rsid w:val="000D4E89"/>
    <w:rsid w:val="000E0505"/>
    <w:rsid w:val="00100DF1"/>
    <w:rsid w:val="001034FB"/>
    <w:rsid w:val="00107708"/>
    <w:rsid w:val="00126990"/>
    <w:rsid w:val="001625F8"/>
    <w:rsid w:val="001745F8"/>
    <w:rsid w:val="001754B4"/>
    <w:rsid w:val="00176671"/>
    <w:rsid w:val="001838CF"/>
    <w:rsid w:val="001841C4"/>
    <w:rsid w:val="0019443D"/>
    <w:rsid w:val="001B0034"/>
    <w:rsid w:val="001C5304"/>
    <w:rsid w:val="001E30F6"/>
    <w:rsid w:val="001E7148"/>
    <w:rsid w:val="00220ED5"/>
    <w:rsid w:val="002316D0"/>
    <w:rsid w:val="00235F5C"/>
    <w:rsid w:val="00256EAB"/>
    <w:rsid w:val="00274FE4"/>
    <w:rsid w:val="002A37E4"/>
    <w:rsid w:val="002A71D5"/>
    <w:rsid w:val="002B4922"/>
    <w:rsid w:val="002C2D19"/>
    <w:rsid w:val="002D10FA"/>
    <w:rsid w:val="002D4C55"/>
    <w:rsid w:val="0032623A"/>
    <w:rsid w:val="00370383"/>
    <w:rsid w:val="0038214C"/>
    <w:rsid w:val="003B659E"/>
    <w:rsid w:val="003F5269"/>
    <w:rsid w:val="00410C1C"/>
    <w:rsid w:val="00417AA0"/>
    <w:rsid w:val="0043750A"/>
    <w:rsid w:val="00437DEB"/>
    <w:rsid w:val="00443559"/>
    <w:rsid w:val="00450F5D"/>
    <w:rsid w:val="00463825"/>
    <w:rsid w:val="004B7B4A"/>
    <w:rsid w:val="004C1EB4"/>
    <w:rsid w:val="004D7F9F"/>
    <w:rsid w:val="004E27A4"/>
    <w:rsid w:val="004E5E66"/>
    <w:rsid w:val="004F2218"/>
    <w:rsid w:val="004F3D3B"/>
    <w:rsid w:val="00503B03"/>
    <w:rsid w:val="00503B4D"/>
    <w:rsid w:val="00504EE9"/>
    <w:rsid w:val="005240B7"/>
    <w:rsid w:val="0054442C"/>
    <w:rsid w:val="00550285"/>
    <w:rsid w:val="005836F8"/>
    <w:rsid w:val="005918FA"/>
    <w:rsid w:val="005D0338"/>
    <w:rsid w:val="005E61A8"/>
    <w:rsid w:val="005F6419"/>
    <w:rsid w:val="00617400"/>
    <w:rsid w:val="006265E0"/>
    <w:rsid w:val="00660DC2"/>
    <w:rsid w:val="00664950"/>
    <w:rsid w:val="006764BB"/>
    <w:rsid w:val="00683220"/>
    <w:rsid w:val="00687FA0"/>
    <w:rsid w:val="006B2AF8"/>
    <w:rsid w:val="006B7010"/>
    <w:rsid w:val="006F4187"/>
    <w:rsid w:val="00702B7D"/>
    <w:rsid w:val="00703BD4"/>
    <w:rsid w:val="007145FF"/>
    <w:rsid w:val="00751515"/>
    <w:rsid w:val="00754AAA"/>
    <w:rsid w:val="00785232"/>
    <w:rsid w:val="007A6422"/>
    <w:rsid w:val="007C33D9"/>
    <w:rsid w:val="007C3ED0"/>
    <w:rsid w:val="007F6B81"/>
    <w:rsid w:val="00806A76"/>
    <w:rsid w:val="00811C9D"/>
    <w:rsid w:val="00816C80"/>
    <w:rsid w:val="008204C6"/>
    <w:rsid w:val="00820C48"/>
    <w:rsid w:val="00835C66"/>
    <w:rsid w:val="00841BCD"/>
    <w:rsid w:val="00853175"/>
    <w:rsid w:val="008826C1"/>
    <w:rsid w:val="008A23C5"/>
    <w:rsid w:val="008C37E4"/>
    <w:rsid w:val="008C6F57"/>
    <w:rsid w:val="009042BD"/>
    <w:rsid w:val="009153D4"/>
    <w:rsid w:val="00921C13"/>
    <w:rsid w:val="009249B4"/>
    <w:rsid w:val="00977E1D"/>
    <w:rsid w:val="009830D1"/>
    <w:rsid w:val="00985EAF"/>
    <w:rsid w:val="0099686D"/>
    <w:rsid w:val="009B2113"/>
    <w:rsid w:val="009C0262"/>
    <w:rsid w:val="009C3226"/>
    <w:rsid w:val="009C4527"/>
    <w:rsid w:val="009E3C11"/>
    <w:rsid w:val="00A0203F"/>
    <w:rsid w:val="00A02AF0"/>
    <w:rsid w:val="00A06FB2"/>
    <w:rsid w:val="00A077CE"/>
    <w:rsid w:val="00A15A9F"/>
    <w:rsid w:val="00A22B78"/>
    <w:rsid w:val="00A25AE5"/>
    <w:rsid w:val="00A37002"/>
    <w:rsid w:val="00A506FD"/>
    <w:rsid w:val="00A7492F"/>
    <w:rsid w:val="00A86E66"/>
    <w:rsid w:val="00A95C98"/>
    <w:rsid w:val="00AA1B0E"/>
    <w:rsid w:val="00AA1C57"/>
    <w:rsid w:val="00AA1E5C"/>
    <w:rsid w:val="00AB1108"/>
    <w:rsid w:val="00AC1214"/>
    <w:rsid w:val="00AC2B38"/>
    <w:rsid w:val="00AC5CA7"/>
    <w:rsid w:val="00AE56B1"/>
    <w:rsid w:val="00AE6451"/>
    <w:rsid w:val="00B16397"/>
    <w:rsid w:val="00B53D00"/>
    <w:rsid w:val="00B5454D"/>
    <w:rsid w:val="00B73862"/>
    <w:rsid w:val="00B74C1F"/>
    <w:rsid w:val="00B8606D"/>
    <w:rsid w:val="00BA6E48"/>
    <w:rsid w:val="00BF2218"/>
    <w:rsid w:val="00C04855"/>
    <w:rsid w:val="00C0541A"/>
    <w:rsid w:val="00C073BD"/>
    <w:rsid w:val="00C203DD"/>
    <w:rsid w:val="00C42272"/>
    <w:rsid w:val="00C42DCE"/>
    <w:rsid w:val="00C74935"/>
    <w:rsid w:val="00C83C46"/>
    <w:rsid w:val="00CB5915"/>
    <w:rsid w:val="00CD7492"/>
    <w:rsid w:val="00CE1EBA"/>
    <w:rsid w:val="00CE3A6B"/>
    <w:rsid w:val="00D00211"/>
    <w:rsid w:val="00D03FC6"/>
    <w:rsid w:val="00D06309"/>
    <w:rsid w:val="00D2238B"/>
    <w:rsid w:val="00D351EA"/>
    <w:rsid w:val="00D43403"/>
    <w:rsid w:val="00D62E71"/>
    <w:rsid w:val="00D718F1"/>
    <w:rsid w:val="00D740CA"/>
    <w:rsid w:val="00D762F2"/>
    <w:rsid w:val="00D82C09"/>
    <w:rsid w:val="00D85728"/>
    <w:rsid w:val="00DA30AF"/>
    <w:rsid w:val="00DA7616"/>
    <w:rsid w:val="00DF2997"/>
    <w:rsid w:val="00E20ED2"/>
    <w:rsid w:val="00E31948"/>
    <w:rsid w:val="00E52560"/>
    <w:rsid w:val="00E53F93"/>
    <w:rsid w:val="00E6410D"/>
    <w:rsid w:val="00E80E17"/>
    <w:rsid w:val="00E8297E"/>
    <w:rsid w:val="00E93772"/>
    <w:rsid w:val="00EB55EA"/>
    <w:rsid w:val="00EC7BC3"/>
    <w:rsid w:val="00ED7600"/>
    <w:rsid w:val="00EE15DB"/>
    <w:rsid w:val="00EE7CB7"/>
    <w:rsid w:val="00EF236A"/>
    <w:rsid w:val="00F03CC9"/>
    <w:rsid w:val="00F04EB4"/>
    <w:rsid w:val="00F1362C"/>
    <w:rsid w:val="00F34499"/>
    <w:rsid w:val="00F44843"/>
    <w:rsid w:val="00F45713"/>
    <w:rsid w:val="00F52735"/>
    <w:rsid w:val="00F57FD7"/>
    <w:rsid w:val="00F64F6E"/>
    <w:rsid w:val="00F824F5"/>
    <w:rsid w:val="00FC29B9"/>
    <w:rsid w:val="00FC3EA3"/>
    <w:rsid w:val="00FC6FD3"/>
    <w:rsid w:val="00FC7B92"/>
    <w:rsid w:val="00FE12A5"/>
    <w:rsid w:val="00FE46F7"/>
    <w:rsid w:val="00FE6250"/>
    <w:rsid w:val="00FF2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0DF1"/>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5240B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7"/>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5240B7"/>
    <w:rPr>
      <w:rFonts w:asciiTheme="majorHAnsi" w:eastAsiaTheme="majorEastAsia" w:hAnsiTheme="majorHAnsi" w:cstheme="majorBidi"/>
      <w:i/>
      <w:iCs/>
      <w:color w:val="2F5496" w:themeColor="accent1" w:themeShade="BF"/>
      <w:sz w:val="20"/>
    </w:rPr>
  </w:style>
  <w:style w:type="paragraph" w:customStyle="1" w:styleId="B1">
    <w:name w:val="B1"/>
    <w:basedOn w:val="Normal"/>
    <w:link w:val="B1Char"/>
    <w:rsid w:val="00F64F6E"/>
    <w:pPr>
      <w:spacing w:before="0" w:after="180" w:line="240" w:lineRule="auto"/>
      <w:ind w:left="568" w:hanging="284"/>
    </w:pPr>
    <w:rPr>
      <w:rFonts w:eastAsia="宋体" w:cs="Times New Roman"/>
      <w:szCs w:val="20"/>
      <w:lang w:val="en-GB"/>
    </w:rPr>
  </w:style>
  <w:style w:type="character" w:customStyle="1" w:styleId="B1Char">
    <w:name w:val="B1 Char"/>
    <w:link w:val="B1"/>
    <w:rsid w:val="00F64F6E"/>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EFCA1-12CD-4F1B-9504-744834160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3</Pages>
  <Words>1270</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36</cp:revision>
  <dcterms:created xsi:type="dcterms:W3CDTF">2018-05-01T11:51:00Z</dcterms:created>
  <dcterms:modified xsi:type="dcterms:W3CDTF">2018-06-25T18:41:00Z</dcterms:modified>
</cp:coreProperties>
</file>