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3GPP TSG-RAN WG4 Meeting # 9</w:t>
      </w:r>
      <w:r>
        <w:rPr>
          <w:rFonts w:ascii="Arial" w:eastAsiaTheme="minorEastAsia" w:hAnsi="Arial" w:cs="Arial" w:hint="eastAsia"/>
          <w:b/>
          <w:sz w:val="24"/>
          <w:szCs w:val="24"/>
        </w:rPr>
        <w:t>9</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R4-210</w:t>
      </w:r>
      <w:r>
        <w:rPr>
          <w:rFonts w:ascii="Arial" w:eastAsiaTheme="minorEastAsia" w:hAnsi="Arial" w:cs="Arial" w:hint="eastAsia"/>
          <w:b/>
          <w:sz w:val="24"/>
          <w:szCs w:val="24"/>
        </w:rPr>
        <w:t>9116</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Pr>
          <w:rFonts w:ascii="Arial" w:hAnsi="Arial" w:hint="eastAsia"/>
          <w:b/>
          <w:sz w:val="24"/>
          <w:szCs w:val="24"/>
        </w:rPr>
        <w:t>19</w:t>
      </w:r>
      <w:r w:rsidRPr="00E72CF1">
        <w:rPr>
          <w:rFonts w:ascii="Arial" w:hAnsi="Arial"/>
          <w:b/>
          <w:sz w:val="24"/>
          <w:szCs w:val="24"/>
          <w:vertAlign w:val="superscript"/>
        </w:rPr>
        <w:t>th</w:t>
      </w:r>
      <w:r>
        <w:rPr>
          <w:rFonts w:ascii="Arial" w:hAnsi="Arial"/>
          <w:b/>
          <w:sz w:val="24"/>
          <w:szCs w:val="24"/>
        </w:rPr>
        <w:t xml:space="preserve"> – 2</w:t>
      </w:r>
      <w:r>
        <w:rPr>
          <w:rFonts w:ascii="Arial" w:hAnsi="Arial" w:hint="eastAsia"/>
          <w:b/>
          <w:sz w:val="24"/>
          <w:szCs w:val="24"/>
        </w:rPr>
        <w:t>7</w:t>
      </w:r>
      <w:r w:rsidRPr="00E72CF1">
        <w:rPr>
          <w:rFonts w:ascii="Arial" w:hAnsi="Arial"/>
          <w:b/>
          <w:sz w:val="24"/>
          <w:szCs w:val="24"/>
          <w:vertAlign w:val="superscript"/>
        </w:rPr>
        <w:t>th</w:t>
      </w:r>
      <w:r w:rsidR="00184BA2" w:rsidRPr="00184BA2">
        <w:rPr>
          <w:rFonts w:ascii="Arial" w:eastAsiaTheme="minorEastAsia" w:hAnsi="Arial" w:cs="Arial" w:hint="eastAsia"/>
          <w:b/>
          <w:sz w:val="24"/>
          <w:szCs w:val="24"/>
        </w:rPr>
        <w:t xml:space="preserve"> </w:t>
      </w:r>
      <w:r w:rsidR="00184BA2">
        <w:rPr>
          <w:rFonts w:ascii="Arial" w:eastAsiaTheme="minorEastAsia" w:hAnsi="Arial" w:cs="Arial" w:hint="eastAsia"/>
          <w:b/>
          <w:sz w:val="24"/>
          <w:szCs w:val="24"/>
        </w:rPr>
        <w:t>May</w:t>
      </w:r>
      <w:r w:rsidRPr="00CD5A36">
        <w:rPr>
          <w:rFonts w:ascii="Arial" w:hAnsi="Arial"/>
          <w:b/>
          <w:sz w:val="24"/>
          <w:szCs w:val="24"/>
        </w:rPr>
        <w:t>, 2021</w:t>
      </w:r>
    </w:p>
    <w:p w:rsidR="00034C96" w:rsidRPr="00AE395F"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90988">
        <w:rPr>
          <w:rFonts w:ascii="Arial" w:hAnsi="Arial" w:cs="Arial" w:hint="eastAsia"/>
          <w:b w:val="0"/>
        </w:rPr>
        <w:t xml:space="preserve">Open issues for </w:t>
      </w:r>
      <w:r w:rsidR="00090988" w:rsidRPr="00090988">
        <w:rPr>
          <w:rFonts w:ascii="Arial" w:hAnsi="Arial" w:cs="Arial"/>
          <w:b w:val="0"/>
        </w:rPr>
        <w:t>NTN architecture</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E71ED">
        <w:rPr>
          <w:rFonts w:ascii="Arial" w:hAnsi="Arial" w:cs="Arial" w:hint="eastAsia"/>
          <w:b w:val="0"/>
        </w:rPr>
        <w:t>9.12</w:t>
      </w:r>
      <w:r w:rsidR="00F166D9">
        <w:rPr>
          <w:rFonts w:ascii="Arial" w:hAnsi="Arial" w:cs="Arial" w:hint="eastAsia"/>
          <w:b w:val="0"/>
        </w:rPr>
        <w:t>.</w:t>
      </w:r>
      <w:r w:rsidR="007C011D">
        <w:rPr>
          <w:rFonts w:ascii="Arial" w:hAnsi="Arial" w:cs="Arial" w:hint="eastAsia"/>
          <w:b w:val="0"/>
        </w:rPr>
        <w:t>1.2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r w:rsidR="00AE71ED">
        <w:rPr>
          <w:rFonts w:ascii="Arial" w:hAnsi="Arial" w:cs="Arial" w:hint="eastAsia"/>
          <w:b w:val="0"/>
        </w:rPr>
        <w:t xml:space="preserve"> and 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74241" w:rsidRDefault="00F74241" w:rsidP="00F74241">
      <w:pPr>
        <w:rPr>
          <w:lang w:val="en-US"/>
        </w:rPr>
      </w:pPr>
      <w:r>
        <w:rPr>
          <w:lang w:val="en-US"/>
        </w:rPr>
        <w:t>T</w:t>
      </w:r>
      <w:r>
        <w:rPr>
          <w:rFonts w:hint="eastAsia"/>
          <w:lang w:val="en-US"/>
        </w:rPr>
        <w:t xml:space="preserve">here were extensive discussions </w:t>
      </w:r>
      <w:r w:rsidR="00D04129">
        <w:rPr>
          <w:rFonts w:hint="eastAsia"/>
          <w:lang w:val="en-US"/>
        </w:rPr>
        <w:t xml:space="preserve">on NRN architecture </w:t>
      </w:r>
      <w:r>
        <w:rPr>
          <w:rFonts w:hint="eastAsia"/>
          <w:lang w:val="en-US"/>
        </w:rPr>
        <w:t>during the past RAN4 meeting</w:t>
      </w:r>
      <w:r w:rsidR="003C55F5">
        <w:rPr>
          <w:rFonts w:hint="eastAsia"/>
          <w:lang w:val="en-US"/>
        </w:rPr>
        <w:t>s</w:t>
      </w:r>
      <w:r>
        <w:rPr>
          <w:rFonts w:hint="eastAsia"/>
          <w:lang w:val="en-US"/>
        </w:rPr>
        <w:t xml:space="preserve"> and a WF</w:t>
      </w:r>
      <w:r w:rsidR="00D04129">
        <w:rPr>
          <w:rFonts w:hint="eastAsia"/>
          <w:lang w:val="en-US"/>
        </w:rPr>
        <w:t xml:space="preserve"> was approved  </w:t>
      </w:r>
      <w:r>
        <w:rPr>
          <w:rFonts w:hint="eastAsia"/>
          <w:lang w:val="en-US"/>
        </w:rPr>
        <w:t xml:space="preserve"> [1] in RAN4#98</w:t>
      </w:r>
      <w:r w:rsidR="00D04129">
        <w:rPr>
          <w:rFonts w:hint="eastAsia"/>
          <w:lang w:val="en-US"/>
        </w:rPr>
        <w:t>bis-</w:t>
      </w:r>
      <w:r>
        <w:rPr>
          <w:rFonts w:hint="eastAsia"/>
          <w:lang w:val="en-US"/>
        </w:rPr>
        <w:t xml:space="preserve">e. </w:t>
      </w:r>
      <w:r w:rsidR="00AE395F">
        <w:rPr>
          <w:rFonts w:hint="eastAsia"/>
          <w:lang w:val="en-US"/>
        </w:rPr>
        <w:t>T</w:t>
      </w:r>
      <w:r w:rsidR="00D04129">
        <w:rPr>
          <w:rFonts w:hint="eastAsia"/>
          <w:lang w:val="en-US"/>
        </w:rPr>
        <w:t>he following open issues related to NTN architecture remains to be solved.</w:t>
      </w:r>
    </w:p>
    <w:p w:rsidR="00F74241" w:rsidRDefault="00F74241" w:rsidP="005707E1">
      <w:pPr>
        <w:jc w:val="center"/>
        <w:rPr>
          <w:lang w:val="en-US"/>
        </w:rPr>
      </w:pPr>
      <w:r w:rsidRPr="00F74241">
        <w:rPr>
          <w:noProof/>
          <w:lang w:val="en-US"/>
        </w:rPr>
        <mc:AlternateContent>
          <mc:Choice Requires="wps">
            <w:drawing>
              <wp:inline distT="0" distB="0" distL="0" distR="0" wp14:anchorId="413D92E8" wp14:editId="7239B4B5">
                <wp:extent cx="5664073" cy="1403985"/>
                <wp:effectExtent l="0" t="0" r="13335" b="2159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073" cy="1403985"/>
                        </a:xfrm>
                        <a:prstGeom prst="rect">
                          <a:avLst/>
                        </a:prstGeom>
                        <a:solidFill>
                          <a:srgbClr val="FFFFFF"/>
                        </a:solidFill>
                        <a:ln w="9525">
                          <a:solidFill>
                            <a:srgbClr val="000000"/>
                          </a:solidFill>
                          <a:miter lim="800000"/>
                          <a:headEnd/>
                          <a:tailEnd/>
                        </a:ln>
                      </wps:spPr>
                      <wps:txbx>
                        <w:txbxContent>
                          <w:p w:rsidR="005707E1" w:rsidRPr="00D04129" w:rsidRDefault="005707E1" w:rsidP="00D04129">
                            <w:pPr>
                              <w:pStyle w:val="afa"/>
                              <w:numPr>
                                <w:ilvl w:val="0"/>
                                <w:numId w:val="39"/>
                              </w:numPr>
                              <w:snapToGrid w:val="0"/>
                              <w:spacing w:before="0" w:line="240" w:lineRule="auto"/>
                              <w:ind w:firstLineChars="0"/>
                              <w:rPr>
                                <w:szCs w:val="20"/>
                                <w:lang w:val="en-US"/>
                              </w:rPr>
                            </w:pPr>
                            <w:r w:rsidRPr="00D04129">
                              <w:rPr>
                                <w:bCs/>
                                <w:szCs w:val="20"/>
                                <w:lang w:val="en-US"/>
                              </w:rPr>
                              <w:t xml:space="preserve">Baseline assumption: </w:t>
                            </w:r>
                            <w:r w:rsidRPr="00D04129">
                              <w:rPr>
                                <w:szCs w:val="20"/>
                                <w:lang w:val="en-US"/>
                              </w:rPr>
                              <w:t>The linkage between NTN Gateway and non-NTN gNB is up to implementation and without 3GPP standardized solution</w:t>
                            </w:r>
                          </w:p>
                          <w:p w:rsidR="005707E1" w:rsidRPr="00D04129" w:rsidRDefault="005707E1" w:rsidP="00D04129">
                            <w:pPr>
                              <w:pStyle w:val="afa"/>
                              <w:numPr>
                                <w:ilvl w:val="0"/>
                                <w:numId w:val="40"/>
                              </w:numPr>
                              <w:snapToGrid w:val="0"/>
                              <w:spacing w:before="0" w:line="240" w:lineRule="auto"/>
                              <w:ind w:firstLineChars="0"/>
                              <w:rPr>
                                <w:szCs w:val="20"/>
                                <w:lang w:val="en-US"/>
                              </w:rPr>
                            </w:pPr>
                            <w:r w:rsidRPr="00D04129">
                              <w:rPr>
                                <w:bCs/>
                                <w:szCs w:val="20"/>
                                <w:lang w:val="en-US"/>
                              </w:rPr>
                              <w:t xml:space="preserve">Pending on further check on the test feasibility of Rx requirements on gNB side of service link </w:t>
                            </w:r>
                            <w:r w:rsidRPr="00D04129">
                              <w:rPr>
                                <w:szCs w:val="20"/>
                                <w:lang w:val="en-US"/>
                              </w:rPr>
                              <w:t>(refer to the figure in the next slide)</w:t>
                            </w:r>
                          </w:p>
                          <w:p w:rsidR="005707E1" w:rsidRPr="00D04129" w:rsidRDefault="005707E1" w:rsidP="00D04129">
                            <w:pPr>
                              <w:pStyle w:val="afa"/>
                              <w:numPr>
                                <w:ilvl w:val="0"/>
                                <w:numId w:val="39"/>
                              </w:numPr>
                              <w:snapToGrid w:val="0"/>
                              <w:spacing w:before="0" w:line="240" w:lineRule="auto"/>
                              <w:ind w:firstLineChars="0"/>
                              <w:rPr>
                                <w:bCs/>
                                <w:szCs w:val="20"/>
                                <w:lang w:val="en-US"/>
                              </w:rPr>
                            </w:pPr>
                            <w:r w:rsidRPr="00D04129">
                              <w:rPr>
                                <w:bCs/>
                                <w:szCs w:val="20"/>
                                <w:lang w:val="en-US"/>
                              </w:rPr>
                              <w:t>RAN4 to decide if there are any testing concerns for Satellite + feeder link + NTN-Gateway + gNB as a single entity, and why.</w:t>
                            </w:r>
                          </w:p>
                          <w:p w:rsidR="005707E1" w:rsidRPr="00D04129" w:rsidRDefault="005707E1" w:rsidP="00D04129">
                            <w:pPr>
                              <w:pStyle w:val="afa"/>
                              <w:numPr>
                                <w:ilvl w:val="0"/>
                                <w:numId w:val="39"/>
                              </w:numPr>
                              <w:snapToGrid w:val="0"/>
                              <w:spacing w:before="0" w:line="240" w:lineRule="auto"/>
                              <w:ind w:firstLineChars="0"/>
                              <w:rPr>
                                <w:bCs/>
                                <w:szCs w:val="20"/>
                                <w:lang w:val="en-US"/>
                              </w:rPr>
                            </w:pPr>
                            <w:r w:rsidRPr="00D04129">
                              <w:rPr>
                                <w:bCs/>
                                <w:szCs w:val="20"/>
                                <w:lang w:val="en-US"/>
                              </w:rPr>
                              <w:t>RAN4 shall take into account the inputs from companies to decide if the typical satellite implementation considers wired or non-wired connection with the GW.</w:t>
                            </w:r>
                          </w:p>
                          <w:p w:rsidR="005707E1" w:rsidRPr="00D04129" w:rsidRDefault="005707E1" w:rsidP="00D04129">
                            <w:pPr>
                              <w:pStyle w:val="afa"/>
                              <w:numPr>
                                <w:ilvl w:val="0"/>
                                <w:numId w:val="39"/>
                              </w:numPr>
                              <w:snapToGrid w:val="0"/>
                              <w:spacing w:before="0" w:line="240" w:lineRule="auto"/>
                              <w:ind w:firstLineChars="0"/>
                              <w:rPr>
                                <w:bCs/>
                                <w:szCs w:val="20"/>
                                <w:lang w:val="en-US"/>
                              </w:rPr>
                            </w:pPr>
                            <w:r w:rsidRPr="00D04129">
                              <w:rPr>
                                <w:bCs/>
                                <w:szCs w:val="20"/>
                                <w:lang w:val="en-US"/>
                              </w:rPr>
                              <w:t>RAN4 shall consider the architecture defined by RAN3 as baseline and shall allow further potential modifications if required pending further check on test feasibility.</w:t>
                            </w:r>
                          </w:p>
                          <w:p w:rsidR="005707E1" w:rsidRPr="00D04129" w:rsidRDefault="005707E1" w:rsidP="00D04129">
                            <w:pPr>
                              <w:pStyle w:val="afa"/>
                              <w:numPr>
                                <w:ilvl w:val="0"/>
                                <w:numId w:val="39"/>
                              </w:numPr>
                              <w:snapToGrid w:val="0"/>
                              <w:spacing w:before="0" w:line="240" w:lineRule="auto"/>
                              <w:ind w:firstLineChars="0"/>
                              <w:rPr>
                                <w:bCs/>
                                <w:szCs w:val="20"/>
                                <w:lang w:val="en-US"/>
                              </w:rPr>
                            </w:pPr>
                            <w:r w:rsidRPr="00D04129">
                              <w:rPr>
                                <w:bCs/>
                                <w:szCs w:val="20"/>
                                <w:lang w:val="en-US"/>
                              </w:rPr>
                              <w:t>RAN4 shall consider the architecture defined by RAN3 as baseline for test setup pending on further check on test feasibility.</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6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">
                <v:textbox style="mso-fit-shape-to-text:t">
                  <w:txbxContent>
                    <w:p w:rsidR="005707E1" w:rsidRPr="00D04129" w:rsidRDefault="005707E1" w:rsidP="00D04129">
                      <w:pPr>
                        <w:pStyle w:val="afa"/>
                        <w:numPr>
                          <w:ilvl w:val="0"/>
                          <w:numId w:val="39"/>
                        </w:numPr>
                        <w:snapToGrid w:val="0"/>
                        <w:spacing w:before="0" w:line="240" w:lineRule="auto"/>
                        <w:ind w:firstLineChars="0"/>
                        <w:rPr>
                          <w:szCs w:val="20"/>
                          <w:lang w:val="en-US"/>
                        </w:rPr>
                      </w:pPr>
                      <w:r w:rsidRPr="00D04129">
                        <w:rPr>
                          <w:bCs/>
                          <w:szCs w:val="20"/>
                          <w:lang w:val="en-US"/>
                        </w:rPr>
                        <w:t xml:space="preserve">Baseline assumption: </w:t>
                      </w:r>
                      <w:r w:rsidRPr="00D04129">
                        <w:rPr>
                          <w:szCs w:val="20"/>
                          <w:lang w:val="en-US"/>
                        </w:rPr>
                        <w:t>The linkage between NTN Gateway and non-NTN gNB is up to implementation and without 3GPP standardized solution</w:t>
                      </w:r>
                    </w:p>
                    <w:p w:rsidR="005707E1" w:rsidRPr="00D04129" w:rsidRDefault="005707E1" w:rsidP="00D04129">
                      <w:pPr>
                        <w:pStyle w:val="afa"/>
                        <w:numPr>
                          <w:ilvl w:val="0"/>
                          <w:numId w:val="40"/>
                        </w:numPr>
                        <w:snapToGrid w:val="0"/>
                        <w:spacing w:before="0" w:line="240" w:lineRule="auto"/>
                        <w:ind w:firstLineChars="0"/>
                        <w:rPr>
                          <w:szCs w:val="20"/>
                          <w:lang w:val="en-US"/>
                        </w:rPr>
                      </w:pPr>
                      <w:r w:rsidRPr="00D04129">
                        <w:rPr>
                          <w:bCs/>
                          <w:szCs w:val="20"/>
                          <w:lang w:val="en-US"/>
                        </w:rPr>
                        <w:t xml:space="preserve">Pending on further check on the test feasibility of Rx requirements on gNB side of service link </w:t>
                      </w:r>
                      <w:r w:rsidRPr="00D04129">
                        <w:rPr>
                          <w:szCs w:val="20"/>
                          <w:lang w:val="en-US"/>
                        </w:rPr>
                        <w:t>(refer to the figure in the next slide)</w:t>
                      </w:r>
                    </w:p>
                    <w:p w:rsidR="005707E1" w:rsidRPr="00D04129" w:rsidRDefault="005707E1" w:rsidP="00D04129">
                      <w:pPr>
                        <w:pStyle w:val="afa"/>
                        <w:numPr>
                          <w:ilvl w:val="0"/>
                          <w:numId w:val="39"/>
                        </w:numPr>
                        <w:snapToGrid w:val="0"/>
                        <w:spacing w:before="0" w:line="240" w:lineRule="auto"/>
                        <w:ind w:firstLineChars="0"/>
                        <w:rPr>
                          <w:bCs/>
                          <w:szCs w:val="20"/>
                          <w:lang w:val="en-US"/>
                        </w:rPr>
                      </w:pPr>
                      <w:r w:rsidRPr="00D04129">
                        <w:rPr>
                          <w:bCs/>
                          <w:szCs w:val="20"/>
                          <w:lang w:val="en-US"/>
                        </w:rPr>
                        <w:t>RAN4 to decide if there are any testing concerns for Satellite + feeder link + NTN-Gateway + gNB as a single entity, and why.</w:t>
                      </w:r>
                    </w:p>
                    <w:p w:rsidR="005707E1" w:rsidRPr="00D04129" w:rsidRDefault="005707E1" w:rsidP="00D04129">
                      <w:pPr>
                        <w:pStyle w:val="afa"/>
                        <w:numPr>
                          <w:ilvl w:val="0"/>
                          <w:numId w:val="39"/>
                        </w:numPr>
                        <w:snapToGrid w:val="0"/>
                        <w:spacing w:before="0" w:line="240" w:lineRule="auto"/>
                        <w:ind w:firstLineChars="0"/>
                        <w:rPr>
                          <w:bCs/>
                          <w:szCs w:val="20"/>
                          <w:lang w:val="en-US"/>
                        </w:rPr>
                      </w:pPr>
                      <w:r w:rsidRPr="00D04129">
                        <w:rPr>
                          <w:bCs/>
                          <w:szCs w:val="20"/>
                          <w:lang w:val="en-US"/>
                        </w:rPr>
                        <w:t>RAN4 shall take into account the inputs from companies to decide if the typical satellite implementation considers wired or non-wired connection with the GW.</w:t>
                      </w:r>
                    </w:p>
                    <w:p w:rsidR="005707E1" w:rsidRPr="00D04129" w:rsidRDefault="005707E1" w:rsidP="00D04129">
                      <w:pPr>
                        <w:pStyle w:val="afa"/>
                        <w:numPr>
                          <w:ilvl w:val="0"/>
                          <w:numId w:val="39"/>
                        </w:numPr>
                        <w:snapToGrid w:val="0"/>
                        <w:spacing w:before="0" w:line="240" w:lineRule="auto"/>
                        <w:ind w:firstLineChars="0"/>
                        <w:rPr>
                          <w:bCs/>
                          <w:szCs w:val="20"/>
                          <w:lang w:val="en-US"/>
                        </w:rPr>
                      </w:pPr>
                      <w:r w:rsidRPr="00D04129">
                        <w:rPr>
                          <w:bCs/>
                          <w:szCs w:val="20"/>
                          <w:lang w:val="en-US"/>
                        </w:rPr>
                        <w:t>RAN4 shall consider the architecture defined by RAN3 as baseline and shall allow further potential modifications if required pending further check on test feasibility.</w:t>
                      </w:r>
                    </w:p>
                    <w:p w:rsidR="005707E1" w:rsidRPr="00D04129" w:rsidRDefault="005707E1" w:rsidP="00D04129">
                      <w:pPr>
                        <w:pStyle w:val="afa"/>
                        <w:numPr>
                          <w:ilvl w:val="0"/>
                          <w:numId w:val="39"/>
                        </w:numPr>
                        <w:snapToGrid w:val="0"/>
                        <w:spacing w:before="0" w:line="240" w:lineRule="auto"/>
                        <w:ind w:firstLineChars="0"/>
                        <w:rPr>
                          <w:bCs/>
                          <w:szCs w:val="20"/>
                          <w:lang w:val="en-US"/>
                        </w:rPr>
                      </w:pPr>
                      <w:r w:rsidRPr="00D04129">
                        <w:rPr>
                          <w:bCs/>
                          <w:szCs w:val="20"/>
                          <w:lang w:val="en-US"/>
                        </w:rPr>
                        <w:t>RAN4 shall consider the architecture defined by RAN3 as baseline for test setup pending on further check on test feasibility.</w:t>
                      </w:r>
                    </w:p>
                  </w:txbxContent>
                </v:textbox>
                <w10:anchorlock/>
              </v:shape>
            </w:pict>
          </mc:Fallback>
        </mc:AlternateContent>
      </w:r>
    </w:p>
    <w:p w:rsidR="00F166D9" w:rsidRPr="007B631E" w:rsidRDefault="00F74241" w:rsidP="00F74241">
      <w:pPr>
        <w:rPr>
          <w:sz w:val="20"/>
        </w:rPr>
      </w:pPr>
      <w:r w:rsidRPr="00F74241">
        <w:rPr>
          <w:rFonts w:hint="eastAsia"/>
          <w:lang w:val="en-US"/>
        </w:rPr>
        <w:t xml:space="preserve">This paper will </w:t>
      </w:r>
      <w:r w:rsidR="001B473C">
        <w:rPr>
          <w:rFonts w:hint="eastAsia"/>
          <w:lang w:val="en-US"/>
        </w:rPr>
        <w:t>present our understanding</w:t>
      </w:r>
      <w:r w:rsidRPr="00F74241">
        <w:rPr>
          <w:rFonts w:hint="eastAsia"/>
          <w:lang w:val="en-US"/>
        </w:rPr>
        <w:t xml:space="preserve"> on </w:t>
      </w:r>
      <w:r w:rsidR="001B473C">
        <w:rPr>
          <w:rFonts w:hint="eastAsia"/>
          <w:lang w:val="en-US"/>
        </w:rPr>
        <w:t>these open issues</w:t>
      </w:r>
      <w:r w:rsidRPr="00F74241">
        <w:rPr>
          <w:rFonts w:hint="eastAsia"/>
          <w:lang w:val="en-US"/>
        </w:rPr>
        <w:t>.</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D04129" w:rsidRDefault="005707E1" w:rsidP="00FE7434">
      <w:pPr>
        <w:spacing w:before="0" w:after="120"/>
        <w:jc w:val="left"/>
      </w:pPr>
      <w:r>
        <w:t>T</w:t>
      </w:r>
      <w:r>
        <w:rPr>
          <w:rFonts w:hint="eastAsia"/>
        </w:rPr>
        <w:t>he following architecture has been approved as baseline assumption for NTN.</w:t>
      </w:r>
    </w:p>
    <w:p w:rsidR="00D04129" w:rsidRDefault="005707E1" w:rsidP="005707E1">
      <w:pPr>
        <w:spacing w:before="0" w:after="120"/>
        <w:jc w:val="center"/>
      </w:pPr>
      <w:r>
        <w:object w:dxaOrig="15036" w:dyaOrig="5676">
          <v:shape id="_x0000_i1025" type="#_x0000_t75" style="width:378.15pt;height:142.45pt" o:ole="">
            <v:imagedata r:id="rId9" o:title=""/>
          </v:shape>
          <o:OLEObject Type="Embed" ProgID="Visio.Drawing.11" ShapeID="_x0000_i1025" DrawAspect="Content" ObjectID="_1682269963" r:id="rId10"/>
        </w:object>
      </w:r>
    </w:p>
    <w:p w:rsidR="00884DC9" w:rsidRDefault="00884DC9" w:rsidP="00884DC9">
      <w:pPr>
        <w:spacing w:before="0" w:after="240"/>
        <w:jc w:val="center"/>
      </w:pPr>
      <w:r>
        <w:rPr>
          <w:rFonts w:hint="eastAsia"/>
        </w:rPr>
        <w:t>Figure 2-1 NTN architecture</w:t>
      </w:r>
    </w:p>
    <w:p w:rsidR="005707E1" w:rsidRPr="005707E1" w:rsidRDefault="005707E1" w:rsidP="00FE7434">
      <w:pPr>
        <w:spacing w:before="0" w:after="120"/>
        <w:jc w:val="left"/>
        <w:rPr>
          <w:b/>
          <w:u w:val="single"/>
        </w:rPr>
      </w:pPr>
      <w:r>
        <w:rPr>
          <w:b/>
          <w:u w:val="single"/>
        </w:rPr>
        <w:t>C</w:t>
      </w:r>
      <w:r>
        <w:rPr>
          <w:rFonts w:hint="eastAsia"/>
          <w:b/>
          <w:u w:val="single"/>
        </w:rPr>
        <w:t>onnection</w:t>
      </w:r>
      <w:r w:rsidRPr="005707E1">
        <w:rPr>
          <w:rFonts w:hint="eastAsia"/>
          <w:b/>
          <w:u w:val="single"/>
        </w:rPr>
        <w:t xml:space="preserve"> between NTN-Gateway and non-NTN infrastructure gNB functions</w:t>
      </w:r>
    </w:p>
    <w:p w:rsidR="005707E1" w:rsidRDefault="005707E1" w:rsidP="00FE7434">
      <w:pPr>
        <w:spacing w:before="0" w:after="120"/>
        <w:jc w:val="left"/>
        <w:rPr>
          <w:szCs w:val="20"/>
          <w:lang w:val="en-US"/>
        </w:rPr>
      </w:pPr>
      <w:r>
        <w:t>I</w:t>
      </w:r>
      <w:r>
        <w:rPr>
          <w:rFonts w:hint="eastAsia"/>
        </w:rPr>
        <w:t xml:space="preserve">n RAN4#98bis-e meeting, it has been agreed that </w:t>
      </w:r>
      <w:r>
        <w:rPr>
          <w:rFonts w:hint="eastAsia"/>
          <w:szCs w:val="20"/>
          <w:lang w:val="en-US"/>
        </w:rPr>
        <w:t>t</w:t>
      </w:r>
      <w:r w:rsidRPr="00D04129">
        <w:rPr>
          <w:szCs w:val="20"/>
          <w:lang w:val="en-US"/>
        </w:rPr>
        <w:t>he linkage between NTN Gateway and non-NTN gNB is up to implementation and without 3GPP standardized solution</w:t>
      </w:r>
      <w:r>
        <w:rPr>
          <w:rFonts w:hint="eastAsia"/>
          <w:szCs w:val="20"/>
          <w:lang w:val="en-US"/>
        </w:rPr>
        <w:t xml:space="preserve">. </w:t>
      </w:r>
      <w:r>
        <w:rPr>
          <w:szCs w:val="20"/>
          <w:lang w:val="en-US"/>
        </w:rPr>
        <w:t>C</w:t>
      </w:r>
      <w:r>
        <w:rPr>
          <w:rFonts w:hint="eastAsia"/>
          <w:szCs w:val="20"/>
          <w:lang w:val="en-US"/>
        </w:rPr>
        <w:t xml:space="preserve">ompanies are encouraged to share views on the typical implementations for this connection. Usually the NTN-Gateway and non-NTN infrastructure will be co-located geographically. </w:t>
      </w:r>
      <w:r>
        <w:rPr>
          <w:szCs w:val="20"/>
          <w:lang w:val="en-US"/>
        </w:rPr>
        <w:t>O</w:t>
      </w:r>
      <w:r>
        <w:rPr>
          <w:rFonts w:hint="eastAsia"/>
          <w:szCs w:val="20"/>
          <w:lang w:val="en-US"/>
        </w:rPr>
        <w:t>ur understanding is that the typical connection will be wired connection and is proposed to consider wired connection mainly for Rel-17 work.</w:t>
      </w:r>
    </w:p>
    <w:p w:rsidR="005707E1" w:rsidRPr="005707E1" w:rsidRDefault="00086B49" w:rsidP="00FE7434">
      <w:pPr>
        <w:spacing w:before="0" w:after="120"/>
        <w:jc w:val="left"/>
        <w:rPr>
          <w:b/>
          <w:szCs w:val="20"/>
          <w:lang w:val="en-US"/>
        </w:rPr>
      </w:pPr>
      <w:r>
        <w:rPr>
          <w:rFonts w:hint="eastAsia"/>
          <w:b/>
          <w:szCs w:val="20"/>
          <w:lang w:val="en-US"/>
        </w:rPr>
        <w:lastRenderedPageBreak/>
        <w:t>Proposal 1: It i</w:t>
      </w:r>
      <w:r w:rsidR="005707E1" w:rsidRPr="005707E1">
        <w:rPr>
          <w:rFonts w:hint="eastAsia"/>
          <w:b/>
          <w:szCs w:val="20"/>
          <w:lang w:val="en-US"/>
        </w:rPr>
        <w:t>s proposed to consider wired connection between NTN Gate-way and non-NTN infrastructure gNB function as the typical case.</w:t>
      </w:r>
    </w:p>
    <w:p w:rsidR="00086B49" w:rsidRDefault="00086B49" w:rsidP="00FE7434">
      <w:pPr>
        <w:spacing w:before="0" w:after="120"/>
        <w:jc w:val="left"/>
        <w:rPr>
          <w:b/>
          <w:u w:val="single"/>
        </w:rPr>
      </w:pPr>
    </w:p>
    <w:p w:rsidR="005707E1" w:rsidRPr="005707E1" w:rsidRDefault="005707E1" w:rsidP="00FE7434">
      <w:pPr>
        <w:spacing w:before="0" w:after="120"/>
        <w:jc w:val="left"/>
        <w:rPr>
          <w:b/>
          <w:u w:val="single"/>
        </w:rPr>
      </w:pPr>
      <w:r w:rsidRPr="005707E1">
        <w:rPr>
          <w:rFonts w:hint="eastAsia"/>
          <w:b/>
          <w:u w:val="single"/>
        </w:rPr>
        <w:t>Test feasibility</w:t>
      </w:r>
    </w:p>
    <w:p w:rsidR="005707E1" w:rsidRDefault="005707E1" w:rsidP="00FE7434">
      <w:pPr>
        <w:spacing w:before="0" w:after="120"/>
        <w:jc w:val="left"/>
        <w:rPr>
          <w:szCs w:val="20"/>
          <w:lang w:val="en-US"/>
        </w:rPr>
      </w:pPr>
      <w:r>
        <w:rPr>
          <w:szCs w:val="20"/>
          <w:lang w:val="en-US"/>
        </w:rPr>
        <w:t>A</w:t>
      </w:r>
      <w:r>
        <w:rPr>
          <w:rFonts w:hint="eastAsia"/>
          <w:szCs w:val="20"/>
          <w:lang w:val="en-US"/>
        </w:rPr>
        <w:t>nother issue to be solved is the testability</w:t>
      </w:r>
      <w:r w:rsidR="00884DC9">
        <w:rPr>
          <w:rFonts w:hint="eastAsia"/>
          <w:szCs w:val="20"/>
          <w:lang w:val="en-US"/>
        </w:rPr>
        <w:t xml:space="preserve"> aspects</w:t>
      </w:r>
      <w:r>
        <w:rPr>
          <w:rFonts w:hint="eastAsia"/>
          <w:szCs w:val="20"/>
          <w:lang w:val="en-US"/>
        </w:rPr>
        <w:t xml:space="preserve"> </w:t>
      </w:r>
      <w:r>
        <w:rPr>
          <w:szCs w:val="20"/>
          <w:lang w:val="en-US"/>
        </w:rPr>
        <w:t>with</w:t>
      </w:r>
      <w:r>
        <w:rPr>
          <w:rFonts w:hint="eastAsia"/>
          <w:szCs w:val="20"/>
          <w:lang w:val="en-US"/>
        </w:rPr>
        <w:t xml:space="preserve"> this architecture. </w:t>
      </w:r>
      <w:r>
        <w:rPr>
          <w:szCs w:val="20"/>
          <w:lang w:val="en-US"/>
        </w:rPr>
        <w:t>W</w:t>
      </w:r>
      <w:r>
        <w:rPr>
          <w:rFonts w:hint="eastAsia"/>
          <w:szCs w:val="20"/>
          <w:lang w:val="en-US"/>
        </w:rPr>
        <w:t xml:space="preserve">e propose to do the RF and demodulation test </w:t>
      </w:r>
      <w:r w:rsidR="00884DC9">
        <w:rPr>
          <w:rFonts w:hint="eastAsia"/>
          <w:szCs w:val="20"/>
          <w:lang w:val="en-US"/>
        </w:rPr>
        <w:t xml:space="preserve">at the RF port of NTN payload and connect the NTN payload and NTN-Gateway by cable during the test. </w:t>
      </w:r>
      <w:r w:rsidR="00884DC9">
        <w:rPr>
          <w:szCs w:val="20"/>
          <w:lang w:val="en-US"/>
        </w:rPr>
        <w:t>A</w:t>
      </w:r>
      <w:r w:rsidR="00884DC9">
        <w:rPr>
          <w:rFonts w:hint="eastAsia"/>
          <w:szCs w:val="20"/>
          <w:lang w:val="en-US"/>
        </w:rPr>
        <w:t xml:space="preserve"> </w:t>
      </w:r>
      <w:r w:rsidR="00086B49">
        <w:rPr>
          <w:rFonts w:hint="eastAsia"/>
          <w:szCs w:val="20"/>
          <w:lang w:val="en-US"/>
        </w:rPr>
        <w:t>potential</w:t>
      </w:r>
      <w:r w:rsidR="00884DC9">
        <w:rPr>
          <w:rFonts w:hint="eastAsia"/>
          <w:szCs w:val="20"/>
          <w:lang w:val="en-US"/>
        </w:rPr>
        <w:t xml:space="preserve"> test set-up</w:t>
      </w:r>
      <w:r w:rsidR="00086B49">
        <w:rPr>
          <w:rFonts w:hint="eastAsia"/>
          <w:szCs w:val="20"/>
          <w:lang w:val="en-US"/>
        </w:rPr>
        <w:t xml:space="preserve"> and reference point for FR1</w:t>
      </w:r>
      <w:r w:rsidR="00884DC9">
        <w:rPr>
          <w:rFonts w:hint="eastAsia"/>
          <w:szCs w:val="20"/>
          <w:lang w:val="en-US"/>
        </w:rPr>
        <w:t xml:space="preserve"> is illustrated in figure 2-2.</w:t>
      </w:r>
    </w:p>
    <w:p w:rsidR="009631F7" w:rsidRDefault="000F29F9" w:rsidP="00FE7434">
      <w:pPr>
        <w:spacing w:before="0" w:after="120"/>
        <w:jc w:val="left"/>
        <w:rPr>
          <w:szCs w:val="20"/>
          <w:lang w:val="en-US"/>
        </w:rPr>
      </w:pPr>
      <w:r>
        <w:object w:dxaOrig="9490" w:dyaOrig="2596">
          <v:shape id="_x0000_i1026" type="#_x0000_t75" style="width:474.5pt;height:130.05pt" o:ole="">
            <v:imagedata r:id="rId11" o:title=""/>
          </v:shape>
          <o:OLEObject Type="Embed" ProgID="Visio.Drawing.11" ShapeID="_x0000_i1026" DrawAspect="Content" ObjectID="_1682269964" r:id="rId12"/>
        </w:object>
      </w:r>
    </w:p>
    <w:p w:rsidR="005707E1" w:rsidRDefault="00086B49" w:rsidP="00255641">
      <w:pPr>
        <w:spacing w:before="0" w:after="120"/>
        <w:jc w:val="center"/>
      </w:pPr>
      <w:r>
        <w:rPr>
          <w:rFonts w:hint="eastAsia"/>
        </w:rPr>
        <w:t>Figure 2-2 Interface and reference point for FR1</w:t>
      </w:r>
    </w:p>
    <w:p w:rsidR="00884DC9" w:rsidRPr="00086B49" w:rsidRDefault="00086B49" w:rsidP="00FE7434">
      <w:pPr>
        <w:spacing w:before="0" w:after="120"/>
        <w:jc w:val="left"/>
        <w:rPr>
          <w:b/>
        </w:rPr>
      </w:pPr>
      <w:r w:rsidRPr="00086B49">
        <w:rPr>
          <w:rFonts w:hint="eastAsia"/>
          <w:b/>
        </w:rPr>
        <w:t xml:space="preserve">Observation: It seems </w:t>
      </w:r>
      <w:r>
        <w:rPr>
          <w:rFonts w:hint="eastAsia"/>
          <w:b/>
        </w:rPr>
        <w:t xml:space="preserve">no problem to </w:t>
      </w:r>
      <w:r w:rsidRPr="00086B49">
        <w:rPr>
          <w:rFonts w:hint="eastAsia"/>
          <w:b/>
        </w:rPr>
        <w:t>develop RF requirement</w:t>
      </w:r>
      <w:r>
        <w:rPr>
          <w:rFonts w:hint="eastAsia"/>
          <w:b/>
        </w:rPr>
        <w:t>s</w:t>
      </w:r>
      <w:r w:rsidRPr="00086B49">
        <w:rPr>
          <w:rFonts w:hint="eastAsia"/>
          <w:b/>
        </w:rPr>
        <w:t xml:space="preserve"> and conduct test based on Port A in Figure 2-2</w:t>
      </w:r>
      <w:r>
        <w:rPr>
          <w:rFonts w:hint="eastAsia"/>
          <w:b/>
        </w:rPr>
        <w:t xml:space="preserve"> for FR1</w:t>
      </w:r>
      <w:r w:rsidRPr="00086B49">
        <w:rPr>
          <w:rFonts w:hint="eastAsia"/>
          <w:b/>
        </w:rPr>
        <w:t>.</w:t>
      </w:r>
      <w:bookmarkStart w:id="1" w:name="_GoBack"/>
      <w:bookmarkEnd w:id="1"/>
    </w:p>
    <w:p w:rsidR="00D0649A" w:rsidRDefault="00086B49" w:rsidP="00090988">
      <w:pPr>
        <w:spacing w:before="0" w:after="120"/>
        <w:jc w:val="left"/>
        <w:rPr>
          <w:b/>
        </w:rPr>
      </w:pPr>
      <w:r w:rsidRPr="00086B49">
        <w:rPr>
          <w:rFonts w:hint="eastAsia"/>
          <w:b/>
        </w:rPr>
        <w:t xml:space="preserve">Proposal 2: </w:t>
      </w:r>
      <w:r>
        <w:rPr>
          <w:rFonts w:hint="eastAsia"/>
          <w:b/>
        </w:rPr>
        <w:t xml:space="preserve">It is proposed to </w:t>
      </w:r>
      <w:r w:rsidR="00090988" w:rsidRPr="00086B49">
        <w:rPr>
          <w:rFonts w:hint="eastAsia"/>
          <w:b/>
        </w:rPr>
        <w:t>develop RF requirement</w:t>
      </w:r>
      <w:r w:rsidR="00090988">
        <w:rPr>
          <w:rFonts w:hint="eastAsia"/>
          <w:b/>
        </w:rPr>
        <w:t>s</w:t>
      </w:r>
      <w:r w:rsidR="00090988" w:rsidRPr="00086B49">
        <w:rPr>
          <w:rFonts w:hint="eastAsia"/>
          <w:b/>
        </w:rPr>
        <w:t xml:space="preserve"> and conduct test based on Port A in Figure 2-2</w:t>
      </w:r>
      <w:r w:rsidR="00090988">
        <w:rPr>
          <w:rFonts w:hint="eastAsia"/>
          <w:b/>
        </w:rPr>
        <w:t xml:space="preserve"> for FR1</w:t>
      </w:r>
      <w:r w:rsidR="00090988" w:rsidRPr="00086B49">
        <w:rPr>
          <w:rFonts w:hint="eastAsia"/>
          <w:b/>
        </w:rPr>
        <w:t>.</w:t>
      </w:r>
      <w:r w:rsidR="00090988">
        <w:rPr>
          <w:rFonts w:hint="eastAsia"/>
          <w:b/>
        </w:rPr>
        <w:t xml:space="preserve"> </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6014F" w:rsidRPr="00E6014F" w:rsidRDefault="00090988" w:rsidP="00090988">
      <w:pPr>
        <w:spacing w:before="0" w:after="120"/>
        <w:jc w:val="left"/>
        <w:rPr>
          <w:b/>
          <w:u w:val="single"/>
        </w:rPr>
      </w:pPr>
      <w:r>
        <w:rPr>
          <w:sz w:val="20"/>
        </w:rPr>
        <w:t>T</w:t>
      </w:r>
      <w:r>
        <w:rPr>
          <w:rFonts w:hint="eastAsia"/>
          <w:sz w:val="20"/>
        </w:rPr>
        <w:t>his paper discussed the open issues for NTN architecture and concluded the following observation and proposals.</w:t>
      </w:r>
    </w:p>
    <w:p w:rsidR="00090988" w:rsidRPr="005707E1" w:rsidRDefault="00090988" w:rsidP="00090988">
      <w:pPr>
        <w:spacing w:before="0" w:after="120"/>
        <w:jc w:val="left"/>
        <w:rPr>
          <w:b/>
          <w:szCs w:val="20"/>
          <w:lang w:val="en-US"/>
        </w:rPr>
      </w:pPr>
      <w:r>
        <w:rPr>
          <w:rFonts w:hint="eastAsia"/>
          <w:b/>
          <w:szCs w:val="20"/>
          <w:lang w:val="en-US"/>
        </w:rPr>
        <w:t>Proposal 1: It i</w:t>
      </w:r>
      <w:r w:rsidRPr="005707E1">
        <w:rPr>
          <w:rFonts w:hint="eastAsia"/>
          <w:b/>
          <w:szCs w:val="20"/>
          <w:lang w:val="en-US"/>
        </w:rPr>
        <w:t>s proposed to consider wired connection between NTN Gate-way and non-NTN infrastructure gNB function as the typical case.</w:t>
      </w:r>
    </w:p>
    <w:p w:rsidR="00090988" w:rsidRPr="00086B49" w:rsidRDefault="00090988" w:rsidP="00090988">
      <w:pPr>
        <w:spacing w:before="0" w:after="120"/>
        <w:jc w:val="left"/>
        <w:rPr>
          <w:b/>
        </w:rPr>
      </w:pPr>
      <w:r w:rsidRPr="00086B49">
        <w:rPr>
          <w:rFonts w:hint="eastAsia"/>
          <w:b/>
        </w:rPr>
        <w:t xml:space="preserve">Observation: It seems </w:t>
      </w:r>
      <w:r>
        <w:rPr>
          <w:rFonts w:hint="eastAsia"/>
          <w:b/>
        </w:rPr>
        <w:t xml:space="preserve">no problem to </w:t>
      </w:r>
      <w:r w:rsidRPr="00086B49">
        <w:rPr>
          <w:rFonts w:hint="eastAsia"/>
          <w:b/>
        </w:rPr>
        <w:t>develop RF requirement</w:t>
      </w:r>
      <w:r>
        <w:rPr>
          <w:rFonts w:hint="eastAsia"/>
          <w:b/>
        </w:rPr>
        <w:t>s</w:t>
      </w:r>
      <w:r w:rsidRPr="00086B49">
        <w:rPr>
          <w:rFonts w:hint="eastAsia"/>
          <w:b/>
        </w:rPr>
        <w:t xml:space="preserve"> and conduct test based on Port A in Figure 2-2</w:t>
      </w:r>
      <w:r>
        <w:rPr>
          <w:rFonts w:hint="eastAsia"/>
          <w:b/>
        </w:rPr>
        <w:t xml:space="preserve"> for FR1</w:t>
      </w:r>
      <w:r w:rsidRPr="00086B49">
        <w:rPr>
          <w:rFonts w:hint="eastAsia"/>
          <w:b/>
        </w:rPr>
        <w:t>.</w:t>
      </w:r>
    </w:p>
    <w:p w:rsidR="00090988" w:rsidRDefault="00090988" w:rsidP="00090988">
      <w:pPr>
        <w:spacing w:before="0" w:after="120"/>
        <w:jc w:val="left"/>
        <w:rPr>
          <w:b/>
        </w:rPr>
      </w:pPr>
      <w:r w:rsidRPr="00086B49">
        <w:rPr>
          <w:rFonts w:hint="eastAsia"/>
          <w:b/>
        </w:rPr>
        <w:t xml:space="preserve">Proposal 2: </w:t>
      </w:r>
      <w:r>
        <w:rPr>
          <w:rFonts w:hint="eastAsia"/>
          <w:b/>
        </w:rPr>
        <w:t xml:space="preserve">It is proposed to </w:t>
      </w:r>
      <w:r w:rsidRPr="00086B49">
        <w:rPr>
          <w:rFonts w:hint="eastAsia"/>
          <w:b/>
        </w:rPr>
        <w:t>develop RF requirement</w:t>
      </w:r>
      <w:r>
        <w:rPr>
          <w:rFonts w:hint="eastAsia"/>
          <w:b/>
        </w:rPr>
        <w:t>s</w:t>
      </w:r>
      <w:r w:rsidRPr="00086B49">
        <w:rPr>
          <w:rFonts w:hint="eastAsia"/>
          <w:b/>
        </w:rPr>
        <w:t xml:space="preserve"> and conduct test based on Port A in Figure 2-2</w:t>
      </w:r>
      <w:r>
        <w:rPr>
          <w:rFonts w:hint="eastAsia"/>
          <w:b/>
        </w:rPr>
        <w:t xml:space="preserve"> for FR1</w:t>
      </w:r>
      <w:r w:rsidRPr="00086B49">
        <w:rPr>
          <w:rFonts w:hint="eastAsia"/>
          <w:b/>
        </w:rPr>
        <w:t>.</w:t>
      </w:r>
      <w:r>
        <w:rPr>
          <w:rFonts w:hint="eastAsia"/>
          <w:b/>
        </w:rPr>
        <w:t xml:space="preserve"> </w:t>
      </w:r>
    </w:p>
    <w:p w:rsidR="009A65AB" w:rsidRPr="00090988" w:rsidRDefault="009A65AB"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7B631E" w:rsidRPr="007B631E" w:rsidRDefault="009973FC" w:rsidP="007B631E">
      <w:pPr>
        <w:pStyle w:val="ab"/>
        <w:ind w:left="540" w:hangingChars="270" w:hanging="540"/>
        <w:rPr>
          <w:sz w:val="20"/>
        </w:rPr>
      </w:pPr>
      <w:r>
        <w:rPr>
          <w:rFonts w:hint="eastAsia"/>
          <w:sz w:val="20"/>
        </w:rPr>
        <w:t>[1]</w:t>
      </w:r>
      <w:r w:rsidR="00C02493">
        <w:rPr>
          <w:rFonts w:hint="eastAsia"/>
          <w:sz w:val="20"/>
        </w:rPr>
        <w:tab/>
      </w:r>
      <w:r w:rsidR="007B631E" w:rsidRPr="007B631E">
        <w:rPr>
          <w:sz w:val="20"/>
        </w:rPr>
        <w:t>R4-210</w:t>
      </w:r>
      <w:r w:rsidR="00090988">
        <w:rPr>
          <w:rFonts w:hint="eastAsia"/>
          <w:sz w:val="20"/>
        </w:rPr>
        <w:t>6103</w:t>
      </w:r>
      <w:r w:rsidR="007B631E">
        <w:rPr>
          <w:rFonts w:hint="eastAsia"/>
          <w:sz w:val="20"/>
        </w:rPr>
        <w:t xml:space="preserve">, </w:t>
      </w:r>
      <w:r w:rsidR="00090988" w:rsidRPr="00090988">
        <w:rPr>
          <w:sz w:val="20"/>
        </w:rPr>
        <w:t>WF on [307] NTN_Solutions_Part1</w:t>
      </w:r>
      <w:r w:rsidR="007B631E">
        <w:rPr>
          <w:rFonts w:hint="eastAsia"/>
          <w:sz w:val="20"/>
        </w:rPr>
        <w:t xml:space="preserve">, </w:t>
      </w:r>
      <w:r w:rsidR="007B631E" w:rsidRPr="007B631E">
        <w:rPr>
          <w:sz w:val="20"/>
        </w:rPr>
        <w:t>Thales</w:t>
      </w:r>
    </w:p>
    <w:p w:rsidR="00442503" w:rsidRPr="00090988" w:rsidRDefault="00442503" w:rsidP="00090988">
      <w:pPr>
        <w:pStyle w:val="ab"/>
        <w:ind w:left="540" w:hangingChars="270" w:hanging="540"/>
        <w:rPr>
          <w:sz w:val="20"/>
        </w:rPr>
      </w:pPr>
    </w:p>
    <w:sectPr w:rsidR="00442503" w:rsidRPr="00090988" w:rsidSect="00EC439E">
      <w:headerReference w:type="even" r:id="rId13"/>
      <w:footerReference w:type="default" r:id="rId14"/>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1C1" w:rsidRDefault="000231C1" w:rsidP="0095591C">
      <w:pPr>
        <w:spacing w:after="60"/>
        <w:ind w:left="210"/>
      </w:pPr>
      <w:r>
        <w:separator/>
      </w:r>
    </w:p>
    <w:p w:rsidR="000231C1" w:rsidRDefault="000231C1"/>
  </w:endnote>
  <w:endnote w:type="continuationSeparator" w:id="0">
    <w:p w:rsidR="000231C1" w:rsidRDefault="000231C1" w:rsidP="0095591C">
      <w:pPr>
        <w:spacing w:after="60"/>
        <w:ind w:left="210"/>
      </w:pPr>
      <w:r>
        <w:continuationSeparator/>
      </w:r>
    </w:p>
    <w:p w:rsidR="000231C1" w:rsidRDefault="00023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7E1" w:rsidRDefault="005707E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F29F9">
      <w:t>2</w:t>
    </w:r>
    <w:r>
      <w:fldChar w:fldCharType="end"/>
    </w:r>
  </w:p>
  <w:p w:rsidR="005707E1" w:rsidRDefault="005707E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1C1" w:rsidRDefault="000231C1" w:rsidP="0095591C">
      <w:pPr>
        <w:spacing w:after="60"/>
        <w:ind w:left="210"/>
      </w:pPr>
      <w:r>
        <w:separator/>
      </w:r>
    </w:p>
    <w:p w:rsidR="000231C1" w:rsidRDefault="000231C1"/>
  </w:footnote>
  <w:footnote w:type="continuationSeparator" w:id="0">
    <w:p w:rsidR="000231C1" w:rsidRDefault="000231C1" w:rsidP="0095591C">
      <w:pPr>
        <w:spacing w:after="60"/>
        <w:ind w:left="210"/>
      </w:pPr>
      <w:r>
        <w:continuationSeparator/>
      </w:r>
    </w:p>
    <w:p w:rsidR="000231C1" w:rsidRDefault="000231C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7E1" w:rsidRDefault="005707E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707E1" w:rsidRDefault="005707E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3pt;height:7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75049796"/>
    <w:lvl w:ilvl="0" w:tplc="6A662746">
      <w:start w:val="1"/>
      <w:numFmt w:val="bullet"/>
      <w:lvlText w:val=""/>
      <w:lvlPicBulletId w:val="0"/>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1">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26">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27">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8">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29">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0">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34">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35">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num w:numId="1">
    <w:abstractNumId w:val="24"/>
  </w:num>
  <w:num w:numId="2">
    <w:abstractNumId w:val="4"/>
  </w:num>
  <w:num w:numId="3">
    <w:abstractNumId w:val="2"/>
  </w:num>
  <w:num w:numId="4">
    <w:abstractNumId w:val="20"/>
  </w:num>
  <w:num w:numId="5">
    <w:abstractNumId w:val="9"/>
  </w:num>
  <w:num w:numId="6">
    <w:abstractNumId w:val="36"/>
  </w:num>
  <w:num w:numId="7">
    <w:abstractNumId w:val="3"/>
  </w:num>
  <w:num w:numId="8">
    <w:abstractNumId w:val="22"/>
  </w:num>
  <w:num w:numId="9">
    <w:abstractNumId w:val="15"/>
  </w:num>
  <w:num w:numId="10">
    <w:abstractNumId w:val="32"/>
  </w:num>
  <w:num w:numId="11">
    <w:abstractNumId w:val="37"/>
  </w:num>
  <w:num w:numId="12">
    <w:abstractNumId w:val="38"/>
  </w:num>
  <w:num w:numId="13">
    <w:abstractNumId w:val="16"/>
  </w:num>
  <w:num w:numId="14">
    <w:abstractNumId w:val="18"/>
  </w:num>
  <w:num w:numId="15">
    <w:abstractNumId w:val="12"/>
  </w:num>
  <w:num w:numId="16">
    <w:abstractNumId w:val="31"/>
  </w:num>
  <w:num w:numId="17">
    <w:abstractNumId w:val="0"/>
  </w:num>
  <w:num w:numId="18">
    <w:abstractNumId w:val="21"/>
  </w:num>
  <w:num w:numId="19">
    <w:abstractNumId w:val="23"/>
  </w:num>
  <w:num w:numId="20">
    <w:abstractNumId w:val="28"/>
  </w:num>
  <w:num w:numId="21">
    <w:abstractNumId w:val="35"/>
  </w:num>
  <w:num w:numId="22">
    <w:abstractNumId w:val="30"/>
  </w:num>
  <w:num w:numId="23">
    <w:abstractNumId w:val="11"/>
  </w:num>
  <w:num w:numId="24">
    <w:abstractNumId w:val="29"/>
  </w:num>
  <w:num w:numId="25">
    <w:abstractNumId w:val="26"/>
  </w:num>
  <w:num w:numId="26">
    <w:abstractNumId w:val="10"/>
  </w:num>
  <w:num w:numId="27">
    <w:abstractNumId w:val="33"/>
  </w:num>
  <w:num w:numId="28">
    <w:abstractNumId w:val="34"/>
  </w:num>
  <w:num w:numId="29">
    <w:abstractNumId w:val="27"/>
  </w:num>
  <w:num w:numId="30">
    <w:abstractNumId w:val="7"/>
  </w:num>
  <w:num w:numId="31">
    <w:abstractNumId w:val="6"/>
  </w:num>
  <w:num w:numId="32">
    <w:abstractNumId w:val="39"/>
  </w:num>
  <w:num w:numId="33">
    <w:abstractNumId w:val="17"/>
  </w:num>
  <w:num w:numId="34">
    <w:abstractNumId w:val="5"/>
  </w:num>
  <w:num w:numId="35">
    <w:abstractNumId w:val="14"/>
  </w:num>
  <w:num w:numId="36">
    <w:abstractNumId w:val="25"/>
  </w:num>
  <w:num w:numId="37">
    <w:abstractNumId w:val="8"/>
  </w:num>
  <w:num w:numId="38">
    <w:abstractNumId w:val="13"/>
  </w:num>
  <w:num w:numId="39">
    <w:abstractNumId w:val="1"/>
  </w:num>
  <w:num w:numId="40">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3B0"/>
    <w:rsid w:val="00063CB7"/>
    <w:rsid w:val="00064AD2"/>
    <w:rsid w:val="00064BBF"/>
    <w:rsid w:val="000654EF"/>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4B2"/>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7F"/>
    <w:rsid w:val="007A46A2"/>
    <w:rsid w:val="007A4802"/>
    <w:rsid w:val="007A4E2E"/>
    <w:rsid w:val="007A5010"/>
    <w:rsid w:val="007A52AB"/>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40A"/>
    <w:rsid w:val="00A63EF1"/>
    <w:rsid w:val="00A646DD"/>
    <w:rsid w:val="00A64DE3"/>
    <w:rsid w:val="00A6524E"/>
    <w:rsid w:val="00A655D7"/>
    <w:rsid w:val="00A65ED5"/>
    <w:rsid w:val="00A661FF"/>
    <w:rsid w:val="00A70074"/>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C6F"/>
    <w:rsid w:val="00B96CE5"/>
    <w:rsid w:val="00B97A22"/>
    <w:rsid w:val="00B97CDA"/>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194F"/>
    <w:rsid w:val="00C02493"/>
    <w:rsid w:val="00C03208"/>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C4F"/>
    <w:rsid w:val="00D515DB"/>
    <w:rsid w:val="00D518CB"/>
    <w:rsid w:val="00D523E1"/>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30F1"/>
    <w:rsid w:val="00ED4375"/>
    <w:rsid w:val="00ED4938"/>
    <w:rsid w:val="00ED52F9"/>
    <w:rsid w:val="00ED55D7"/>
    <w:rsid w:val="00ED5A93"/>
    <w:rsid w:val="00ED5BAA"/>
    <w:rsid w:val="00ED628A"/>
    <w:rsid w:val="00ED6DF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40F"/>
    <w:rsid w:val="00F5375E"/>
    <w:rsid w:val="00F53849"/>
    <w:rsid w:val="00F539D1"/>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7BB"/>
    <w:rsid w:val="00F917E4"/>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C1D"/>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19872-0899-4686-92A7-0679EEFDA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377</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2527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5</cp:revision>
  <cp:lastPrinted>2007-04-24T00:59:00Z</cp:lastPrinted>
  <dcterms:created xsi:type="dcterms:W3CDTF">2021-05-11T12:06:00Z</dcterms:created>
  <dcterms:modified xsi:type="dcterms:W3CDTF">2021-05-11T12:26:00Z</dcterms:modified>
</cp:coreProperties>
</file>