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AC5185" w:rsidP="00E9392F">
            <w:pPr>
              <w:spacing w:after="0"/>
              <w:rPr>
                <w:rFonts w:ascii="Arial" w:hAnsi="Arial" w:cs="Arial"/>
                <w:b/>
                <w:bCs/>
                <w:color w:val="0000FF"/>
                <w:sz w:val="16"/>
                <w:szCs w:val="16"/>
                <w:u w:val="single"/>
                <w:lang w:val="en-US"/>
              </w:rPr>
            </w:pPr>
            <w:hyperlink r:id="rId9"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AC5185" w:rsidP="00E9392F">
            <w:pPr>
              <w:spacing w:after="0"/>
              <w:rPr>
                <w:rFonts w:ascii="Arial" w:hAnsi="Arial" w:cs="Arial"/>
                <w:b/>
                <w:bCs/>
                <w:color w:val="0000FF"/>
                <w:sz w:val="16"/>
                <w:szCs w:val="16"/>
                <w:u w:val="single"/>
              </w:rPr>
            </w:pPr>
            <w:hyperlink r:id="rId10"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AC5185"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f0"/>
                <w:rFonts w:ascii="Arial" w:hAnsi="Arial" w:cs="Arial"/>
                <w:b/>
                <w:bCs/>
                <w:sz w:val="16"/>
                <w:szCs w:val="16"/>
              </w:rPr>
              <w:lastRenderedPageBreak/>
              <w:fldChar w:fldCharType="begin"/>
            </w:r>
            <w:r>
              <w:rPr>
                <w:rStyle w:val="af0"/>
                <w:rFonts w:ascii="Arial" w:eastAsia="SimSun" w:hAnsi="Arial" w:cs="Arial"/>
                <w:b/>
                <w:bCs/>
                <w:sz w:val="16"/>
                <w:szCs w:val="16"/>
              </w:rPr>
              <w:instrText xml:space="preserve"> HYPERLINK "http://ftp.3gpp.org/TSG_RAN/WG4_Radio/TSGR4_96_e/Docs/R4-2010344.zip" \t "_parent" </w:instrText>
            </w:r>
            <w:r>
              <w:rPr>
                <w:rStyle w:val="af0"/>
                <w:rFonts w:ascii="Arial" w:hAnsi="Arial" w:cs="Arial"/>
                <w:b/>
                <w:bCs/>
                <w:sz w:val="16"/>
                <w:szCs w:val="16"/>
              </w:rPr>
              <w:fldChar w:fldCharType="separate"/>
            </w:r>
            <w:r w:rsidR="00E9392F">
              <w:rPr>
                <w:rStyle w:val="af0"/>
                <w:rFonts w:ascii="Arial" w:hAnsi="Arial" w:cs="Arial"/>
                <w:b/>
                <w:bCs/>
                <w:sz w:val="16"/>
                <w:szCs w:val="16"/>
              </w:rPr>
              <w:t>R4-2010344</w:t>
            </w:r>
            <w:r>
              <w:rPr>
                <w:rStyle w:val="af0"/>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AC5185" w:rsidP="00742E27">
            <w:pPr>
              <w:spacing w:after="0"/>
            </w:pPr>
            <w:hyperlink r:id="rId12"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AC5185" w:rsidP="00742E27">
            <w:pPr>
              <w:spacing w:after="0"/>
            </w:pPr>
            <w:hyperlink r:id="rId13"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AC5185" w:rsidP="00742E27">
            <w:pPr>
              <w:spacing w:after="0"/>
            </w:pPr>
            <w:hyperlink r:id="rId14"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AC5185" w:rsidP="00A30D7B">
            <w:pPr>
              <w:spacing w:after="0"/>
            </w:pPr>
            <w:hyperlink r:id="rId15"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AC5185" w:rsidP="00A30D7B">
            <w:pPr>
              <w:spacing w:after="0"/>
              <w:rPr>
                <w:rFonts w:ascii="Arial" w:hAnsi="Arial" w:cs="Arial"/>
                <w:b/>
                <w:bCs/>
                <w:color w:val="0000FF"/>
                <w:sz w:val="16"/>
                <w:szCs w:val="16"/>
                <w:u w:val="single"/>
                <w:lang w:val="en-US"/>
              </w:rPr>
            </w:pPr>
            <w:hyperlink r:id="rId16"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AC5185"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AC5185" w:rsidP="006E78E8">
            <w:pPr>
              <w:spacing w:after="0"/>
              <w:rPr>
                <w:rFonts w:ascii="Arial" w:hAnsi="Arial" w:cs="Arial"/>
                <w:b/>
                <w:bCs/>
                <w:color w:val="0000FF"/>
                <w:sz w:val="16"/>
                <w:szCs w:val="16"/>
                <w:u w:val="single"/>
                <w:lang w:val="en-US"/>
              </w:rPr>
            </w:pPr>
            <w:hyperlink r:id="rId18"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新細明體"/>
                <w:lang w:val="en-US" w:eastAsia="zh-TW"/>
              </w:rPr>
            </w:pPr>
            <w:r w:rsidRPr="00852349">
              <w:rPr>
                <w:rFonts w:eastAsia="新細明體" w:hint="eastAsia"/>
                <w:lang w:val="en-US" w:eastAsia="zh-TW"/>
              </w:rPr>
              <w:t>CHTTL</w:t>
            </w:r>
          </w:p>
        </w:tc>
        <w:tc>
          <w:tcPr>
            <w:tcW w:w="7998" w:type="dxa"/>
          </w:tcPr>
          <w:p w14:paraId="130947E2" w14:textId="5AA3B9C3"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rFonts w:ascii="Times New Roman" w:eastAsia="新細明體"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新細明體"/>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AC5185"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AC5185"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AC5185"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aff7"/>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61E5F819" w14:textId="71136224" w:rsidR="00027DD7" w:rsidRPr="00027DD7" w:rsidRDefault="00027DD7" w:rsidP="00027DD7">
            <w:pPr>
              <w:overflowPunct/>
              <w:autoSpaceDE/>
              <w:autoSpaceDN/>
              <w:adjustRightInd/>
              <w:textAlignment w:val="auto"/>
              <w:rPr>
                <w:rFonts w:eastAsia="SimSun"/>
                <w:u w:val="single"/>
                <w:lang w:val="en-US" w:eastAsia="zh-CN"/>
              </w:rPr>
            </w:pPr>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p>
          <w:p w14:paraId="47F730AE" w14:textId="4151D777" w:rsidR="00027DD7" w:rsidRPr="00027DD7" w:rsidRDefault="000208EB" w:rsidP="000208EB">
            <w:pPr>
              <w:rPr>
                <w:strike/>
                <w:lang w:val="en-US" w:eastAsia="zh-CN"/>
              </w:rPr>
            </w:pPr>
            <w:r>
              <w:rPr>
                <w:lang w:val="en-US" w:eastAsia="zh-CN"/>
              </w:rPr>
              <w:t xml:space="preserve">There’s no need to change MOP requirement. But for performance evaluation, post PA path loss shall be assumed to </w:t>
            </w:r>
            <w:r>
              <w:rPr>
                <w:b/>
                <w:lang w:val="en-US" w:eastAsia="zh-CN"/>
              </w:rPr>
              <w:t>6dB</w:t>
            </w:r>
            <w:r>
              <w:rPr>
                <w:lang w:val="en-US" w:eastAsia="zh-CN"/>
              </w:rPr>
              <w:t xml:space="preserve"> due to higher filter insertion loss and higher PCB trace loss and matching components parasitic loss, 3dB filter IL is the assumption. </w:t>
            </w:r>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Rel-15 NR, max. aggregated BW is up to 400 MHz</w:t>
            </w:r>
            <w:r w:rsidR="000750E5">
              <w:rPr>
                <w:lang w:val="en-US" w:eastAsia="zh-CN"/>
              </w:rPr>
              <w:t>.</w:t>
            </w:r>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新細明體"/>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RDefault="00027DD7" w:rsidP="00027DD7">
            <w:pPr>
              <w:overflowPunct/>
              <w:autoSpaceDE/>
              <w:autoSpaceDN/>
              <w:adjustRightInd/>
              <w:textAlignment w:val="auto"/>
              <w:rPr>
                <w:lang w:val="en-US" w:eastAsia="zh-CN"/>
              </w:rPr>
            </w:pPr>
          </w:p>
          <w:p w14:paraId="6ED1DAA7" w14:textId="77777777" w:rsidR="00027DD7" w:rsidRDefault="00027DD7" w:rsidP="00027DD7">
            <w:pPr>
              <w:rPr>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lastRenderedPageBreak/>
              <w:t xml:space="preserve">First, for example, </w:t>
            </w:r>
            <w:r w:rsidR="00475AE5">
              <w:rPr>
                <w:lang w:val="en-US" w:eastAsia="zh-CN"/>
              </w:rPr>
              <w:t>BW class</w:t>
            </w:r>
            <w:r>
              <w:rPr>
                <w:rFonts w:ascii="新細明體" w:eastAsia="新細明體" w:hAnsi="新細明體"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新細明體"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p>
          <w:p w14:paraId="104E0B71" w14:textId="77777777"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BW class M [60MHz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77777777" w:rsidR="00027DD7" w:rsidRPr="00852349" w:rsidRDefault="00027DD7" w:rsidP="00027DD7">
            <w:pPr>
              <w:spacing w:after="120"/>
              <w:rPr>
                <w:rFonts w:eastAsiaTheme="minorEastAsia"/>
                <w:lang w:val="en-US" w:eastAsia="zh-CN"/>
              </w:rPr>
            </w:pPr>
          </w:p>
        </w:tc>
        <w:tc>
          <w:tcPr>
            <w:tcW w:w="7998" w:type="dxa"/>
          </w:tcPr>
          <w:p w14:paraId="316AB861" w14:textId="77777777" w:rsidR="00027DD7" w:rsidRDefault="00027DD7" w:rsidP="00027DD7">
            <w:pPr>
              <w:rPr>
                <w:sz w:val="22"/>
                <w:highlight w:val="yellow"/>
                <w:lang w:val="en-US" w:eastAsia="zh-CN"/>
              </w:rPr>
            </w:pPr>
          </w:p>
        </w:tc>
      </w:tr>
    </w:tbl>
    <w:p w14:paraId="44599800" w14:textId="77777777"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"http://ftp.3gpp.org/TSG_RAN/WG4_Radio/TSGR4_96_e/Docs/R4-2009966.zip" \t "_parent" </w:instrText>
            </w:r>
            <w:r>
              <w:rPr>
                <w:rStyle w:val="af0"/>
                <w:rFonts w:ascii="Arial" w:hAnsi="Arial" w:cs="Arial"/>
                <w:b/>
                <w:bCs/>
                <w:sz w:val="16"/>
                <w:szCs w:val="16"/>
              </w:rPr>
              <w:fldChar w:fldCharType="separate"/>
            </w:r>
            <w:r w:rsidR="00D65289">
              <w:rPr>
                <w:rStyle w:val="af0"/>
                <w:rFonts w:ascii="Arial" w:hAnsi="Arial" w:cs="Arial"/>
                <w:b/>
                <w:bCs/>
                <w:sz w:val="16"/>
                <w:szCs w:val="16"/>
              </w:rPr>
              <w:t>R4-2009966</w:t>
            </w:r>
            <w:r>
              <w:rPr>
                <w:rStyle w:val="af0"/>
                <w:rFonts w:ascii="Arial" w:hAnsi="Arial" w:cs="Arial"/>
                <w:b/>
                <w:bCs/>
                <w:sz w:val="16"/>
                <w:szCs w:val="16"/>
              </w:rPr>
              <w:fldChar w:fldCharType="end"/>
            </w:r>
            <w:bookmarkEnd w:id="4"/>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AC5185" w:rsidP="00D65289">
            <w:pPr>
              <w:spacing w:after="0"/>
            </w:pPr>
            <w:hyperlink r:id="rId24"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AC5185" w:rsidP="00D65289">
            <w:pPr>
              <w:spacing w:after="0"/>
              <w:rPr>
                <w:rFonts w:ascii="Arial" w:hAnsi="Arial" w:cs="Arial"/>
                <w:b/>
                <w:bCs/>
                <w:color w:val="0000FF"/>
                <w:sz w:val="16"/>
                <w:szCs w:val="16"/>
                <w:u w:val="single"/>
              </w:rPr>
            </w:pPr>
            <w:hyperlink r:id="rId25"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lastRenderedPageBreak/>
              <w:t>Charter Communications, Inc.</w:t>
            </w:r>
          </w:p>
        </w:tc>
        <w:tc>
          <w:tcPr>
            <w:tcW w:w="7998" w:type="dxa"/>
          </w:tcPr>
          <w:p w14:paraId="44D5F279" w14:textId="77777777" w:rsidR="00F709EC" w:rsidRPr="00852349" w:rsidRDefault="00DD19DE" w:rsidP="00F709EC">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af0"/>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新細明體"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lastRenderedPageBreak/>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新細明體" w:eastAsia="新細明體" w:hAnsi="新細明體"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5"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2D9C53C3"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AC5185"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AC5185" w:rsidP="00D65289">
            <w:pPr>
              <w:rPr>
                <w:rFonts w:eastAsiaTheme="minorEastAsia"/>
                <w:color w:val="0070C0"/>
                <w:lang w:val="en-US" w:eastAsia="zh-CN"/>
              </w:rPr>
            </w:pPr>
            <w:hyperlink r:id="rId28"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lastRenderedPageBreak/>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550"/>
        <w:gridCol w:w="8081"/>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aff7"/>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aff7"/>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aff7"/>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41867399" w14:textId="77777777" w:rsidR="00873776" w:rsidRPr="00873776" w:rsidRDefault="00873776" w:rsidP="00873776">
            <w:pPr>
              <w:pStyle w:val="3"/>
              <w:numPr>
                <w:ilvl w:val="0"/>
                <w:numId w:val="0"/>
              </w:numPr>
              <w:ind w:left="-13"/>
              <w:outlineLvl w:val="2"/>
              <w:rPr>
                <w:rFonts w:ascii="Times New Roman" w:eastAsia="新細明體" w:hAnsi="Times New Roman"/>
                <w:sz w:val="20"/>
                <w:szCs w:val="20"/>
                <w:lang w:val="en-US" w:eastAsia="zh-TW"/>
              </w:rPr>
            </w:pPr>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新細明體" w:hAnsi="Times New Roman"/>
                <w:sz w:val="20"/>
                <w:szCs w:val="20"/>
                <w:lang w:val="en-US" w:eastAsia="zh-TW"/>
              </w:rPr>
              <w: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t>
            </w:r>
            <w:bookmarkStart w:id="6" w:name="_GoBack"/>
            <w:bookmarkEnd w:id="6"/>
          </w:p>
          <w:p w14:paraId="5E0D9BFB" w14:textId="0AA9B70D" w:rsidR="00873776" w:rsidRPr="00645269" w:rsidRDefault="00064FAB" w:rsidP="00873776">
            <w:pPr>
              <w:rPr>
                <w:b/>
                <w:lang w:val="en-US" w:eastAsia="zh-TW"/>
              </w:rPr>
            </w:pPr>
            <w:r w:rsidRPr="00645269">
              <w:rPr>
                <w:b/>
                <w:lang w:val="en-US" w:eastAsia="zh-TW"/>
              </w:rPr>
              <w:t>Here we provide simulated filter data in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14:paraId="30EB4EA9" w14:textId="77777777" w:rsidTr="00AC5185">
              <w:trPr>
                <w:trHeight w:val="285"/>
                <w:jc w:val="center"/>
              </w:trPr>
              <w:tc>
                <w:tcPr>
                  <w:tcW w:w="1290" w:type="dxa"/>
                  <w:shd w:val="clear" w:color="auto" w:fill="auto"/>
                </w:tcPr>
                <w:p w14:paraId="4B25DF7F" w14:textId="77777777" w:rsidR="00873776" w:rsidRPr="00873776" w:rsidRDefault="00873776" w:rsidP="00873776">
                  <w:pPr>
                    <w:pStyle w:val="TAH"/>
                    <w:rPr>
                      <w:lang w:eastAsia="ja-JP"/>
                    </w:rPr>
                  </w:pPr>
                  <w:r w:rsidRPr="00873776">
                    <w:rPr>
                      <w:lang w:eastAsia="ja-JP"/>
                    </w:rPr>
                    <w:t>Parameter</w:t>
                  </w:r>
                </w:p>
              </w:tc>
              <w:tc>
                <w:tcPr>
                  <w:tcW w:w="1423" w:type="dxa"/>
                  <w:shd w:val="clear" w:color="auto" w:fill="auto"/>
                </w:tcPr>
                <w:p w14:paraId="06FBF9E2" w14:textId="77777777" w:rsidR="00873776" w:rsidRPr="00873776" w:rsidRDefault="00873776" w:rsidP="00873776">
                  <w:pPr>
                    <w:pStyle w:val="TAH"/>
                    <w:rPr>
                      <w:lang w:eastAsia="ja-JP"/>
                    </w:rPr>
                  </w:pPr>
                  <w:r w:rsidRPr="00873776">
                    <w:rPr>
                      <w:lang w:eastAsia="ja-JP"/>
                    </w:rPr>
                    <w:t>Frequency range</w:t>
                  </w:r>
                </w:p>
              </w:tc>
              <w:tc>
                <w:tcPr>
                  <w:tcW w:w="1205" w:type="dxa"/>
                </w:tcPr>
                <w:p w14:paraId="0BAE186A" w14:textId="77777777" w:rsidR="00873776" w:rsidRPr="00873776" w:rsidRDefault="00873776" w:rsidP="00873776">
                  <w:pPr>
                    <w:pStyle w:val="TAC"/>
                    <w:rPr>
                      <w:b/>
                      <w:lang w:eastAsia="ja-JP"/>
                    </w:rPr>
                  </w:pPr>
                  <w:r w:rsidRPr="00873776">
                    <w:rPr>
                      <w:b/>
                      <w:lang w:eastAsia="ja-JP"/>
                    </w:rPr>
                    <w:t xml:space="preserve">Band </w:t>
                  </w:r>
                  <w:r w:rsidRPr="00873776">
                    <w:rPr>
                      <w:rFonts w:hint="eastAsia"/>
                      <w:b/>
                      <w:lang w:eastAsia="ja-JP"/>
                    </w:rPr>
                    <w:t>n96</w:t>
                  </w:r>
                  <w:r w:rsidRPr="00873776">
                    <w:rPr>
                      <w:b/>
                      <w:lang w:eastAsia="ja-JP"/>
                    </w:rPr>
                    <w:t xml:space="preserve"> BPF</w:t>
                  </w:r>
                </w:p>
              </w:tc>
            </w:tr>
            <w:tr w:rsidR="00873776" w:rsidRPr="00FE04A0" w14:paraId="7D5B7154" w14:textId="77777777" w:rsidTr="00AC5185">
              <w:trPr>
                <w:trHeight w:val="285"/>
                <w:jc w:val="center"/>
              </w:trPr>
              <w:tc>
                <w:tcPr>
                  <w:tcW w:w="1290" w:type="dxa"/>
                  <w:shd w:val="clear" w:color="auto" w:fill="auto"/>
                  <w:hideMark/>
                </w:tcPr>
                <w:p w14:paraId="4E356D0E" w14:textId="77777777" w:rsidR="00873776" w:rsidRPr="00873776" w:rsidRDefault="00873776" w:rsidP="00873776">
                  <w:pPr>
                    <w:pStyle w:val="TAH"/>
                    <w:rPr>
                      <w:b w:val="0"/>
                      <w:lang w:eastAsia="ja-JP"/>
                    </w:rPr>
                  </w:pPr>
                  <w:r w:rsidRPr="00873776">
                    <w:rPr>
                      <w:b w:val="0"/>
                      <w:lang w:eastAsia="ja-JP"/>
                    </w:rPr>
                    <w:t>Insertion Loss</w:t>
                  </w:r>
                </w:p>
                <w:p w14:paraId="72A58CBF" w14:textId="77777777" w:rsidR="00873776" w:rsidRPr="00873776" w:rsidRDefault="00873776" w:rsidP="00873776">
                  <w:pPr>
                    <w:pStyle w:val="TAH"/>
                    <w:rPr>
                      <w:b w:val="0"/>
                      <w:lang w:eastAsia="ja-JP"/>
                    </w:rPr>
                  </w:pPr>
                  <w:r w:rsidRPr="00873776">
                    <w:rPr>
                      <w:b w:val="0"/>
                      <w:lang w:eastAsia="ja-JP"/>
                    </w:rPr>
                    <w:t>(ETC)</w:t>
                  </w:r>
                </w:p>
              </w:tc>
              <w:tc>
                <w:tcPr>
                  <w:tcW w:w="1423" w:type="dxa"/>
                  <w:shd w:val="clear" w:color="auto" w:fill="auto"/>
                  <w:hideMark/>
                </w:tcPr>
                <w:p w14:paraId="54157359" w14:textId="77777777" w:rsidR="00873776" w:rsidRPr="00873776" w:rsidRDefault="00873776" w:rsidP="00873776">
                  <w:pPr>
                    <w:pStyle w:val="TAH"/>
                    <w:rPr>
                      <w:b w:val="0"/>
                      <w:lang w:eastAsia="ja-JP"/>
                    </w:rPr>
                  </w:pPr>
                  <w:r w:rsidRPr="00873776">
                    <w:rPr>
                      <w:b w:val="0"/>
                      <w:lang w:eastAsia="ja-JP"/>
                    </w:rPr>
                    <w:t>5925-7125 MHz</w:t>
                  </w:r>
                </w:p>
              </w:tc>
              <w:tc>
                <w:tcPr>
                  <w:tcW w:w="1205" w:type="dxa"/>
                </w:tcPr>
                <w:p w14:paraId="55F6EFD4" w14:textId="77777777" w:rsidR="00873776" w:rsidRPr="00873776" w:rsidRDefault="00873776" w:rsidP="00873776">
                  <w:pPr>
                    <w:pStyle w:val="TAC"/>
                    <w:rPr>
                      <w:lang w:eastAsia="ja-JP"/>
                    </w:rPr>
                  </w:pPr>
                  <w:r w:rsidRPr="00873776">
                    <w:rPr>
                      <w:rFonts w:hint="eastAsia"/>
                      <w:lang w:eastAsia="ja-JP"/>
                    </w:rPr>
                    <w:t>2.</w:t>
                  </w:r>
                  <w:r w:rsidRPr="00873776">
                    <w:rPr>
                      <w:lang w:eastAsia="ja-JP"/>
                    </w:rPr>
                    <w:t>5 dB (simulation)</w:t>
                  </w:r>
                </w:p>
              </w:tc>
            </w:tr>
            <w:tr w:rsidR="00873776" w:rsidRPr="00FE04A0" w14:paraId="19016C5A" w14:textId="77777777" w:rsidTr="00AC5185">
              <w:trPr>
                <w:trHeight w:val="285"/>
                <w:jc w:val="center"/>
              </w:trPr>
              <w:tc>
                <w:tcPr>
                  <w:tcW w:w="1290" w:type="dxa"/>
                  <w:vMerge w:val="restart"/>
                  <w:shd w:val="clear" w:color="auto" w:fill="auto"/>
                  <w:hideMark/>
                </w:tcPr>
                <w:p w14:paraId="38179123" w14:textId="77777777" w:rsidR="00873776" w:rsidRPr="00873776" w:rsidRDefault="00873776" w:rsidP="00873776">
                  <w:pPr>
                    <w:pStyle w:val="TAC"/>
                    <w:rPr>
                      <w:lang w:eastAsia="ja-JP"/>
                    </w:rPr>
                  </w:pPr>
                  <w:r w:rsidRPr="00873776">
                    <w:rPr>
                      <w:lang w:eastAsia="ja-JP"/>
                    </w:rPr>
                    <w:t>Attenuation</w:t>
                  </w:r>
                </w:p>
                <w:p w14:paraId="7B27BBA9" w14:textId="77777777" w:rsidR="00873776" w:rsidRPr="00873776" w:rsidRDefault="00873776" w:rsidP="00873776">
                  <w:pPr>
                    <w:pStyle w:val="TAC"/>
                    <w:rPr>
                      <w:lang w:eastAsia="ja-JP"/>
                    </w:rPr>
                  </w:pPr>
                  <w:r w:rsidRPr="00873776">
                    <w:rPr>
                      <w:lang w:eastAsia="ja-JP"/>
                    </w:rPr>
                    <w:t>(Typ)</w:t>
                  </w:r>
                </w:p>
              </w:tc>
              <w:tc>
                <w:tcPr>
                  <w:tcW w:w="1423" w:type="dxa"/>
                  <w:shd w:val="clear" w:color="auto" w:fill="auto"/>
                  <w:hideMark/>
                </w:tcPr>
                <w:p w14:paraId="3E573B54" w14:textId="77777777" w:rsidR="00873776" w:rsidRPr="00873776" w:rsidRDefault="00873776" w:rsidP="00873776">
                  <w:pPr>
                    <w:pStyle w:val="TAC"/>
                    <w:rPr>
                      <w:lang w:eastAsia="ja-JP"/>
                    </w:rPr>
                  </w:pPr>
                  <w:r w:rsidRPr="00873776">
                    <w:rPr>
                      <w:lang w:eastAsia="ja-JP"/>
                    </w:rPr>
                    <w:t>698-2690 MHz</w:t>
                  </w:r>
                </w:p>
              </w:tc>
              <w:tc>
                <w:tcPr>
                  <w:tcW w:w="1205" w:type="dxa"/>
                </w:tcPr>
                <w:p w14:paraId="338BE5F3" w14:textId="77777777" w:rsidR="00873776" w:rsidRPr="00873776" w:rsidRDefault="00873776" w:rsidP="00873776">
                  <w:pPr>
                    <w:pStyle w:val="TAC"/>
                    <w:rPr>
                      <w:lang w:eastAsia="ja-JP"/>
                    </w:rPr>
                  </w:pPr>
                  <w:r w:rsidRPr="00873776">
                    <w:rPr>
                      <w:rFonts w:hint="eastAsia"/>
                      <w:lang w:eastAsia="ja-JP"/>
                    </w:rPr>
                    <w:t>45</w:t>
                  </w:r>
                  <w:r w:rsidRPr="00873776">
                    <w:rPr>
                      <w:lang w:eastAsia="ja-JP"/>
                    </w:rPr>
                    <w:t xml:space="preserve"> dB</w:t>
                  </w:r>
                </w:p>
              </w:tc>
            </w:tr>
            <w:tr w:rsidR="00873776" w:rsidRPr="00FE04A0" w14:paraId="1BE19005" w14:textId="77777777" w:rsidTr="00AC5185">
              <w:trPr>
                <w:trHeight w:val="60"/>
                <w:jc w:val="center"/>
              </w:trPr>
              <w:tc>
                <w:tcPr>
                  <w:tcW w:w="1290" w:type="dxa"/>
                  <w:vMerge/>
                  <w:shd w:val="clear" w:color="auto" w:fill="auto"/>
                  <w:hideMark/>
                </w:tcPr>
                <w:p w14:paraId="66A680B3" w14:textId="77777777" w:rsidR="00873776" w:rsidRPr="00873776" w:rsidRDefault="00873776" w:rsidP="00873776">
                  <w:pPr>
                    <w:pStyle w:val="TAC"/>
                    <w:rPr>
                      <w:lang w:eastAsia="ja-JP"/>
                    </w:rPr>
                  </w:pPr>
                </w:p>
              </w:tc>
              <w:tc>
                <w:tcPr>
                  <w:tcW w:w="1423" w:type="dxa"/>
                  <w:shd w:val="clear" w:color="auto" w:fill="auto"/>
                  <w:hideMark/>
                </w:tcPr>
                <w:p w14:paraId="1CA44239" w14:textId="77777777" w:rsidR="00873776" w:rsidRPr="00873776" w:rsidRDefault="00873776" w:rsidP="00873776">
                  <w:pPr>
                    <w:pStyle w:val="TAC"/>
                    <w:rPr>
                      <w:lang w:eastAsia="ja-JP"/>
                    </w:rPr>
                  </w:pPr>
                  <w:r w:rsidRPr="00873776">
                    <w:rPr>
                      <w:lang w:eastAsia="ja-JP"/>
                    </w:rPr>
                    <w:t>3300-4200 MHz</w:t>
                  </w:r>
                </w:p>
              </w:tc>
              <w:tc>
                <w:tcPr>
                  <w:tcW w:w="1205" w:type="dxa"/>
                </w:tcPr>
                <w:p w14:paraId="648D4D76" w14:textId="77777777" w:rsidR="00873776" w:rsidRPr="00873776" w:rsidRDefault="00873776" w:rsidP="00873776">
                  <w:pPr>
                    <w:pStyle w:val="TAC"/>
                    <w:rPr>
                      <w:lang w:eastAsia="ja-JP"/>
                    </w:rPr>
                  </w:pPr>
                  <w:r w:rsidRPr="00873776">
                    <w:rPr>
                      <w:rFonts w:hint="eastAsia"/>
                      <w:lang w:eastAsia="ja-JP"/>
                    </w:rPr>
                    <w:t>40</w:t>
                  </w:r>
                  <w:r w:rsidRPr="00873776">
                    <w:rPr>
                      <w:lang w:eastAsia="ja-JP"/>
                    </w:rPr>
                    <w:t xml:space="preserve"> dB</w:t>
                  </w:r>
                </w:p>
              </w:tc>
            </w:tr>
          </w:tbl>
          <w:p w14:paraId="375ED5BA" w14:textId="77777777" w:rsidR="00873776" w:rsidRPr="00873776" w:rsidRDefault="00873776" w:rsidP="00873776">
            <w:pPr>
              <w:pStyle w:val="3"/>
              <w:numPr>
                <w:ilvl w:val="0"/>
                <w:numId w:val="0"/>
              </w:numPr>
              <w:ind w:left="-13"/>
              <w:outlineLvl w:val="2"/>
              <w:rPr>
                <w:rFonts w:ascii="Times New Roman" w:eastAsia="新細明體" w:hAnsi="Times New Roman"/>
                <w:sz w:val="20"/>
                <w:szCs w:val="20"/>
                <w:lang w:val="en-US" w:eastAsia="zh-TW"/>
              </w:rPr>
            </w:pPr>
            <w:r w:rsidRPr="00873776">
              <w:rPr>
                <w:rFonts w:ascii="Times New Roman" w:eastAsia="新細明體" w:hAnsi="Times New Roman"/>
                <w:sz w:val="20"/>
                <w:szCs w:val="20"/>
                <w:lang w:val="en-US" w:eastAsia="zh-TW"/>
              </w:rPr>
              <w:t xml:space="preserve">The 0.9dB trace loss was based on module solution while </w:t>
            </w:r>
            <w:r w:rsidRPr="00873776">
              <w:rPr>
                <w:rFonts w:ascii="Times New Roman" w:eastAsia="新細明體" w:hAnsi="Times New Roman"/>
                <w:b/>
                <w:sz w:val="20"/>
                <w:szCs w:val="20"/>
                <w:lang w:val="en-US" w:eastAsia="zh-TW"/>
              </w:rPr>
              <w:t>there are discrete components solutions widely used in worldwide</w:t>
            </w:r>
            <w:r w:rsidRPr="00873776">
              <w:rPr>
                <w:rFonts w:ascii="Times New Roman" w:eastAsia="新細明體" w:hAnsi="Times New Roman"/>
                <w:sz w:val="20"/>
                <w:szCs w:val="20"/>
                <w:lang w:val="en-US" w:eastAsia="zh-TW"/>
              </w:rPr>
              <w:t xml:space="preserve">. Trace loss shall take PCB loss into consideration also. Further, the system NF would </w:t>
            </w:r>
            <w:r w:rsidRPr="00873776">
              <w:rPr>
                <w:rFonts w:ascii="Times New Roman" w:eastAsia="新細明體" w:hAnsi="Times New Roman"/>
                <w:b/>
                <w:sz w:val="20"/>
                <w:szCs w:val="20"/>
                <w:lang w:val="en-US" w:eastAsia="zh-TW"/>
              </w:rPr>
              <w:t>degrade 0.6~1dB</w:t>
            </w:r>
            <w:r w:rsidRPr="00873776">
              <w:rPr>
                <w:rFonts w:ascii="Times New Roman" w:eastAsia="新細明體" w:hAnsi="Times New Roman"/>
                <w:sz w:val="20"/>
                <w:szCs w:val="20"/>
                <w:lang w:val="en-US" w:eastAsia="zh-TW"/>
              </w:rPr>
              <w:t xml:space="preserve"> due to higher operation frequency comparing to n46. With these justifications we would propose REFSENS for n96 as below:</w:t>
            </w:r>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873776" w:rsidRPr="00873776" w14:paraId="690902DD" w14:textId="77777777" w:rsidTr="00AC5185">
              <w:trPr>
                <w:jc w:val="center"/>
              </w:trPr>
              <w:tc>
                <w:tcPr>
                  <w:tcW w:w="5360" w:type="dxa"/>
                  <w:gridSpan w:val="6"/>
                </w:tcPr>
                <w:p w14:paraId="4C3A061A" w14:textId="77777777" w:rsidR="00873776" w:rsidRPr="00873776" w:rsidRDefault="00873776" w:rsidP="00873776">
                  <w:pPr>
                    <w:pStyle w:val="FL"/>
                    <w:spacing w:before="0" w:after="0"/>
                    <w:rPr>
                      <w:sz w:val="18"/>
                      <w:szCs w:val="18"/>
                    </w:rPr>
                  </w:pPr>
                  <w:r w:rsidRPr="00873776">
                    <w:rPr>
                      <w:sz w:val="18"/>
                      <w:szCs w:val="18"/>
                    </w:rPr>
                    <w:t>Operating band / SCS / Channel bandwidth</w:t>
                  </w:r>
                </w:p>
              </w:tc>
            </w:tr>
            <w:tr w:rsidR="00873776" w:rsidRPr="00873776" w14:paraId="0007B554" w14:textId="77777777" w:rsidTr="00AC5185">
              <w:trPr>
                <w:jc w:val="center"/>
              </w:trPr>
              <w:tc>
                <w:tcPr>
                  <w:tcW w:w="1068" w:type="dxa"/>
                </w:tcPr>
                <w:p w14:paraId="19BFB5F3" w14:textId="77777777" w:rsidR="00873776" w:rsidRPr="00873776" w:rsidRDefault="00873776" w:rsidP="00873776">
                  <w:pPr>
                    <w:pStyle w:val="FL"/>
                    <w:spacing w:before="0" w:after="0"/>
                    <w:rPr>
                      <w:sz w:val="18"/>
                      <w:szCs w:val="18"/>
                    </w:rPr>
                  </w:pPr>
                  <w:r w:rsidRPr="00873776">
                    <w:rPr>
                      <w:sz w:val="18"/>
                      <w:szCs w:val="18"/>
                    </w:rPr>
                    <w:t>Operating Band</w:t>
                  </w:r>
                </w:p>
              </w:tc>
              <w:tc>
                <w:tcPr>
                  <w:tcW w:w="723" w:type="dxa"/>
                </w:tcPr>
                <w:p w14:paraId="6AB3E0B3" w14:textId="77777777" w:rsidR="00873776" w:rsidRPr="00873776" w:rsidRDefault="00873776" w:rsidP="00873776">
                  <w:pPr>
                    <w:pStyle w:val="FL"/>
                    <w:spacing w:before="0" w:after="0"/>
                    <w:rPr>
                      <w:sz w:val="18"/>
                      <w:szCs w:val="18"/>
                    </w:rPr>
                  </w:pPr>
                  <w:r w:rsidRPr="00873776">
                    <w:rPr>
                      <w:sz w:val="18"/>
                      <w:szCs w:val="18"/>
                    </w:rPr>
                    <w:t>SCS kHz</w:t>
                  </w:r>
                </w:p>
              </w:tc>
              <w:tc>
                <w:tcPr>
                  <w:tcW w:w="904" w:type="dxa"/>
                </w:tcPr>
                <w:p w14:paraId="11C0206D" w14:textId="77777777" w:rsidR="00873776" w:rsidRPr="00873776" w:rsidRDefault="00873776" w:rsidP="00873776">
                  <w:pPr>
                    <w:pStyle w:val="FL"/>
                    <w:spacing w:before="0" w:after="0"/>
                    <w:rPr>
                      <w:sz w:val="18"/>
                      <w:szCs w:val="18"/>
                    </w:rPr>
                  </w:pPr>
                  <w:r w:rsidRPr="00873776">
                    <w:rPr>
                      <w:sz w:val="18"/>
                      <w:szCs w:val="18"/>
                    </w:rPr>
                    <w:t>20 MHz (dBm)</w:t>
                  </w:r>
                </w:p>
              </w:tc>
              <w:tc>
                <w:tcPr>
                  <w:tcW w:w="900" w:type="dxa"/>
                </w:tcPr>
                <w:p w14:paraId="12A8B092" w14:textId="77777777" w:rsidR="00873776" w:rsidRPr="00873776" w:rsidRDefault="00873776" w:rsidP="00873776">
                  <w:pPr>
                    <w:pStyle w:val="FL"/>
                    <w:spacing w:before="0" w:after="0"/>
                    <w:rPr>
                      <w:sz w:val="18"/>
                      <w:szCs w:val="18"/>
                    </w:rPr>
                  </w:pPr>
                  <w:r w:rsidRPr="00873776">
                    <w:rPr>
                      <w:sz w:val="18"/>
                      <w:szCs w:val="18"/>
                    </w:rPr>
                    <w:t>40 MHz (dBm)</w:t>
                  </w:r>
                </w:p>
              </w:tc>
              <w:tc>
                <w:tcPr>
                  <w:tcW w:w="900" w:type="dxa"/>
                </w:tcPr>
                <w:p w14:paraId="6C8A82A4" w14:textId="77777777" w:rsidR="00873776" w:rsidRPr="00873776" w:rsidRDefault="00873776" w:rsidP="00873776">
                  <w:pPr>
                    <w:pStyle w:val="FL"/>
                    <w:spacing w:before="0" w:after="0"/>
                    <w:rPr>
                      <w:sz w:val="18"/>
                      <w:szCs w:val="18"/>
                    </w:rPr>
                  </w:pPr>
                  <w:r w:rsidRPr="00873776">
                    <w:rPr>
                      <w:sz w:val="18"/>
                      <w:szCs w:val="18"/>
                    </w:rPr>
                    <w:t>60 MHz (dBm)</w:t>
                  </w:r>
                </w:p>
              </w:tc>
              <w:tc>
                <w:tcPr>
                  <w:tcW w:w="865" w:type="dxa"/>
                </w:tcPr>
                <w:p w14:paraId="18C2B0DC" w14:textId="77777777" w:rsidR="00873776" w:rsidRPr="00873776" w:rsidRDefault="00873776" w:rsidP="00873776">
                  <w:pPr>
                    <w:pStyle w:val="FL"/>
                    <w:spacing w:before="0" w:after="0"/>
                    <w:rPr>
                      <w:sz w:val="18"/>
                      <w:szCs w:val="18"/>
                    </w:rPr>
                  </w:pPr>
                  <w:r w:rsidRPr="00873776">
                    <w:rPr>
                      <w:sz w:val="18"/>
                      <w:szCs w:val="18"/>
                    </w:rPr>
                    <w:t>80 MHz (dBm)</w:t>
                  </w:r>
                </w:p>
              </w:tc>
            </w:tr>
            <w:tr w:rsidR="00873776" w:rsidRPr="00873776" w14:paraId="660D3B52" w14:textId="77777777" w:rsidTr="00AC5185">
              <w:trPr>
                <w:jc w:val="center"/>
              </w:trPr>
              <w:tc>
                <w:tcPr>
                  <w:tcW w:w="1068" w:type="dxa"/>
                  <w:vMerge w:val="restart"/>
                  <w:vAlign w:val="center"/>
                </w:tcPr>
                <w:p w14:paraId="42C3FCFB" w14:textId="77777777" w:rsidR="00873776" w:rsidRPr="00873776" w:rsidRDefault="00873776" w:rsidP="00873776">
                  <w:pPr>
                    <w:pStyle w:val="FL"/>
                    <w:spacing w:before="0" w:after="0"/>
                    <w:rPr>
                      <w:b w:val="0"/>
                      <w:bCs/>
                      <w:sz w:val="18"/>
                      <w:szCs w:val="18"/>
                    </w:rPr>
                  </w:pPr>
                  <w:r w:rsidRPr="00873776">
                    <w:rPr>
                      <w:b w:val="0"/>
                      <w:bCs/>
                      <w:sz w:val="18"/>
                      <w:szCs w:val="18"/>
                    </w:rPr>
                    <w:t>n96</w:t>
                  </w:r>
                </w:p>
              </w:tc>
              <w:tc>
                <w:tcPr>
                  <w:tcW w:w="723" w:type="dxa"/>
                </w:tcPr>
                <w:p w14:paraId="73CCFC21" w14:textId="77777777" w:rsidR="00873776" w:rsidRPr="00873776" w:rsidRDefault="00873776" w:rsidP="00873776">
                  <w:pPr>
                    <w:pStyle w:val="FL"/>
                    <w:spacing w:before="0" w:after="0"/>
                    <w:rPr>
                      <w:b w:val="0"/>
                      <w:bCs/>
                      <w:sz w:val="18"/>
                      <w:szCs w:val="18"/>
                    </w:rPr>
                  </w:pPr>
                  <w:r w:rsidRPr="00873776">
                    <w:rPr>
                      <w:b w:val="0"/>
                      <w:bCs/>
                      <w:sz w:val="18"/>
                      <w:szCs w:val="18"/>
                    </w:rPr>
                    <w:t>15</w:t>
                  </w:r>
                </w:p>
              </w:tc>
              <w:tc>
                <w:tcPr>
                  <w:tcW w:w="904" w:type="dxa"/>
                  <w:vAlign w:val="center"/>
                </w:tcPr>
                <w:p w14:paraId="19F16864" w14:textId="77777777" w:rsidR="00873776" w:rsidRPr="00873776" w:rsidRDefault="00873776" w:rsidP="00873776">
                  <w:pPr>
                    <w:pStyle w:val="FL"/>
                    <w:spacing w:before="0" w:after="0"/>
                    <w:rPr>
                      <w:b w:val="0"/>
                      <w:bCs/>
                      <w:sz w:val="18"/>
                      <w:szCs w:val="18"/>
                    </w:rPr>
                  </w:pPr>
                  <w:r w:rsidRPr="00873776">
                    <w:rPr>
                      <w:rFonts w:cs="Arial"/>
                      <w:b w:val="0"/>
                      <w:bCs/>
                      <w:sz w:val="18"/>
                      <w:szCs w:val="18"/>
                    </w:rPr>
                    <w:t>-86.1</w:t>
                  </w:r>
                </w:p>
              </w:tc>
              <w:tc>
                <w:tcPr>
                  <w:tcW w:w="900" w:type="dxa"/>
                  <w:vAlign w:val="bottom"/>
                </w:tcPr>
                <w:p w14:paraId="5D3E751B"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-83.0</w:t>
                  </w:r>
                </w:p>
              </w:tc>
              <w:tc>
                <w:tcPr>
                  <w:tcW w:w="900" w:type="dxa"/>
                  <w:vAlign w:val="center"/>
                </w:tcPr>
                <w:p w14:paraId="401F702A" w14:textId="77777777" w:rsidR="00873776" w:rsidRPr="00873776" w:rsidRDefault="00873776" w:rsidP="00873776">
                  <w:pPr>
                    <w:pStyle w:val="FL"/>
                    <w:spacing w:before="0" w:after="0"/>
                    <w:rPr>
                      <w:b w:val="0"/>
                      <w:bCs/>
                      <w:sz w:val="18"/>
                      <w:szCs w:val="18"/>
                    </w:rPr>
                  </w:pPr>
                </w:p>
              </w:tc>
              <w:tc>
                <w:tcPr>
                  <w:tcW w:w="865" w:type="dxa"/>
                  <w:vAlign w:val="center"/>
                </w:tcPr>
                <w:p w14:paraId="111ECF8E" w14:textId="77777777" w:rsidR="00873776" w:rsidRPr="00873776" w:rsidRDefault="00873776" w:rsidP="00873776">
                  <w:pPr>
                    <w:pStyle w:val="FL"/>
                    <w:spacing w:before="0" w:after="0"/>
                    <w:rPr>
                      <w:b w:val="0"/>
                      <w:bCs/>
                      <w:sz w:val="18"/>
                      <w:szCs w:val="18"/>
                    </w:rPr>
                  </w:pPr>
                </w:p>
              </w:tc>
            </w:tr>
            <w:tr w:rsidR="00873776" w:rsidRPr="00873776" w14:paraId="48127442" w14:textId="77777777" w:rsidTr="00AC5185">
              <w:trPr>
                <w:jc w:val="center"/>
              </w:trPr>
              <w:tc>
                <w:tcPr>
                  <w:tcW w:w="1068" w:type="dxa"/>
                  <w:vMerge/>
                </w:tcPr>
                <w:p w14:paraId="24A9B698" w14:textId="77777777" w:rsidR="00873776" w:rsidRPr="00873776" w:rsidRDefault="00873776" w:rsidP="00873776">
                  <w:pPr>
                    <w:pStyle w:val="FL"/>
                    <w:spacing w:before="0" w:after="0"/>
                    <w:rPr>
                      <w:sz w:val="18"/>
                      <w:szCs w:val="18"/>
                    </w:rPr>
                  </w:pPr>
                </w:p>
              </w:tc>
              <w:tc>
                <w:tcPr>
                  <w:tcW w:w="723" w:type="dxa"/>
                </w:tcPr>
                <w:p w14:paraId="1DCEBE16" w14:textId="77777777" w:rsidR="00873776" w:rsidRPr="00873776" w:rsidRDefault="00873776" w:rsidP="00873776">
                  <w:pPr>
                    <w:pStyle w:val="FL"/>
                    <w:spacing w:before="0" w:after="0"/>
                    <w:rPr>
                      <w:b w:val="0"/>
                      <w:bCs/>
                      <w:sz w:val="18"/>
                      <w:szCs w:val="18"/>
                    </w:rPr>
                  </w:pPr>
                  <w:r w:rsidRPr="00873776">
                    <w:rPr>
                      <w:b w:val="0"/>
                      <w:bCs/>
                      <w:sz w:val="18"/>
                      <w:szCs w:val="18"/>
                    </w:rPr>
                    <w:t>30</w:t>
                  </w:r>
                </w:p>
              </w:tc>
              <w:tc>
                <w:tcPr>
                  <w:tcW w:w="904" w:type="dxa"/>
                  <w:vAlign w:val="center"/>
                </w:tcPr>
                <w:p w14:paraId="1F5F15CE" w14:textId="77777777" w:rsidR="00873776" w:rsidRPr="00873776" w:rsidRDefault="00873776" w:rsidP="00873776">
                  <w:pPr>
                    <w:pStyle w:val="FL"/>
                    <w:spacing w:before="0" w:after="0"/>
                    <w:rPr>
                      <w:b w:val="0"/>
                      <w:bCs/>
                      <w:sz w:val="18"/>
                      <w:szCs w:val="18"/>
                    </w:rPr>
                  </w:pPr>
                  <w:r w:rsidRPr="00873776">
                    <w:rPr>
                      <w:rFonts w:cs="Arial"/>
                      <w:b w:val="0"/>
                      <w:bCs/>
                      <w:sz w:val="18"/>
                      <w:szCs w:val="18"/>
                    </w:rPr>
                    <w:t>-86.3</w:t>
                  </w:r>
                </w:p>
              </w:tc>
              <w:tc>
                <w:tcPr>
                  <w:tcW w:w="900" w:type="dxa"/>
                  <w:vAlign w:val="bottom"/>
                </w:tcPr>
                <w:p w14:paraId="1DD44213"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-83.1</w:t>
                  </w:r>
                </w:p>
              </w:tc>
              <w:tc>
                <w:tcPr>
                  <w:tcW w:w="900" w:type="dxa"/>
                  <w:vAlign w:val="bottom"/>
                </w:tcPr>
                <w:p w14:paraId="72F79C41"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-81.2</w:t>
                  </w:r>
                </w:p>
              </w:tc>
              <w:tc>
                <w:tcPr>
                  <w:tcW w:w="865" w:type="dxa"/>
                  <w:vAlign w:val="bottom"/>
                </w:tcPr>
                <w:p w14:paraId="20326326"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-80.0</w:t>
                  </w:r>
                </w:p>
              </w:tc>
            </w:tr>
            <w:tr w:rsidR="00873776" w14:paraId="6D841EB4" w14:textId="77777777" w:rsidTr="00AC5185">
              <w:trPr>
                <w:jc w:val="center"/>
              </w:trPr>
              <w:tc>
                <w:tcPr>
                  <w:tcW w:w="1068" w:type="dxa"/>
                  <w:vMerge/>
                </w:tcPr>
                <w:p w14:paraId="0702DE73" w14:textId="77777777" w:rsidR="00873776" w:rsidRPr="00873776" w:rsidRDefault="00873776" w:rsidP="00873776">
                  <w:pPr>
                    <w:pStyle w:val="FL"/>
                    <w:spacing w:before="0" w:after="0"/>
                    <w:rPr>
                      <w:sz w:val="18"/>
                      <w:szCs w:val="18"/>
                    </w:rPr>
                  </w:pPr>
                </w:p>
              </w:tc>
              <w:tc>
                <w:tcPr>
                  <w:tcW w:w="723" w:type="dxa"/>
                </w:tcPr>
                <w:p w14:paraId="141C866C" w14:textId="77777777" w:rsidR="00873776" w:rsidRPr="00873776" w:rsidRDefault="00873776" w:rsidP="00873776">
                  <w:pPr>
                    <w:pStyle w:val="FL"/>
                    <w:spacing w:before="0" w:after="0"/>
                    <w:rPr>
                      <w:b w:val="0"/>
                      <w:bCs/>
                      <w:sz w:val="18"/>
                      <w:szCs w:val="18"/>
                    </w:rPr>
                  </w:pPr>
                  <w:r w:rsidRPr="00873776">
                    <w:rPr>
                      <w:b w:val="0"/>
                      <w:bCs/>
                      <w:sz w:val="18"/>
                      <w:szCs w:val="18"/>
                    </w:rPr>
                    <w:t>60</w:t>
                  </w:r>
                </w:p>
              </w:tc>
              <w:tc>
                <w:tcPr>
                  <w:tcW w:w="904" w:type="dxa"/>
                  <w:vAlign w:val="center"/>
                </w:tcPr>
                <w:p w14:paraId="255D89E5" w14:textId="77777777" w:rsidR="00873776" w:rsidRPr="00873776" w:rsidRDefault="00873776" w:rsidP="00873776">
                  <w:pPr>
                    <w:pStyle w:val="FL"/>
                    <w:spacing w:before="0" w:after="0"/>
                    <w:rPr>
                      <w:b w:val="0"/>
                      <w:bCs/>
                      <w:sz w:val="18"/>
                      <w:szCs w:val="18"/>
                    </w:rPr>
                  </w:pPr>
                  <w:r w:rsidRPr="00873776">
                    <w:rPr>
                      <w:rFonts w:cs="Arial"/>
                      <w:b w:val="0"/>
                      <w:bCs/>
                      <w:sz w:val="18"/>
                      <w:szCs w:val="18"/>
                    </w:rPr>
                    <w:t>-86.5</w:t>
                  </w:r>
                </w:p>
              </w:tc>
              <w:tc>
                <w:tcPr>
                  <w:tcW w:w="900" w:type="dxa"/>
                  <w:vAlign w:val="bottom"/>
                </w:tcPr>
                <w:p w14:paraId="107FD390"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-83.3</w:t>
                  </w:r>
                </w:p>
              </w:tc>
              <w:tc>
                <w:tcPr>
                  <w:tcW w:w="900" w:type="dxa"/>
                  <w:vAlign w:val="bottom"/>
                </w:tcPr>
                <w:p w14:paraId="12E3E5BA"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-81.4</w:t>
                  </w:r>
                </w:p>
              </w:tc>
              <w:tc>
                <w:tcPr>
                  <w:tcW w:w="865" w:type="dxa"/>
                  <w:vAlign w:val="bottom"/>
                </w:tcPr>
                <w:p w14:paraId="4BF0BCB4" w14:textId="77777777" w:rsidR="00873776" w:rsidRPr="00452BC9" w:rsidRDefault="00873776" w:rsidP="00873776">
                  <w:pPr>
                    <w:pStyle w:val="FL"/>
                    <w:spacing w:before="0" w:after="0"/>
                    <w:rPr>
                      <w:b w:val="0"/>
                      <w:bCs/>
                      <w:sz w:val="18"/>
                      <w:szCs w:val="18"/>
                    </w:rPr>
                  </w:pPr>
                  <w:r w:rsidRPr="00873776">
                    <w:rPr>
                      <w:rFonts w:cs="Arial"/>
                      <w:b w:val="0"/>
                      <w:bCs/>
                      <w:color w:val="000000"/>
                      <w:sz w:val="18"/>
                      <w:szCs w:val="18"/>
                    </w:rPr>
                    <w:t>-80.0</w:t>
                  </w:r>
                </w:p>
              </w:tc>
            </w:tr>
          </w:tbl>
          <w:p w14:paraId="009ACD04" w14:textId="77777777" w:rsidR="00873776" w:rsidRPr="00A63714" w:rsidRDefault="00873776" w:rsidP="00873776">
            <w:pPr>
              <w:rPr>
                <w:lang w:val="en-US" w:eastAsia="zh-TW"/>
              </w:rPr>
            </w:pPr>
          </w:p>
          <w:p w14:paraId="4DB7BC0A" w14:textId="77777777" w:rsidR="00873776" w:rsidRPr="00852349" w:rsidRDefault="00873776" w:rsidP="00873776">
            <w:pPr>
              <w:rPr>
                <w:rFonts w:eastAsia="SimSun"/>
                <w:lang w:val="en-US" w:eastAsia="zh-TW"/>
              </w:rPr>
            </w:pPr>
          </w:p>
          <w:p w14:paraId="1CB59E35" w14:textId="77777777" w:rsidR="00873776" w:rsidRPr="00852349" w:rsidRDefault="00873776" w:rsidP="00873776">
            <w:pPr>
              <w:rPr>
                <w:rFonts w:eastAsia="SimSun"/>
              </w:rPr>
            </w:pPr>
            <w:r w:rsidRPr="00852349">
              <w:rPr>
                <w:rFonts w:eastAsiaTheme="minorEastAsia"/>
                <w:lang w:val="en-US"/>
              </w:rPr>
              <w:t xml:space="preserve">2-2-1: </w:t>
            </w:r>
            <w:r w:rsidRPr="00852349">
              <w:t>ACS value</w:t>
            </w:r>
          </w:p>
          <w:p w14:paraId="7E831CA2" w14:textId="77777777" w:rsidR="00873776" w:rsidRDefault="00873776" w:rsidP="00873776">
            <w:pPr>
              <w:rPr>
                <w:rFonts w:eastAsiaTheme="minorEastAsia"/>
              </w:rPr>
            </w:pPr>
            <w:r>
              <w:rPr>
                <w:rFonts w:eastAsiaTheme="minorEastAsia"/>
              </w:rPr>
              <w:t xml:space="preserve">From RF UE/STA perspective, we do the benchmark of WiFi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WiFi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lastRenderedPageBreak/>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
            <w:tr w:rsidR="00873776" w:rsidRPr="007B76DA"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WIFI ax</w:t>
                  </w:r>
                </w:p>
              </w:tc>
            </w:tr>
            <w:tr w:rsidR="00873776" w:rsidRPr="007B76DA"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873776" w:rsidRPr="007B76DA"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-57</w:t>
                  </w:r>
                </w:p>
              </w:tc>
            </w:tr>
            <w:tr w:rsidR="00873776" w:rsidRPr="007B76DA"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-73</w:t>
                  </w:r>
                </w:p>
              </w:tc>
            </w:tr>
            <w:tr w:rsidR="00873776" w:rsidRPr="007B76DA"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r>
            <w:tr w:rsidR="00873776" w:rsidRPr="007B76DA"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NR-U n46</w:t>
                  </w:r>
                </w:p>
              </w:tc>
            </w:tr>
            <w:tr w:rsidR="00873776" w:rsidRPr="007B76DA"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0208EB" w:rsidRPr="007B76DA"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-53.1</w:t>
                  </w:r>
                </w:p>
              </w:tc>
            </w:tr>
            <w:tr w:rsidR="000208EB" w:rsidRPr="007B76DA"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-69.6</w:t>
                  </w:r>
                </w:p>
              </w:tc>
            </w:tr>
            <w:tr w:rsidR="00873776" w:rsidRPr="007B76DA"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xml:space="preserve">Interferer to </w:t>
                  </w:r>
                  <w:r>
                    <w:rPr>
                      <w:rFonts w:ascii="Calibri" w:eastAsia="Times New Roman" w:hAnsi="Calibri" w:cs="Calibri"/>
                      <w:color w:val="000000"/>
                      <w:sz w:val="22"/>
                      <w:szCs w:val="22"/>
                      <w:lang w:val="en-US" w:eastAsia="zh-TW"/>
                    </w:rPr>
                    <w:t>signal</w:t>
                  </w:r>
                  <w:r w:rsidRPr="007B76DA">
                    <w:rPr>
                      <w:rFonts w:ascii="Calibri" w:eastAsia="Times New Roman" w:hAnsi="Calibri" w:cs="Calibri"/>
                      <w:color w:val="000000"/>
                      <w:sz w:val="22"/>
                      <w:szCs w:val="22"/>
                      <w:lang w:val="en-US" w:eastAsia="zh-TW"/>
                    </w:rPr>
                    <w:t xml:space="preserve">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16.5</w:t>
                  </w:r>
                </w:p>
              </w:tc>
            </w:tr>
            <w:tr w:rsidR="00873776" w:rsidRPr="007B76DA" w14:paraId="3AE34BE3" w14:textId="77777777" w:rsidTr="00AC5185">
              <w:trPr>
                <w:trHeight w:val="58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Margin</w:t>
                  </w:r>
                  <w:r>
                    <w:rPr>
                      <w:rFonts w:ascii="Calibri" w:eastAsia="Times New Roman" w:hAnsi="Calibri" w:cs="Calibri"/>
                      <w:b/>
                      <w:bCs/>
                      <w:color w:val="000000"/>
                      <w:sz w:val="22"/>
                      <w:szCs w:val="22"/>
                      <w:lang w:val="en-US" w:eastAsia="zh-TW"/>
                    </w:rPr>
                    <w:t>(dB) = NR-U ISR - WiFi_ACR</w:t>
                  </w:r>
                </w:p>
              </w:tc>
              <w:tc>
                <w:tcPr>
                  <w:tcW w:w="1701" w:type="dxa"/>
                  <w:tcBorders>
                    <w:top w:val="nil"/>
                    <w:left w:val="nil"/>
                    <w:bottom w:val="single" w:sz="4" w:space="0" w:color="auto"/>
                    <w:right w:val="single" w:sz="4" w:space="0" w:color="auto"/>
                  </w:tcBorders>
                  <w:shd w:val="clear" w:color="auto" w:fill="auto"/>
                  <w:vAlign w:val="center"/>
                  <w:hideMark/>
                </w:tcPr>
                <w:p w14:paraId="2DDB6BB7"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6.5</w:t>
                  </w:r>
                </w:p>
              </w:tc>
              <w:tc>
                <w:tcPr>
                  <w:tcW w:w="1417" w:type="dxa"/>
                  <w:tcBorders>
                    <w:top w:val="nil"/>
                    <w:left w:val="nil"/>
                    <w:bottom w:val="single" w:sz="4" w:space="0" w:color="auto"/>
                    <w:right w:val="single" w:sz="4" w:space="0" w:color="auto"/>
                  </w:tcBorders>
                  <w:shd w:val="clear" w:color="auto" w:fill="auto"/>
                  <w:vAlign w:val="center"/>
                  <w:hideMark/>
                </w:tcPr>
                <w:p w14:paraId="55C01103"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3.5</w:t>
                  </w:r>
                </w:p>
              </w:tc>
              <w:tc>
                <w:tcPr>
                  <w:tcW w:w="1443" w:type="dxa"/>
                  <w:tcBorders>
                    <w:top w:val="nil"/>
                    <w:left w:val="nil"/>
                    <w:bottom w:val="single" w:sz="4" w:space="0" w:color="auto"/>
                    <w:right w:val="single" w:sz="4" w:space="0" w:color="auto"/>
                  </w:tcBorders>
                  <w:shd w:val="clear" w:color="auto" w:fill="auto"/>
                  <w:vAlign w:val="center"/>
                  <w:hideMark/>
                </w:tcPr>
                <w:p w14:paraId="44598F82"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0.5</w:t>
                  </w:r>
                </w:p>
              </w:tc>
            </w:tr>
          </w:tbl>
          <w:p w14:paraId="3CE31F41" w14:textId="77777777" w:rsidR="00873776" w:rsidRDefault="00873776" w:rsidP="00873776">
            <w:pPr>
              <w:rPr>
                <w:rFonts w:eastAsiaTheme="minorEastAsia"/>
              </w:rPr>
            </w:pPr>
          </w:p>
          <w:p w14:paraId="7032C7A5" w14:textId="77777777" w:rsidR="00873776" w:rsidRDefault="00873776" w:rsidP="00873776">
            <w:pPr>
              <w:rPr>
                <w:rFonts w:eastAsiaTheme="minorEastAsia"/>
              </w:rPr>
            </w:pPr>
          </w:p>
          <w:p w14:paraId="248A5DE4" w14:textId="77777777" w:rsidR="00873776" w:rsidRPr="002746F9" w:rsidRDefault="00873776" w:rsidP="00873776">
            <w:pPr>
              <w:rPr>
                <w:color w:val="0070C0"/>
                <w:lang w:val="sv-SE" w:eastAsia="zh-CN"/>
              </w:rPr>
            </w:pPr>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59567" w14:textId="77777777" w:rsidR="00EE3B17" w:rsidRDefault="00EE3B17">
      <w:r>
        <w:separator/>
      </w:r>
    </w:p>
  </w:endnote>
  <w:endnote w:type="continuationSeparator" w:id="0">
    <w:p w14:paraId="2C02ABA4" w14:textId="77777777" w:rsidR="00EE3B17" w:rsidRDefault="00EE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948B" w14:textId="77777777" w:rsidR="00EE3B17" w:rsidRDefault="00EE3B17">
      <w:r>
        <w:separator/>
      </w:r>
    </w:p>
  </w:footnote>
  <w:footnote w:type="continuationSeparator" w:id="0">
    <w:p w14:paraId="23A1FEBB" w14:textId="77777777" w:rsidR="00EE3B17" w:rsidRDefault="00EE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692-15D4-4F24-BB4D-E7B48C37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24</Pages>
  <Words>9210</Words>
  <Characters>52497</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61584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16</cp:revision>
  <cp:lastPrinted>2019-04-25T01:09:00Z</cp:lastPrinted>
  <dcterms:created xsi:type="dcterms:W3CDTF">2020-08-24T16:12:00Z</dcterms:created>
  <dcterms:modified xsi:type="dcterms:W3CDTF">2020-08-25T07:45:00Z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