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06FCADD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Pr="00805BE8">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585DD0FB"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 and R4-2010671 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3622CF"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3622CF"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3622CF"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tr w:rsidR="00E9392F" w14:paraId="7F9ACF1D" w14:textId="77777777" w:rsidTr="00AC26DC">
        <w:trPr>
          <w:cantSplit/>
          <w:trHeight w:val="1134"/>
        </w:trPr>
        <w:tc>
          <w:tcPr>
            <w:tcW w:w="1221" w:type="dxa"/>
            <w:shd w:val="clear" w:color="auto" w:fill="auto"/>
          </w:tcPr>
          <w:p w14:paraId="5C0D96A4" w14:textId="5C7D149E" w:rsidR="00E9392F" w:rsidRDefault="003622CF" w:rsidP="00E9392F">
            <w:pPr>
              <w:spacing w:after="0"/>
            </w:pPr>
            <w:hyperlink r:id="rId12" w:tgtFrame="_parent" w:history="1">
              <w:r w:rsidR="00E9392F">
                <w:rPr>
                  <w:rStyle w:val="Hyperlink"/>
                  <w:rFonts w:ascii="Arial" w:hAnsi="Arial" w:cs="Arial"/>
                  <w:b/>
                  <w:bCs/>
                  <w:sz w:val="16"/>
                  <w:szCs w:val="16"/>
                </w:rPr>
                <w:t>R4-2010344</w:t>
              </w:r>
            </w:hyperlink>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3622CF" w:rsidP="00742E27">
            <w:pPr>
              <w:spacing w:after="0"/>
            </w:pPr>
            <w:hyperlink r:id="rId13"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3622CF" w:rsidP="00742E27">
            <w:pPr>
              <w:spacing w:after="0"/>
            </w:pPr>
            <w:hyperlink r:id="rId14"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3622CF" w:rsidP="00742E27">
            <w:pPr>
              <w:spacing w:after="0"/>
            </w:pPr>
            <w:hyperlink r:id="rId15"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A30D7B" w:rsidP="00A30D7B">
            <w:pPr>
              <w:spacing w:after="0"/>
            </w:pPr>
            <w:hyperlink r:id="rId16" w:tgtFrame="_parent" w:history="1">
              <w:r>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A30D7B" w:rsidP="00A30D7B">
            <w:pPr>
              <w:spacing w:after="0"/>
              <w:rPr>
                <w:rFonts w:ascii="Arial" w:hAnsi="Arial" w:cs="Arial"/>
                <w:b/>
                <w:bCs/>
                <w:color w:val="0000FF"/>
                <w:sz w:val="16"/>
                <w:szCs w:val="16"/>
                <w:u w:val="single"/>
                <w:lang w:val="en-US"/>
              </w:rPr>
            </w:pPr>
            <w:hyperlink r:id="rId17" w:tgtFrame="_parent" w:history="1">
              <w:r>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A30D7B" w:rsidP="00A30D7B">
            <w:pPr>
              <w:spacing w:after="0"/>
              <w:rPr>
                <w:rFonts w:ascii="Arial" w:hAnsi="Arial" w:cs="Arial"/>
                <w:b/>
                <w:bCs/>
                <w:color w:val="0000FF"/>
                <w:sz w:val="16"/>
                <w:szCs w:val="16"/>
                <w:u w:val="single"/>
                <w:lang w:val="en-US"/>
              </w:rPr>
            </w:pPr>
            <w:hyperlink r:id="rId18" w:tgtFrame="_parent" w:history="1">
              <w:r>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77777777" w:rsidR="00E45459"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PA for the 6 GHz band for NS_53 and NS_54.  Since the spurious emission </w:t>
      </w:r>
      <w:r>
        <w:rPr>
          <w:lang w:val="sv-SE" w:eastAsia="zh-CN"/>
        </w:rPr>
        <w:lastRenderedPageBreak/>
        <w:t>requirements are measured at specific frequencies across within the 6 GHz band, the performance characteristics of the 6 GHz PA are directly reflected in the provided measurements.</w:t>
      </w:r>
      <w:r w:rsidR="00E45459">
        <w:rPr>
          <w:lang w:val="sv-SE" w:eastAsia="zh-CN"/>
        </w:rPr>
        <w:t xml:space="preserve">  </w:t>
      </w:r>
    </w:p>
    <w:p w14:paraId="6D470605" w14:textId="598A5984" w:rsidR="00550A73" w:rsidRDefault="00E45459" w:rsidP="00550A73">
      <w:pPr>
        <w:rPr>
          <w:lang w:val="sv-SE" w:eastAsia="zh-CN"/>
        </w:rPr>
      </w:pPr>
      <w:r>
        <w:rPr>
          <w:lang w:val="sv-SE" w:eastAsia="zh-CN"/>
        </w:rPr>
        <w:t>The moderator suggests that studies have already included characteristics of the 6 GHz frequency range and therefore the derived MPR can be band-agnostic as it always has.  Is this agreeable?</w:t>
      </w:r>
    </w:p>
    <w:p w14:paraId="0AC13C4A" w14:textId="6BD2AF3D" w:rsidR="00550A73" w:rsidRPr="00550A73" w:rsidRDefault="0010797B" w:rsidP="00550A73">
      <w:pPr>
        <w:rPr>
          <w:lang w:val="sv-SE" w:eastAsia="zh-CN"/>
        </w:rPr>
      </w:pPr>
      <w:r>
        <w:rPr>
          <w:lang w:val="sv-SE" w:eastAsia="zh-CN"/>
        </w:rPr>
        <w:t xml:space="preserve">MediaTek further proposes that the requirements are </w:t>
      </w:r>
      <w:r w:rsidR="00DA6AD5">
        <w:rPr>
          <w:lang w:val="sv-SE" w:eastAsia="zh-CN"/>
        </w:rPr>
        <w:t xml:space="preserve">to be </w:t>
      </w:r>
      <w:r>
        <w:rPr>
          <w:lang w:val="sv-SE" w:eastAsia="zh-CN"/>
        </w:rPr>
        <w:t>derived assuming a split front-end, but does not elaborate on how this would impact the specifications.</w:t>
      </w:r>
      <w:r w:rsidR="00723988">
        <w:rPr>
          <w:lang w:val="sv-SE" w:eastAsia="zh-CN"/>
        </w:rPr>
        <w:t xml:space="preserve">  </w:t>
      </w:r>
      <w:r w:rsidR="00982250">
        <w:rPr>
          <w:lang w:val="sv-SE" w:eastAsia="zh-CN"/>
        </w:rPr>
        <w:t>No implementation whether wide-band or split is precluded so long as the requirements can be met.</w:t>
      </w:r>
      <w:r w:rsidR="00982250">
        <w:rPr>
          <w:lang w:val="sv-SE" w:eastAsia="zh-CN"/>
        </w:rPr>
        <w:t xml:space="preserve">  </w:t>
      </w:r>
      <w:r w:rsidR="00723988">
        <w:rPr>
          <w:lang w:val="sv-SE" w:eastAsia="zh-CN"/>
        </w:rPr>
        <w:t>It would be beneficial if MediaTek can pro</w:t>
      </w:r>
      <w:r w:rsidR="00982250">
        <w:rPr>
          <w:lang w:val="sv-SE" w:eastAsia="zh-CN"/>
        </w:rPr>
        <w:t>vide</w:t>
      </w:r>
      <w:r w:rsidR="00723988">
        <w:rPr>
          <w:lang w:val="sv-SE" w:eastAsia="zh-CN"/>
        </w:rPr>
        <w:t xml:space="preserve"> specific changes and/or proposals with justification to requirements for companies to consider</w:t>
      </w:r>
      <w:r w:rsidR="00982250">
        <w:rPr>
          <w:lang w:val="sv-SE" w:eastAsia="zh-CN"/>
        </w:rPr>
        <w:t xml:space="preserve"> for split front-end architecture</w:t>
      </w:r>
      <w:r w:rsidR="00723988">
        <w:rPr>
          <w:lang w:val="sv-SE" w:eastAsia="zh-CN"/>
        </w:rPr>
        <w:t>.</w:t>
      </w:r>
      <w:r w:rsidR="00982250">
        <w:rPr>
          <w:lang w:val="sv-SE" w:eastAsia="zh-CN"/>
        </w:rPr>
        <w:t xml:space="preserve">  </w:t>
      </w:r>
    </w:p>
    <w:p w14:paraId="2C26CB85" w14:textId="4A72C8E0" w:rsidR="00E50374" w:rsidRPr="00617E90" w:rsidRDefault="00E50374" w:rsidP="00617E90">
      <w:pPr>
        <w:pStyle w:val="Heading3"/>
        <w:rPr>
          <w:sz w:val="24"/>
          <w:szCs w:val="16"/>
        </w:rPr>
      </w:pPr>
      <w:r w:rsidRPr="00617E90">
        <w:rPr>
          <w:sz w:val="24"/>
          <w:szCs w:val="16"/>
        </w:rPr>
        <w:t>Baseline MPR</w:t>
      </w:r>
    </w:p>
    <w:p w14:paraId="4732D3F7" w14:textId="2CADB0C0" w:rsidR="00550A73" w:rsidRDefault="00550A73" w:rsidP="00550A73">
      <w:pPr>
        <w:rPr>
          <w:lang w:val="sv-SE" w:eastAsia="zh-CN"/>
        </w:rPr>
      </w:pPr>
      <w:r>
        <w:rPr>
          <w:lang w:val="sv-SE" w:eastAsia="zh-CN"/>
        </w:rPr>
        <w:t xml:space="preserve">MPR has already been tentatively agreed at the last meeting.  For this meeting, new simulation results are provided </w:t>
      </w:r>
      <w:r w:rsidR="00982250">
        <w:rPr>
          <w:lang w:val="sv-SE" w:eastAsia="zh-CN"/>
        </w:rPr>
        <w:t>from</w:t>
      </w:r>
      <w:r>
        <w:rPr>
          <w:lang w:val="sv-SE" w:eastAsia="zh-CN"/>
        </w:rPr>
        <w:t xml:space="preserve"> Apple and Huawei</w:t>
      </w:r>
      <w:r w:rsidR="000A278F">
        <w:rPr>
          <w:lang w:val="sv-SE" w:eastAsia="zh-CN"/>
        </w:rPr>
        <w:t xml:space="preserve">, and additional measurements </w:t>
      </w:r>
      <w:r w:rsidR="00982250">
        <w:rPr>
          <w:lang w:val="sv-SE" w:eastAsia="zh-CN"/>
        </w:rPr>
        <w:t>from</w:t>
      </w:r>
      <w:r w:rsidR="000A278F">
        <w:rPr>
          <w:lang w:val="sv-SE" w:eastAsia="zh-CN"/>
        </w:rPr>
        <w:t xml:space="preserve"> Skyworks.  </w:t>
      </w:r>
      <w:r w:rsidR="00BF76F6">
        <w:rPr>
          <w:lang w:val="sv-SE" w:eastAsia="zh-CN"/>
        </w:rPr>
        <w:t>A summary of results including those presented</w:t>
      </w:r>
      <w:r w:rsidR="00723988">
        <w:rPr>
          <w:lang w:val="sv-SE" w:eastAsia="zh-CN"/>
        </w:rPr>
        <w:t xml:space="preserve"> previously</w:t>
      </w:r>
      <w:r w:rsidR="00BF76F6">
        <w:rPr>
          <w:lang w:val="sv-SE" w:eastAsia="zh-CN"/>
        </w:rPr>
        <w:t xml:space="preserve"> in RAN4 #95-e is provided below.</w:t>
      </w:r>
    </w:p>
    <w:p w14:paraId="73408488" w14:textId="45494AC3" w:rsidR="00BF76F6" w:rsidRDefault="00123EA9" w:rsidP="00550A73">
      <w:pPr>
        <w:rPr>
          <w:lang w:val="sv-SE" w:eastAsia="zh-CN"/>
        </w:rPr>
      </w:pPr>
      <w:r w:rsidRPr="00123EA9">
        <w:rPr>
          <w:noProof/>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modulation and concluded based on these that there is high margin in the tentatively agreed MPR value</w:t>
      </w:r>
      <w:r w:rsidR="00883763">
        <w:rPr>
          <w:lang w:val="sv-SE" w:eastAsia="zh-CN"/>
        </w:rPr>
        <w:t xml:space="preserve"> based on PA only.  However, Skyworks </w:t>
      </w:r>
      <w:r w:rsidR="00750F81">
        <w:rPr>
          <w:lang w:val="sv-SE" w:eastAsia="zh-CN"/>
        </w:rPr>
        <w:t>writes</w:t>
      </w:r>
      <w:r w:rsidR="00883763">
        <w:rPr>
          <w:lang w:val="sv-SE" w:eastAsia="zh-CN"/>
        </w:rPr>
        <w:t xml:space="preserve"> that ”NR+0.5 dB seems valid” (which is the RAN4 #95-e tentative agreement for 256QAM).</w:t>
      </w:r>
      <w:r w:rsidR="00123EA9">
        <w:rPr>
          <w:lang w:val="sv-SE" w:eastAsia="zh-CN"/>
        </w:rPr>
        <w:t xml:space="preserve">  Therefore, leaving the 256QAM according to the RAN4 #95-e agreement, the only potential change is 0.5 dB for 64QAM with partial allocation.</w:t>
      </w:r>
    </w:p>
    <w:p w14:paraId="2D164EDB" w14:textId="5A61CA89" w:rsidR="00723988" w:rsidRDefault="00723988" w:rsidP="00550A73">
      <w:pPr>
        <w:rPr>
          <w:lang w:val="sv-SE" w:eastAsia="zh-CN"/>
        </w:rPr>
      </w:pPr>
      <w:r>
        <w:rPr>
          <w:lang w:val="sv-SE" w:eastAsia="zh-CN"/>
        </w:rPr>
        <w:t xml:space="preserve">Moderator asks companies to consider </w:t>
      </w:r>
      <w:r w:rsidR="00982250">
        <w:rPr>
          <w:lang w:val="sv-SE" w:eastAsia="zh-CN"/>
        </w:rPr>
        <w:t>two</w:t>
      </w:r>
      <w:r>
        <w:rPr>
          <w:lang w:val="sv-SE" w:eastAsia="zh-CN"/>
        </w:rPr>
        <w:t xml:space="preserve"> alternatives</w:t>
      </w:r>
    </w:p>
    <w:p w14:paraId="1A998A00" w14:textId="7CEABD58" w:rsidR="00723988" w:rsidRDefault="00723988" w:rsidP="00723988">
      <w:pPr>
        <w:pStyle w:val="ListParagraph"/>
        <w:numPr>
          <w:ilvl w:val="0"/>
          <w:numId w:val="28"/>
        </w:numPr>
        <w:ind w:firstLineChars="0"/>
        <w:rPr>
          <w:lang w:val="sv-SE" w:eastAsia="zh-CN"/>
        </w:rPr>
      </w:pPr>
      <w:r>
        <w:rPr>
          <w:lang w:val="sv-SE" w:eastAsia="zh-CN"/>
        </w:rPr>
        <w:t>Stay with the tenatively agreed MPR from RAN4 #95-e</w:t>
      </w:r>
      <w:r w:rsidR="003901A0">
        <w:rPr>
          <w:lang w:val="sv-SE" w:eastAsia="zh-CN"/>
        </w:rPr>
        <w:t>, remove the square brackets</w:t>
      </w:r>
    </w:p>
    <w:p w14:paraId="5E7BDBCB" w14:textId="546EE216" w:rsidR="00723988" w:rsidRDefault="00723988" w:rsidP="00723988">
      <w:pPr>
        <w:pStyle w:val="ListParagraph"/>
        <w:numPr>
          <w:ilvl w:val="0"/>
          <w:numId w:val="28"/>
        </w:numPr>
        <w:ind w:firstLineChars="0"/>
        <w:rPr>
          <w:lang w:val="sv-SE" w:eastAsia="zh-CN"/>
        </w:rPr>
      </w:pPr>
      <w:r>
        <w:rPr>
          <w:lang w:val="sv-SE" w:eastAsia="zh-CN"/>
        </w:rPr>
        <w:t>Adopt the new MPR shown above</w:t>
      </w:r>
      <w:r w:rsidR="00123EA9">
        <w:rPr>
          <w:lang w:val="sv-SE" w:eastAsia="zh-CN"/>
        </w:rPr>
        <w:t xml:space="preserve"> for 64QAM only (the 256QAM change is not adopted)</w:t>
      </w:r>
    </w:p>
    <w:p w14:paraId="3CE44F6B" w14:textId="3F9FF1CF"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1.2.2.2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lastRenderedPageBreak/>
        <w:t>NR waveform (non-interlaced) MPR</w:t>
      </w:r>
    </w:p>
    <w:p w14:paraId="5022508D" w14:textId="1ED53B1C"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p>
    <w:p w14:paraId="313FF6A0" w14:textId="4F78FFD2" w:rsidR="00AC26DC" w:rsidRDefault="00AC26DC" w:rsidP="00AC26DC">
      <w:pPr>
        <w:pStyle w:val="Heading3"/>
        <w:rPr>
          <w:sz w:val="24"/>
          <w:szCs w:val="16"/>
        </w:rPr>
      </w:pPr>
      <w:r>
        <w:rPr>
          <w:sz w:val="24"/>
          <w:szCs w:val="16"/>
        </w:rPr>
        <w:t>A-MPR for PC5</w:t>
      </w:r>
    </w:p>
    <w:p w14:paraId="6FFB09E1" w14:textId="2ED97B5E"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 xml:space="preserve">CP and 10us inside the start of transmission.  For the trailing edge, Qualcomm proposes to place the </w:t>
      </w:r>
      <w:r>
        <w:rPr>
          <w:lang w:val="sv-SE" w:eastAsia="zh-CN"/>
        </w:rPr>
        <w:lastRenderedPageBreak/>
        <w:t>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0BAAB0BE" w:rsidR="00913495" w:rsidRPr="00AC26DC"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1900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008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3622CF" w:rsidP="00E9392F">
            <w:pPr>
              <w:spacing w:after="0"/>
              <w:rPr>
                <w:rFonts w:ascii="Arial" w:hAnsi="Arial" w:cs="Arial"/>
                <w:b/>
                <w:bCs/>
                <w:color w:val="0000FF"/>
                <w:sz w:val="16"/>
                <w:szCs w:val="16"/>
                <w:u w:val="single"/>
                <w:lang w:val="en-US"/>
              </w:rPr>
            </w:pPr>
            <w:hyperlink r:id="rId20"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3B9D4315" w14:textId="174DDA6E" w:rsidR="00E9392F" w:rsidRP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tc>
      </w:tr>
      <w:tr w:rsidR="00E9392F" w14:paraId="069AE04F" w14:textId="77777777" w:rsidTr="00D65289">
        <w:tc>
          <w:tcPr>
            <w:tcW w:w="1231" w:type="dxa"/>
          </w:tcPr>
          <w:p w14:paraId="581670D3" w14:textId="77777777" w:rsidR="00E9392F" w:rsidRDefault="003622CF"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00B6F9D4" w14:textId="7EA84F48" w:rsidR="00E9392F" w:rsidRP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3622CF" w:rsidP="00D65289">
            <w:pPr>
              <w:spacing w:after="0"/>
              <w:rPr>
                <w:rFonts w:ascii="Arial" w:hAnsi="Arial" w:cs="Arial"/>
                <w:b/>
                <w:bCs/>
                <w:color w:val="0000FF"/>
                <w:sz w:val="16"/>
                <w:szCs w:val="16"/>
                <w:u w:val="single"/>
              </w:rPr>
            </w:pPr>
            <w:hyperlink r:id="rId22"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09EA1A2E" w14:textId="75D535AA" w:rsidR="00D65289" w:rsidRPr="00D65289" w:rsidRDefault="00D65289" w:rsidP="00D65289">
            <w:pPr>
              <w:rPr>
                <w:rFonts w:eastAsiaTheme="minorEastAsia"/>
                <w:iCs/>
                <w:lang w:val="en-US" w:eastAsia="zh-CN"/>
              </w:rPr>
            </w:pPr>
            <w:r w:rsidRPr="00D65289">
              <w:t>Introduction of NR-based access to unlicensed spectrum</w:t>
            </w:r>
            <w:r>
              <w:t xml:space="preserve"> (Qualcomm Incorporated, Nokia)</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3622CF" w:rsidP="00D65289">
            <w:pPr>
              <w:spacing w:after="0"/>
            </w:pPr>
            <w:hyperlink r:id="rId23" w:tgtFrame="_parent" w:history="1">
              <w:r w:rsidR="00D65289">
                <w:rPr>
                  <w:rStyle w:val="Hyperlink"/>
                  <w:rFonts w:ascii="Arial" w:hAnsi="Arial" w:cs="Arial"/>
                  <w:b/>
                  <w:bCs/>
                  <w:sz w:val="16"/>
                  <w:szCs w:val="16"/>
                </w:rPr>
                <w:t>R4-2</w:t>
              </w:r>
              <w:r w:rsidR="00D65289">
                <w:rPr>
                  <w:rStyle w:val="Hyperlink"/>
                  <w:rFonts w:ascii="Arial" w:hAnsi="Arial" w:cs="Arial"/>
                  <w:b/>
                  <w:bCs/>
                  <w:sz w:val="16"/>
                  <w:szCs w:val="16"/>
                </w:rPr>
                <w:t>0</w:t>
              </w:r>
              <w:r w:rsidR="00D65289">
                <w:rPr>
                  <w:rStyle w:val="Hyperlink"/>
                  <w:rFonts w:ascii="Arial" w:hAnsi="Arial" w:cs="Arial"/>
                  <w:b/>
                  <w:bCs/>
                  <w:sz w:val="16"/>
                  <w:szCs w:val="16"/>
                </w:rPr>
                <w:t>0</w:t>
              </w:r>
              <w:r w:rsidR="00D65289">
                <w:rPr>
                  <w:rStyle w:val="Hyperlink"/>
                  <w:rFonts w:ascii="Arial" w:hAnsi="Arial" w:cs="Arial"/>
                  <w:b/>
                  <w:bCs/>
                  <w:sz w:val="16"/>
                  <w:szCs w:val="16"/>
                </w:rPr>
                <w:t>9966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3622CF" w:rsidP="00D65289">
            <w:pPr>
              <w:spacing w:after="0"/>
            </w:pPr>
            <w:hyperlink r:id="rId24"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3622CF" w:rsidP="00D65289">
            <w:pPr>
              <w:spacing w:after="0"/>
              <w:rPr>
                <w:rFonts w:ascii="Arial" w:hAnsi="Arial" w:cs="Arial"/>
                <w:b/>
                <w:bCs/>
                <w:color w:val="0000FF"/>
                <w:sz w:val="16"/>
                <w:szCs w:val="16"/>
                <w:u w:val="single"/>
              </w:rPr>
            </w:pPr>
            <w:hyperlink r:id="rId25"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bookmarkStart w:id="2" w:name="_GoBack"/>
      <w:bookmarkEnd w:id="2"/>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190084">
        <w:tc>
          <w:tcPr>
            <w:tcW w:w="1242" w:type="dxa"/>
          </w:tcPr>
          <w:p w14:paraId="5B13E89C" w14:textId="77777777" w:rsidR="00DD19DE" w:rsidRPr="00045592" w:rsidRDefault="00DD19DE" w:rsidP="0019008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19008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190084">
        <w:tc>
          <w:tcPr>
            <w:tcW w:w="1242" w:type="dxa"/>
          </w:tcPr>
          <w:p w14:paraId="6AB412D3" w14:textId="77777777" w:rsidR="00DD19DE" w:rsidRPr="003418CB" w:rsidRDefault="00DD19DE" w:rsidP="0019008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190084">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190084">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19008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190084">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24B4F67E" w14:textId="1B54C615" w:rsidR="00DD19DE" w:rsidRPr="003418CB" w:rsidRDefault="00DD19DE" w:rsidP="0019008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9008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90084">
            <w:pPr>
              <w:rPr>
                <w:rFonts w:eastAsiaTheme="minorEastAsia"/>
                <w:color w:val="0070C0"/>
                <w:lang w:val="en-US" w:eastAsia="zh-CN"/>
              </w:rPr>
            </w:pPr>
          </w:p>
        </w:tc>
        <w:tc>
          <w:tcPr>
            <w:tcW w:w="2932" w:type="dxa"/>
          </w:tcPr>
          <w:p w14:paraId="3284F0FC" w14:textId="77777777" w:rsidR="00962108" w:rsidRDefault="00962108" w:rsidP="00190084">
            <w:pPr>
              <w:spacing w:after="0"/>
              <w:rPr>
                <w:rFonts w:eastAsiaTheme="minorEastAsia"/>
                <w:color w:val="0070C0"/>
                <w:lang w:val="en-US" w:eastAsia="zh-CN"/>
              </w:rPr>
            </w:pPr>
          </w:p>
          <w:p w14:paraId="311DC24C" w14:textId="77777777" w:rsidR="00962108" w:rsidRDefault="00962108" w:rsidP="00190084">
            <w:pPr>
              <w:spacing w:after="0"/>
              <w:rPr>
                <w:rFonts w:eastAsiaTheme="minorEastAsia"/>
                <w:color w:val="0070C0"/>
                <w:lang w:val="en-US" w:eastAsia="zh-CN"/>
              </w:rPr>
            </w:pP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3622CF" w:rsidP="00D65289">
            <w:pPr>
              <w:rPr>
                <w:rFonts w:eastAsiaTheme="minorEastAsia"/>
                <w:color w:val="0070C0"/>
                <w:lang w:val="en-US" w:eastAsia="zh-CN"/>
              </w:rPr>
            </w:pPr>
            <w:hyperlink r:id="rId26" w:tgtFrame="_parent" w:history="1">
              <w:r w:rsidR="00D65289">
                <w:rPr>
                  <w:rStyle w:val="Hyperlink"/>
                  <w:rFonts w:ascii="Arial" w:hAnsi="Arial" w:cs="Arial"/>
                  <w:b/>
                  <w:bCs/>
                  <w:sz w:val="16"/>
                  <w:szCs w:val="16"/>
                </w:rPr>
                <w:t>R4-2010347</w:t>
              </w:r>
            </w:hyperlink>
          </w:p>
        </w:tc>
        <w:tc>
          <w:tcPr>
            <w:tcW w:w="8400" w:type="dxa"/>
          </w:tcPr>
          <w:p w14:paraId="230A7572" w14:textId="3969256F" w:rsidR="00D65289" w:rsidRP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tc>
      </w:tr>
      <w:tr w:rsidR="00D65289" w14:paraId="1A78B59A" w14:textId="77777777" w:rsidTr="00D65289">
        <w:tc>
          <w:tcPr>
            <w:tcW w:w="1231" w:type="dxa"/>
          </w:tcPr>
          <w:p w14:paraId="5F15DD46" w14:textId="06CC38DD" w:rsidR="00D65289" w:rsidRDefault="003622CF" w:rsidP="00D65289">
            <w:pPr>
              <w:rPr>
                <w:rFonts w:eastAsiaTheme="minorEastAsia"/>
                <w:color w:val="0070C0"/>
                <w:lang w:val="en-US" w:eastAsia="zh-CN"/>
              </w:rPr>
            </w:pPr>
            <w:hyperlink r:id="rId27" w:tgtFrame="_parent" w:history="1">
              <w:r w:rsidR="00D65289">
                <w:rPr>
                  <w:rStyle w:val="Hyperlink"/>
                  <w:rFonts w:ascii="Arial" w:hAnsi="Arial" w:cs="Arial"/>
                  <w:b/>
                  <w:bCs/>
                  <w:sz w:val="16"/>
                  <w:szCs w:val="16"/>
                </w:rPr>
                <w:t>R4-2011</w:t>
              </w:r>
              <w:r w:rsidR="00D65289">
                <w:rPr>
                  <w:rStyle w:val="Hyperlink"/>
                  <w:rFonts w:ascii="Arial" w:hAnsi="Arial" w:cs="Arial"/>
                  <w:b/>
                  <w:bCs/>
                  <w:sz w:val="16"/>
                  <w:szCs w:val="16"/>
                </w:rPr>
                <w:t>3</w:t>
              </w:r>
              <w:r w:rsidR="00D65289">
                <w:rPr>
                  <w:rStyle w:val="Hyperlink"/>
                  <w:rFonts w:ascii="Arial" w:hAnsi="Arial" w:cs="Arial"/>
                  <w:b/>
                  <w:bCs/>
                  <w:sz w:val="16"/>
                  <w:szCs w:val="16"/>
                </w:rPr>
                <w:t>46</w:t>
              </w:r>
            </w:hyperlink>
          </w:p>
        </w:tc>
        <w:tc>
          <w:tcPr>
            <w:tcW w:w="8400" w:type="dxa"/>
          </w:tcPr>
          <w:p w14:paraId="64D6AB5B" w14:textId="7E3579E0" w:rsidR="00D65289" w:rsidRP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135AB" w14:textId="77777777" w:rsidR="003622CF" w:rsidRDefault="003622CF">
      <w:r>
        <w:separator/>
      </w:r>
    </w:p>
  </w:endnote>
  <w:endnote w:type="continuationSeparator" w:id="0">
    <w:p w14:paraId="6D46A5B2" w14:textId="77777777" w:rsidR="003622CF" w:rsidRDefault="0036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CBC9C" w14:textId="77777777" w:rsidR="003622CF" w:rsidRDefault="003622CF">
      <w:r>
        <w:separator/>
      </w:r>
    </w:p>
  </w:footnote>
  <w:footnote w:type="continuationSeparator" w:id="0">
    <w:p w14:paraId="2FF59D87" w14:textId="77777777" w:rsidR="003622CF" w:rsidRDefault="00362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5"/>
  </w:num>
  <w:num w:numId="18">
    <w:abstractNumId w:val="4"/>
  </w:num>
  <w:num w:numId="19">
    <w:abstractNumId w:val="14"/>
  </w:num>
  <w:num w:numId="20">
    <w:abstractNumId w:val="9"/>
  </w:num>
  <w:num w:numId="21">
    <w:abstractNumId w:val="2"/>
  </w:num>
  <w:num w:numId="22">
    <w:abstractNumId w:val="12"/>
  </w:num>
  <w:num w:numId="23">
    <w:abstractNumId w:val="6"/>
  </w:num>
  <w:num w:numId="24">
    <w:abstractNumId w:val="10"/>
  </w:num>
  <w:num w:numId="25">
    <w:abstractNumId w:val="7"/>
  </w:num>
  <w:num w:numId="26">
    <w:abstractNumId w:val="13"/>
  </w:num>
  <w:num w:numId="27">
    <w:abstractNumId w:val="1"/>
  </w:num>
  <w:num w:numId="2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1CEC"/>
    <w:rsid w:val="00052041"/>
    <w:rsid w:val="0005326A"/>
    <w:rsid w:val="0006266D"/>
    <w:rsid w:val="00065506"/>
    <w:rsid w:val="0007382E"/>
    <w:rsid w:val="000766E1"/>
    <w:rsid w:val="00077FF6"/>
    <w:rsid w:val="00080D82"/>
    <w:rsid w:val="00081692"/>
    <w:rsid w:val="00082C46"/>
    <w:rsid w:val="00085A0E"/>
    <w:rsid w:val="00087548"/>
    <w:rsid w:val="00093E7E"/>
    <w:rsid w:val="0009641D"/>
    <w:rsid w:val="000A1830"/>
    <w:rsid w:val="000A278F"/>
    <w:rsid w:val="000A4121"/>
    <w:rsid w:val="000A4AA3"/>
    <w:rsid w:val="000A550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7BD6"/>
    <w:rsid w:val="001206C2"/>
    <w:rsid w:val="00121978"/>
    <w:rsid w:val="00123422"/>
    <w:rsid w:val="00123EA9"/>
    <w:rsid w:val="00124B6A"/>
    <w:rsid w:val="00136D4C"/>
    <w:rsid w:val="00142BB9"/>
    <w:rsid w:val="00144F96"/>
    <w:rsid w:val="00151EAC"/>
    <w:rsid w:val="00153528"/>
    <w:rsid w:val="00154E68"/>
    <w:rsid w:val="00162548"/>
    <w:rsid w:val="00172183"/>
    <w:rsid w:val="001751AB"/>
    <w:rsid w:val="00175A3F"/>
    <w:rsid w:val="00177F30"/>
    <w:rsid w:val="00180E09"/>
    <w:rsid w:val="00183D4C"/>
    <w:rsid w:val="00183F6D"/>
    <w:rsid w:val="0018670E"/>
    <w:rsid w:val="00190084"/>
    <w:rsid w:val="0019219A"/>
    <w:rsid w:val="00194C88"/>
    <w:rsid w:val="00195077"/>
    <w:rsid w:val="001A033F"/>
    <w:rsid w:val="001A08AA"/>
    <w:rsid w:val="001A357C"/>
    <w:rsid w:val="001A59CB"/>
    <w:rsid w:val="001C1409"/>
    <w:rsid w:val="001C2AE6"/>
    <w:rsid w:val="001C4A89"/>
    <w:rsid w:val="001C6177"/>
    <w:rsid w:val="001D0363"/>
    <w:rsid w:val="001D7D94"/>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875"/>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4BF7"/>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60D7"/>
    <w:rsid w:val="00336697"/>
    <w:rsid w:val="003418CB"/>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2180"/>
    <w:rsid w:val="00446408"/>
    <w:rsid w:val="00450F27"/>
    <w:rsid w:val="004510E5"/>
    <w:rsid w:val="00456A75"/>
    <w:rsid w:val="00456DB7"/>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CDC"/>
    <w:rsid w:val="004E2659"/>
    <w:rsid w:val="004E39EE"/>
    <w:rsid w:val="004E475C"/>
    <w:rsid w:val="004E56E0"/>
    <w:rsid w:val="004E7329"/>
    <w:rsid w:val="004F2CB0"/>
    <w:rsid w:val="004F422C"/>
    <w:rsid w:val="005017F7"/>
    <w:rsid w:val="00501FA7"/>
    <w:rsid w:val="005034DC"/>
    <w:rsid w:val="00505BFA"/>
    <w:rsid w:val="005071B4"/>
    <w:rsid w:val="00507687"/>
    <w:rsid w:val="005117A9"/>
    <w:rsid w:val="00511F57"/>
    <w:rsid w:val="00515CBE"/>
    <w:rsid w:val="00515E2B"/>
    <w:rsid w:val="00522A7E"/>
    <w:rsid w:val="00522F20"/>
    <w:rsid w:val="005251AB"/>
    <w:rsid w:val="005308DB"/>
    <w:rsid w:val="00530A2E"/>
    <w:rsid w:val="00530ABB"/>
    <w:rsid w:val="00530FBE"/>
    <w:rsid w:val="005339DB"/>
    <w:rsid w:val="00534C89"/>
    <w:rsid w:val="00541573"/>
    <w:rsid w:val="0054348A"/>
    <w:rsid w:val="00550A73"/>
    <w:rsid w:val="00571777"/>
    <w:rsid w:val="00573483"/>
    <w:rsid w:val="00580FF5"/>
    <w:rsid w:val="0058519C"/>
    <w:rsid w:val="005857AA"/>
    <w:rsid w:val="0059149A"/>
    <w:rsid w:val="005956EE"/>
    <w:rsid w:val="005A083E"/>
    <w:rsid w:val="005B40AA"/>
    <w:rsid w:val="005B4802"/>
    <w:rsid w:val="005C1EA6"/>
    <w:rsid w:val="005D0B99"/>
    <w:rsid w:val="005D308E"/>
    <w:rsid w:val="005D3A48"/>
    <w:rsid w:val="005D7032"/>
    <w:rsid w:val="005D7AF8"/>
    <w:rsid w:val="005E366A"/>
    <w:rsid w:val="005F2145"/>
    <w:rsid w:val="005F39F6"/>
    <w:rsid w:val="005F3A13"/>
    <w:rsid w:val="006016E1"/>
    <w:rsid w:val="00602D27"/>
    <w:rsid w:val="006144A1"/>
    <w:rsid w:val="00615EBB"/>
    <w:rsid w:val="00616096"/>
    <w:rsid w:val="006160A2"/>
    <w:rsid w:val="00617E90"/>
    <w:rsid w:val="006302AA"/>
    <w:rsid w:val="006363BD"/>
    <w:rsid w:val="006412DC"/>
    <w:rsid w:val="00642BC6"/>
    <w:rsid w:val="00644790"/>
    <w:rsid w:val="006501AF"/>
    <w:rsid w:val="00650DDE"/>
    <w:rsid w:val="006534F2"/>
    <w:rsid w:val="0065505B"/>
    <w:rsid w:val="006670AC"/>
    <w:rsid w:val="00672307"/>
    <w:rsid w:val="006808C6"/>
    <w:rsid w:val="00682668"/>
    <w:rsid w:val="00692A68"/>
    <w:rsid w:val="00695D85"/>
    <w:rsid w:val="006A30A2"/>
    <w:rsid w:val="006A6D23"/>
    <w:rsid w:val="006B05F7"/>
    <w:rsid w:val="006B25DE"/>
    <w:rsid w:val="006B3687"/>
    <w:rsid w:val="006C1C3B"/>
    <w:rsid w:val="006C4E43"/>
    <w:rsid w:val="006C643E"/>
    <w:rsid w:val="006D2932"/>
    <w:rsid w:val="006D3671"/>
    <w:rsid w:val="006D4240"/>
    <w:rsid w:val="006E0A73"/>
    <w:rsid w:val="006E0FEE"/>
    <w:rsid w:val="006E6C11"/>
    <w:rsid w:val="006F7C0C"/>
    <w:rsid w:val="00700755"/>
    <w:rsid w:val="007013EE"/>
    <w:rsid w:val="0070646B"/>
    <w:rsid w:val="007130A2"/>
    <w:rsid w:val="007131CC"/>
    <w:rsid w:val="00715463"/>
    <w:rsid w:val="00723988"/>
    <w:rsid w:val="0072404A"/>
    <w:rsid w:val="00730655"/>
    <w:rsid w:val="00731D77"/>
    <w:rsid w:val="00732360"/>
    <w:rsid w:val="0073390A"/>
    <w:rsid w:val="00734E64"/>
    <w:rsid w:val="00736B37"/>
    <w:rsid w:val="00740A35"/>
    <w:rsid w:val="00742E27"/>
    <w:rsid w:val="00750F81"/>
    <w:rsid w:val="007520B4"/>
    <w:rsid w:val="007655D5"/>
    <w:rsid w:val="007715C0"/>
    <w:rsid w:val="007763C1"/>
    <w:rsid w:val="00777E82"/>
    <w:rsid w:val="00781359"/>
    <w:rsid w:val="00786921"/>
    <w:rsid w:val="00797CAD"/>
    <w:rsid w:val="007A1EAA"/>
    <w:rsid w:val="007A79FD"/>
    <w:rsid w:val="007A7E39"/>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7062"/>
    <w:rsid w:val="007F0E1E"/>
    <w:rsid w:val="007F29A7"/>
    <w:rsid w:val="00805BE8"/>
    <w:rsid w:val="00816078"/>
    <w:rsid w:val="008177E3"/>
    <w:rsid w:val="00820956"/>
    <w:rsid w:val="00823AA9"/>
    <w:rsid w:val="008255B9"/>
    <w:rsid w:val="00825CD8"/>
    <w:rsid w:val="00827324"/>
    <w:rsid w:val="00837458"/>
    <w:rsid w:val="00837AAE"/>
    <w:rsid w:val="00842374"/>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7E6"/>
    <w:rsid w:val="00874C16"/>
    <w:rsid w:val="00883763"/>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F29A6"/>
    <w:rsid w:val="00A0758F"/>
    <w:rsid w:val="00A1002F"/>
    <w:rsid w:val="00A1570A"/>
    <w:rsid w:val="00A211B4"/>
    <w:rsid w:val="00A30D7B"/>
    <w:rsid w:val="00A33DDF"/>
    <w:rsid w:val="00A34547"/>
    <w:rsid w:val="00A376B7"/>
    <w:rsid w:val="00A41BF5"/>
    <w:rsid w:val="00A44778"/>
    <w:rsid w:val="00A469E7"/>
    <w:rsid w:val="00A478D8"/>
    <w:rsid w:val="00A604A4"/>
    <w:rsid w:val="00A61B7D"/>
    <w:rsid w:val="00A6605B"/>
    <w:rsid w:val="00A66ADC"/>
    <w:rsid w:val="00A7147D"/>
    <w:rsid w:val="00A742F4"/>
    <w:rsid w:val="00A81B15"/>
    <w:rsid w:val="00A837FF"/>
    <w:rsid w:val="00A84DC8"/>
    <w:rsid w:val="00A85DBC"/>
    <w:rsid w:val="00A87FEB"/>
    <w:rsid w:val="00A93F9F"/>
    <w:rsid w:val="00A9420E"/>
    <w:rsid w:val="00A97648"/>
    <w:rsid w:val="00AA1CFD"/>
    <w:rsid w:val="00AA2239"/>
    <w:rsid w:val="00AA33D2"/>
    <w:rsid w:val="00AB0C57"/>
    <w:rsid w:val="00AB1195"/>
    <w:rsid w:val="00AB3BA4"/>
    <w:rsid w:val="00AB4182"/>
    <w:rsid w:val="00AC26DC"/>
    <w:rsid w:val="00AC27DB"/>
    <w:rsid w:val="00AC6D6B"/>
    <w:rsid w:val="00AD52FA"/>
    <w:rsid w:val="00AD7736"/>
    <w:rsid w:val="00AE10CE"/>
    <w:rsid w:val="00AE70D4"/>
    <w:rsid w:val="00AE7868"/>
    <w:rsid w:val="00AF0407"/>
    <w:rsid w:val="00AF4D8B"/>
    <w:rsid w:val="00B12B26"/>
    <w:rsid w:val="00B163F8"/>
    <w:rsid w:val="00B2472D"/>
    <w:rsid w:val="00B24CA0"/>
    <w:rsid w:val="00B2549F"/>
    <w:rsid w:val="00B4108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2E94"/>
    <w:rsid w:val="00BF4EB8"/>
    <w:rsid w:val="00BF76F6"/>
    <w:rsid w:val="00C01D50"/>
    <w:rsid w:val="00C056DC"/>
    <w:rsid w:val="00C1329B"/>
    <w:rsid w:val="00C24C05"/>
    <w:rsid w:val="00C24D2F"/>
    <w:rsid w:val="00C26222"/>
    <w:rsid w:val="00C31283"/>
    <w:rsid w:val="00C33C48"/>
    <w:rsid w:val="00C340E5"/>
    <w:rsid w:val="00C35AA7"/>
    <w:rsid w:val="00C42C95"/>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979FB"/>
    <w:rsid w:val="00CA08C6"/>
    <w:rsid w:val="00CA0A77"/>
    <w:rsid w:val="00CA2729"/>
    <w:rsid w:val="00CA3057"/>
    <w:rsid w:val="00CA45F8"/>
    <w:rsid w:val="00CB0305"/>
    <w:rsid w:val="00CB33C7"/>
    <w:rsid w:val="00CB6DA7"/>
    <w:rsid w:val="00CB7E4C"/>
    <w:rsid w:val="00CC25B4"/>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11359"/>
    <w:rsid w:val="00D161DE"/>
    <w:rsid w:val="00D23A0C"/>
    <w:rsid w:val="00D3188C"/>
    <w:rsid w:val="00D35F9B"/>
    <w:rsid w:val="00D361CC"/>
    <w:rsid w:val="00D36B69"/>
    <w:rsid w:val="00D408DD"/>
    <w:rsid w:val="00D41B8A"/>
    <w:rsid w:val="00D45D72"/>
    <w:rsid w:val="00D520E4"/>
    <w:rsid w:val="00D53A38"/>
    <w:rsid w:val="00D575DD"/>
    <w:rsid w:val="00D57DFA"/>
    <w:rsid w:val="00D638E9"/>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500"/>
    <w:rsid w:val="00DC77DC"/>
    <w:rsid w:val="00DD0453"/>
    <w:rsid w:val="00DD0988"/>
    <w:rsid w:val="00DD0C2C"/>
    <w:rsid w:val="00DD19DE"/>
    <w:rsid w:val="00DD28BC"/>
    <w:rsid w:val="00DE31F0"/>
    <w:rsid w:val="00DE3D1C"/>
    <w:rsid w:val="00DF147F"/>
    <w:rsid w:val="00E0227D"/>
    <w:rsid w:val="00E04B84"/>
    <w:rsid w:val="00E06466"/>
    <w:rsid w:val="00E06FDA"/>
    <w:rsid w:val="00E160A5"/>
    <w:rsid w:val="00E1713D"/>
    <w:rsid w:val="00E20A43"/>
    <w:rsid w:val="00E23898"/>
    <w:rsid w:val="00E274F9"/>
    <w:rsid w:val="00E319F1"/>
    <w:rsid w:val="00E3287B"/>
    <w:rsid w:val="00E33CD2"/>
    <w:rsid w:val="00E40E90"/>
    <w:rsid w:val="00E45459"/>
    <w:rsid w:val="00E45C7E"/>
    <w:rsid w:val="00E50374"/>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392F"/>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ABE"/>
    <w:rsid w:val="00F53FE2"/>
    <w:rsid w:val="00F575FF"/>
    <w:rsid w:val="00F60A4D"/>
    <w:rsid w:val="00F618EF"/>
    <w:rsid w:val="00F65582"/>
    <w:rsid w:val="00F66E75"/>
    <w:rsid w:val="00F77EB0"/>
    <w:rsid w:val="00F852B1"/>
    <w:rsid w:val="00F87AFE"/>
    <w:rsid w:val="00F87CDD"/>
    <w:rsid w:val="00F933F0"/>
    <w:rsid w:val="00F937A3"/>
    <w:rsid w:val="00F94715"/>
    <w:rsid w:val="00F96A3D"/>
    <w:rsid w:val="00FA4718"/>
    <w:rsid w:val="00FA5848"/>
    <w:rsid w:val="00FA7F3D"/>
    <w:rsid w:val="00FB3476"/>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497.zip" TargetMode="External"/><Relationship Id="rId18" Type="http://schemas.openxmlformats.org/officeDocument/2006/relationships/hyperlink" Target="http://ftp.3gpp.org/TSG_RAN/WG4_Radio/TSGR4_96_e/Docs/R4-2010671.zip" TargetMode="External"/><Relationship Id="rId26" Type="http://schemas.openxmlformats.org/officeDocument/2006/relationships/hyperlink" Target="http://ftp.3gpp.org/TSG_RAN/WG4_Radio/TSGR4_96_e/Docs/R4-2010347.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345.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344.zip" TargetMode="External"/><Relationship Id="rId17" Type="http://schemas.openxmlformats.org/officeDocument/2006/relationships/hyperlink" Target="http://ftp.3gpp.org/TSG_RAN/WG4_Radio/TSGR4_96_e/Docs/R4-2009934.zip" TargetMode="External"/><Relationship Id="rId25" Type="http://schemas.openxmlformats.org/officeDocument/2006/relationships/hyperlink" Target="http://ftp.3gpp.org/TSG_RAN/WG4_Radio/TSGR4_96_e/Docs/R4-201049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11345.zip" TargetMode="External"/><Relationship Id="rId20" Type="http://schemas.openxmlformats.org/officeDocument/2006/relationships/hyperlink" Target="http://ftp.3gpp.org/TSG_RAN/WG4_Radio/TSGR4_96_e/Docs/R4-2010740.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34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4.zip" TargetMode="External"/><Relationship Id="rId23" Type="http://schemas.openxmlformats.org/officeDocument/2006/relationships/hyperlink" Target="http://ftp.3gpp.org/TSG_RAN/WG4_Radio/TSGR4_96_e/Docs/R4-2009966.zip" TargetMode="External"/><Relationship Id="rId28" Type="http://schemas.openxmlformats.org/officeDocument/2006/relationships/fontTable" Target="fontTable.xm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0586.zip" TargetMode="External"/><Relationship Id="rId22" Type="http://schemas.openxmlformats.org/officeDocument/2006/relationships/hyperlink" Target="http://ftp.3gpp.org/TSG_RAN/WG4_Radio/TSGR4_96_e/Docs/R4-2011347.zip" TargetMode="External"/><Relationship Id="rId27" Type="http://schemas.openxmlformats.org/officeDocument/2006/relationships/hyperlink" Target="http://ftp.3gpp.org/TSG_RAN/WG4_Radio/TSGR4_96_e/Docs/R4-20113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0419F-D724-4616-8E43-C5705637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418</TotalTime>
  <Pages>8</Pages>
  <Words>2859</Words>
  <Characters>16300</Characters>
  <Application>Microsoft Office Word</Application>
  <DocSecurity>0</DocSecurity>
  <Lines>135</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17</cp:revision>
  <cp:lastPrinted>2019-04-25T01:09:00Z</cp:lastPrinted>
  <dcterms:created xsi:type="dcterms:W3CDTF">2020-05-22T13:55:00Z</dcterms:created>
  <dcterms:modified xsi:type="dcterms:W3CDTF">2020-08-13T17:33:00Z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