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4CF7DBB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93BD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3GPP TSG RAN</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53363C">
        <w:rPr>
          <w:rFonts w:ascii="Arial" w:hAnsi="Arial" w:cs="Arial"/>
          <w:b/>
          <w:kern w:val="2"/>
          <w:lang w:eastAsia="zh-CN"/>
        </w:rPr>
        <w:t>5</w:t>
      </w:r>
      <w:r w:rsidR="002E7F98">
        <w:rPr>
          <w:rFonts w:ascii="Arial" w:hAnsi="Arial" w:cs="Arial"/>
          <w:b/>
          <w:kern w:val="2"/>
          <w:lang w:eastAsia="zh-CN"/>
        </w:rPr>
        <w:t>-e</w:t>
      </w:r>
      <w:r w:rsidR="00972929" w:rsidRPr="00D74B92">
        <w:rPr>
          <w:rFonts w:ascii="Arial" w:hAnsi="Arial" w:cs="Arial"/>
          <w:b/>
          <w:kern w:val="2"/>
          <w:lang w:eastAsia="zh-CN"/>
        </w:rPr>
        <w:tab/>
      </w:r>
      <w:r w:rsidR="00453606" w:rsidRPr="00453606">
        <w:rPr>
          <w:rFonts w:ascii="Arial" w:hAnsi="Arial" w:cs="Arial"/>
          <w:b/>
          <w:kern w:val="2"/>
          <w:lang w:eastAsia="zh-CN"/>
        </w:rPr>
        <w:t>R4-2006735</w:t>
      </w:r>
    </w:p>
    <w:p w14:paraId="2A9D85E6" w14:textId="002D0BAD" w:rsidR="009C0564" w:rsidRPr="007F5EC6" w:rsidRDefault="002E7F98" w:rsidP="00DA0712">
      <w:pPr>
        <w:jc w:val="left"/>
        <w:rPr>
          <w:rFonts w:ascii="Arial" w:hAnsi="Arial" w:cs="Arial"/>
          <w:b/>
          <w:kern w:val="2"/>
          <w:lang w:eastAsia="zh-CN"/>
        </w:rPr>
      </w:pPr>
      <w:r>
        <w:rPr>
          <w:rFonts w:ascii="Arial" w:hAnsi="Arial" w:cs="Arial"/>
          <w:b/>
          <w:kern w:val="2"/>
          <w:lang w:eastAsia="zh-CN"/>
        </w:rPr>
        <w:t>Electronic meeting</w:t>
      </w:r>
      <w:r w:rsidR="00365129">
        <w:rPr>
          <w:rFonts w:ascii="Arial" w:hAnsi="Arial" w:cs="Arial"/>
          <w:b/>
          <w:kern w:val="2"/>
          <w:lang w:eastAsia="zh-CN"/>
        </w:rPr>
        <w:t xml:space="preserve">, </w:t>
      </w:r>
      <w:r w:rsidR="0053363C">
        <w:rPr>
          <w:rFonts w:ascii="Arial" w:hAnsi="Arial" w:cs="Arial"/>
          <w:b/>
          <w:kern w:val="2"/>
          <w:lang w:eastAsia="zh-CN"/>
        </w:rPr>
        <w:t xml:space="preserve">May </w:t>
      </w:r>
      <w:r w:rsidR="007A3D38">
        <w:rPr>
          <w:rFonts w:ascii="Arial" w:hAnsi="Arial" w:cs="Arial"/>
          <w:b/>
          <w:kern w:val="2"/>
          <w:lang w:eastAsia="zh-CN"/>
        </w:rPr>
        <w:t>25</w:t>
      </w:r>
      <w:r w:rsidR="0053363C">
        <w:rPr>
          <w:rFonts w:ascii="Arial" w:hAnsi="Arial" w:cs="Arial"/>
          <w:b/>
          <w:kern w:val="2"/>
          <w:lang w:eastAsia="zh-CN"/>
        </w:rPr>
        <w:t xml:space="preserve">-June </w:t>
      </w:r>
      <w:r w:rsidR="007A3D38">
        <w:rPr>
          <w:rFonts w:ascii="Arial" w:hAnsi="Arial" w:cs="Arial"/>
          <w:b/>
          <w:kern w:val="2"/>
          <w:lang w:eastAsia="zh-CN"/>
        </w:rPr>
        <w:t>5</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20</w:t>
      </w:r>
    </w:p>
    <w:p w14:paraId="7826937B" w14:textId="35F3420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A3D38">
        <w:rPr>
          <w:rFonts w:ascii="Arial" w:hAnsi="Arial" w:cs="Arial"/>
          <w:b/>
          <w:lang w:eastAsia="zh-CN"/>
        </w:rPr>
        <w:t>6.14.1.1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F54CB0">
        <w:rPr>
          <w:rFonts w:ascii="Arial" w:hAnsi="Arial" w:cs="Arial"/>
          <w:b/>
          <w:bCs/>
          <w:caps/>
          <w:szCs w:val="24"/>
          <w:shd w:val="clear" w:color="auto" w:fill="FFFFFF"/>
        </w:rPr>
        <w:t>Futurewei</w:t>
      </w:r>
    </w:p>
    <w:p w14:paraId="592199C5" w14:textId="09F821C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C136B" w:rsidRPr="004C136B">
        <w:rPr>
          <w:rFonts w:ascii="Arial" w:hAnsi="Arial" w:cs="Arial"/>
          <w:b/>
          <w:lang w:eastAsia="zh-CN"/>
        </w:rPr>
        <w:t xml:space="preserve">Discussion about </w:t>
      </w:r>
      <w:r w:rsidR="004C136B">
        <w:rPr>
          <w:rFonts w:ascii="Arial" w:hAnsi="Arial" w:cs="Arial"/>
          <w:b/>
          <w:lang w:eastAsia="zh-CN"/>
        </w:rPr>
        <w:t xml:space="preserve">triggers for </w:t>
      </w:r>
      <w:r w:rsidR="003831DE">
        <w:rPr>
          <w:rFonts w:ascii="Arial" w:hAnsi="Arial" w:cs="Arial"/>
          <w:b/>
          <w:lang w:eastAsia="zh-CN"/>
        </w:rPr>
        <w:t>P-MPR</w:t>
      </w:r>
      <w:r w:rsidR="004C136B" w:rsidRPr="004C136B">
        <w:rPr>
          <w:rFonts w:ascii="Arial" w:hAnsi="Arial" w:cs="Arial"/>
          <w:b/>
          <w:lang w:eastAsia="zh-CN"/>
        </w:rPr>
        <w:t xml:space="preserve"> </w:t>
      </w:r>
      <w:r w:rsidR="004C136B">
        <w:rPr>
          <w:rFonts w:ascii="Arial" w:hAnsi="Arial" w:cs="Arial"/>
          <w:b/>
          <w:lang w:eastAsia="zh-CN"/>
        </w:rPr>
        <w:t>reporting</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674FAFF7" w14:textId="1E866E8D" w:rsidR="00A249CA" w:rsidRDefault="00A249CA" w:rsidP="00A249CA">
      <w:r>
        <w:t>In RAN4#94</w:t>
      </w:r>
      <w:r w:rsidR="0053363C">
        <w:t>B</w:t>
      </w:r>
      <w:r>
        <w:t xml:space="preserve">-e, </w:t>
      </w:r>
      <w:r w:rsidR="00AF3B9C">
        <w:t>extensive discussions about how to signal P-MPR for MPE</w:t>
      </w:r>
      <w:r w:rsidR="00916EB0">
        <w:t xml:space="preserve"> led to</w:t>
      </w:r>
      <w:r w:rsidR="00AF3B9C">
        <w:t xml:space="preserve"> </w:t>
      </w:r>
      <w:r>
        <w:t xml:space="preserve">WF </w:t>
      </w:r>
      <w:r w:rsidR="0053363C">
        <w:fldChar w:fldCharType="begin"/>
      </w:r>
      <w:r w:rsidR="0053363C">
        <w:instrText xml:space="preserve"> REF _Ref29298392 \r \h </w:instrText>
      </w:r>
      <w:r w:rsidR="0053363C">
        <w:fldChar w:fldCharType="separate"/>
      </w:r>
      <w:r w:rsidR="0053363C">
        <w:t>[1]</w:t>
      </w:r>
      <w:r w:rsidR="0053363C">
        <w:fldChar w:fldCharType="end"/>
      </w:r>
      <w:r>
        <w:t xml:space="preserve"> </w:t>
      </w:r>
      <w:r w:rsidR="00AF3B9C">
        <w:t xml:space="preserve">and LS </w:t>
      </w:r>
      <w:r w:rsidR="00AF3B9C">
        <w:fldChar w:fldCharType="begin"/>
      </w:r>
      <w:r w:rsidR="00AF3B9C">
        <w:instrText xml:space="preserve"> REF _Ref40162996 \r \h </w:instrText>
      </w:r>
      <w:r w:rsidR="00AF3B9C">
        <w:fldChar w:fldCharType="separate"/>
      </w:r>
      <w:r w:rsidR="00AF3B9C">
        <w:t>[2]</w:t>
      </w:r>
      <w:r w:rsidR="00AF3B9C">
        <w:fldChar w:fldCharType="end"/>
      </w:r>
      <w:r w:rsidR="008F4565">
        <w:t>.</w:t>
      </w:r>
      <w:r w:rsidR="00AF3B9C">
        <w:t xml:space="preserve"> </w:t>
      </w:r>
      <w:r w:rsidR="00916EB0">
        <w:t>While t</w:t>
      </w:r>
      <w:r w:rsidR="00AF3B9C">
        <w:t xml:space="preserve">here are </w:t>
      </w:r>
      <w:r w:rsidR="00101CF0">
        <w:t>some</w:t>
      </w:r>
      <w:r w:rsidR="00AF3B9C">
        <w:t xml:space="preserve"> open issues to resolve</w:t>
      </w:r>
      <w:r w:rsidR="00916EB0">
        <w:t xml:space="preserve">, the basic framework </w:t>
      </w:r>
      <w:r w:rsidR="008F4565">
        <w:t xml:space="preserve">for P-MPR reporting </w:t>
      </w:r>
      <w:r w:rsidR="00916EB0">
        <w:t>is in place</w:t>
      </w:r>
      <w:r w:rsidR="00AF3B9C">
        <w:t>. This contribution</w:t>
      </w:r>
      <w:r w:rsidR="004C136B">
        <w:t xml:space="preserve"> provides proposals to address </w:t>
      </w:r>
      <w:r w:rsidR="00101CF0">
        <w:t>several</w:t>
      </w:r>
      <w:r w:rsidR="004C136B">
        <w:t xml:space="preserve"> open issues.</w:t>
      </w:r>
    </w:p>
    <w:p w14:paraId="35954F20" w14:textId="03F16C8C" w:rsidR="00816E9B" w:rsidRDefault="00B965CB" w:rsidP="00A26C0A">
      <w:pPr>
        <w:pStyle w:val="Heading1"/>
      </w:pPr>
      <w:r w:rsidRPr="00B965CB">
        <w:t>Discussion</w:t>
      </w:r>
    </w:p>
    <w:p w14:paraId="6A3D8233" w14:textId="6FCB4FB9" w:rsidR="00D97326" w:rsidRDefault="00D97326" w:rsidP="00D97326">
      <w:pPr>
        <w:pStyle w:val="Heading2"/>
      </w:pPr>
      <w:r>
        <w:t>Background</w:t>
      </w:r>
    </w:p>
    <w:p w14:paraId="5FDDE517" w14:textId="12AA0729" w:rsidR="00147A1D" w:rsidRDefault="0053363C" w:rsidP="00147A1D">
      <w:r>
        <w:t xml:space="preserve">The </w:t>
      </w:r>
      <w:r w:rsidR="004C136B">
        <w:t xml:space="preserve">key parts of </w:t>
      </w:r>
      <w:r w:rsidR="00D420D0">
        <w:t>LS</w:t>
      </w:r>
      <w:r w:rsidR="005978CA">
        <w:t xml:space="preserve"> </w:t>
      </w:r>
      <w:r w:rsidR="00D420D0">
        <w:fldChar w:fldCharType="begin"/>
      </w:r>
      <w:r w:rsidR="00D420D0">
        <w:instrText xml:space="preserve"> REF _Ref40162996 \r \h </w:instrText>
      </w:r>
      <w:r w:rsidR="00D420D0">
        <w:fldChar w:fldCharType="separate"/>
      </w:r>
      <w:r w:rsidR="00D420D0">
        <w:t>[2]</w:t>
      </w:r>
      <w:r w:rsidR="00D420D0">
        <w:fldChar w:fldCharType="end"/>
      </w:r>
      <w:r w:rsidR="005978CA">
        <w:t xml:space="preserve"> </w:t>
      </w:r>
      <w:r w:rsidR="004C136B">
        <w:t xml:space="preserve">are </w:t>
      </w:r>
      <w:r w:rsidR="005978CA">
        <w:t>listed below.</w:t>
      </w:r>
      <w:r w:rsidR="00916EB0">
        <w:t xml:space="preserve"> Yellow highlight</w:t>
      </w:r>
      <w:r w:rsidR="00BD04BB">
        <w:t>ing</w:t>
      </w:r>
      <w:r w:rsidR="00916EB0">
        <w:t xml:space="preserve"> </w:t>
      </w:r>
      <w:r w:rsidR="00BD04BB">
        <w:t>indicates</w:t>
      </w:r>
      <w:r w:rsidR="00916EB0">
        <w:t xml:space="preserve"> </w:t>
      </w:r>
      <w:r w:rsidR="008F4565">
        <w:t xml:space="preserve">some of the </w:t>
      </w:r>
      <w:r w:rsidR="00916EB0">
        <w:t>open issues.</w:t>
      </w:r>
    </w:p>
    <w:p w14:paraId="2C64298C" w14:textId="77777777" w:rsidR="00D420D0" w:rsidRPr="008D5B83" w:rsidRDefault="00D420D0" w:rsidP="008D5B83">
      <w:pPr>
        <w:pStyle w:val="ListParagraph"/>
        <w:numPr>
          <w:ilvl w:val="0"/>
          <w:numId w:val="31"/>
        </w:numPr>
        <w:ind w:left="720"/>
        <w:rPr>
          <w:i/>
          <w:iCs/>
          <w:sz w:val="20"/>
          <w:szCs w:val="20"/>
        </w:rPr>
      </w:pPr>
      <w:bookmarkStart w:id="2" w:name="_Hlk40193239"/>
      <w:r w:rsidRPr="008D5B83">
        <w:rPr>
          <w:i/>
          <w:iCs/>
          <w:sz w:val="20"/>
          <w:szCs w:val="20"/>
        </w:rPr>
        <w:t>Network configured threshold</w:t>
      </w:r>
      <w:bookmarkEnd w:id="2"/>
      <w:r w:rsidRPr="008D5B83">
        <w:rPr>
          <w:i/>
          <w:iCs/>
          <w:sz w:val="20"/>
          <w:szCs w:val="20"/>
        </w:rPr>
        <w:t xml:space="preserve"> for event-triggered FR2 MPE P-MPR reporting is defined based P-MPR being higher than a configurable threshold. </w:t>
      </w:r>
      <w:r w:rsidRPr="00916EB0">
        <w:rPr>
          <w:i/>
          <w:iCs/>
          <w:sz w:val="20"/>
          <w:szCs w:val="20"/>
          <w:highlight w:val="yellow"/>
        </w:rPr>
        <w:t>Whether an additionally relative threshold will be defined</w:t>
      </w:r>
      <w:r w:rsidRPr="008D5B83">
        <w:rPr>
          <w:i/>
          <w:iCs/>
          <w:sz w:val="20"/>
          <w:szCs w:val="20"/>
        </w:rPr>
        <w:t xml:space="preserve"> is still under discussion in RAN4 and RAN4 will inform RAN2 the outcome in the following meeting</w:t>
      </w:r>
    </w:p>
    <w:p w14:paraId="199ABA27" w14:textId="77777777" w:rsidR="00D420D0" w:rsidRPr="008D5B83" w:rsidRDefault="00D420D0" w:rsidP="008D5B83">
      <w:pPr>
        <w:pStyle w:val="ListParagraph"/>
        <w:numPr>
          <w:ilvl w:val="0"/>
          <w:numId w:val="31"/>
        </w:numPr>
        <w:ind w:left="720"/>
        <w:rPr>
          <w:i/>
          <w:iCs/>
          <w:sz w:val="20"/>
          <w:szCs w:val="20"/>
        </w:rPr>
      </w:pPr>
      <w:r w:rsidRPr="00916EB0">
        <w:rPr>
          <w:i/>
          <w:iCs/>
          <w:sz w:val="20"/>
          <w:szCs w:val="20"/>
          <w:highlight w:val="yellow"/>
        </w:rPr>
        <w:t>P-MPR reporting range and reporting granularity will be defined</w:t>
      </w:r>
      <w:r w:rsidRPr="008D5B83">
        <w:rPr>
          <w:i/>
          <w:iCs/>
          <w:sz w:val="20"/>
          <w:szCs w:val="20"/>
        </w:rPr>
        <w:t xml:space="preserve"> in the next RAN4 meeting using [2…5] bits. RAN4 will inform RAN2 the exact reporting range and reporting granularity in its next meeting. </w:t>
      </w:r>
    </w:p>
    <w:p w14:paraId="5FE4246C" w14:textId="77777777" w:rsidR="00D420D0" w:rsidRPr="008D5B83" w:rsidRDefault="00D420D0" w:rsidP="008D5B83">
      <w:pPr>
        <w:pStyle w:val="ListParagraph"/>
        <w:numPr>
          <w:ilvl w:val="0"/>
          <w:numId w:val="31"/>
        </w:numPr>
        <w:ind w:left="720"/>
        <w:rPr>
          <w:i/>
          <w:iCs/>
          <w:sz w:val="20"/>
          <w:szCs w:val="20"/>
        </w:rPr>
      </w:pPr>
      <w:r w:rsidRPr="008D5B83">
        <w:rPr>
          <w:i/>
          <w:iCs/>
          <w:sz w:val="20"/>
          <w:szCs w:val="20"/>
        </w:rPr>
        <w:t xml:space="preserve">P-MPR is reported by the UE after or on the grant and the exact details are up to UE implementation. </w:t>
      </w:r>
    </w:p>
    <w:p w14:paraId="6EC63E82" w14:textId="6C697389" w:rsidR="008D5B83" w:rsidRDefault="008D5B83" w:rsidP="008D5B83">
      <w:r>
        <w:t xml:space="preserve">Note </w:t>
      </w:r>
      <w:r w:rsidR="004C136B">
        <w:t xml:space="preserve">key parts from </w:t>
      </w:r>
      <w:r w:rsidR="00BD04BB">
        <w:t>an earlier</w:t>
      </w:r>
      <w:r w:rsidR="004C136B">
        <w:t xml:space="preserve"> earlier</w:t>
      </w:r>
      <w:r>
        <w:t xml:space="preserve"> LS </w:t>
      </w:r>
      <w:r>
        <w:fldChar w:fldCharType="begin"/>
      </w:r>
      <w:r>
        <w:instrText xml:space="preserve"> REF _Ref40171614 \r \h </w:instrText>
      </w:r>
      <w:r>
        <w:fldChar w:fldCharType="separate"/>
      </w:r>
      <w:r>
        <w:t>[3]</w:t>
      </w:r>
      <w:r>
        <w:fldChar w:fldCharType="end"/>
      </w:r>
      <w:r>
        <w:t xml:space="preserve"> </w:t>
      </w:r>
      <w:r w:rsidR="004C136B">
        <w:t>(RAN4#94) stated</w:t>
      </w:r>
    </w:p>
    <w:p w14:paraId="4658E601" w14:textId="77777777" w:rsidR="008D5B83" w:rsidRPr="008D5B83" w:rsidRDefault="008D5B83" w:rsidP="008D5B83">
      <w:pPr>
        <w:pStyle w:val="ListParagraph"/>
        <w:numPr>
          <w:ilvl w:val="0"/>
          <w:numId w:val="29"/>
        </w:numPr>
        <w:rPr>
          <w:i/>
          <w:iCs/>
          <w:sz w:val="20"/>
          <w:szCs w:val="20"/>
        </w:rPr>
      </w:pPr>
      <w:r w:rsidRPr="008D5B83">
        <w:rPr>
          <w:i/>
          <w:iCs/>
          <w:sz w:val="20"/>
          <w:szCs w:val="20"/>
        </w:rPr>
        <w:t xml:space="preserve">at least UE’s P-MPR based event-triggered reporting including also reporting of the actual P-MPR level that UE needs for FR2 MPE reasons. </w:t>
      </w:r>
    </w:p>
    <w:p w14:paraId="5B7C9A0A" w14:textId="77777777" w:rsidR="008D5B83" w:rsidRPr="008D5B83" w:rsidRDefault="008D5B83" w:rsidP="008D5B83">
      <w:pPr>
        <w:pStyle w:val="ListParagraph"/>
        <w:numPr>
          <w:ilvl w:val="0"/>
          <w:numId w:val="29"/>
        </w:numPr>
        <w:rPr>
          <w:i/>
          <w:iCs/>
          <w:sz w:val="20"/>
          <w:szCs w:val="20"/>
        </w:rPr>
      </w:pPr>
      <w:r w:rsidRPr="008D5B83">
        <w:rPr>
          <w:i/>
          <w:iCs/>
          <w:sz w:val="20"/>
          <w:szCs w:val="20"/>
        </w:rPr>
        <w:t xml:space="preserve">Network configurable P-MPR reporting threshold </w:t>
      </w:r>
    </w:p>
    <w:p w14:paraId="562E5E21" w14:textId="77777777" w:rsidR="008D5B83" w:rsidRPr="008D5B83" w:rsidRDefault="008D5B83" w:rsidP="008D5B83">
      <w:pPr>
        <w:pStyle w:val="ListParagraph"/>
        <w:numPr>
          <w:ilvl w:val="0"/>
          <w:numId w:val="29"/>
        </w:numPr>
        <w:rPr>
          <w:i/>
          <w:iCs/>
          <w:sz w:val="20"/>
          <w:szCs w:val="20"/>
        </w:rPr>
      </w:pPr>
      <w:r w:rsidRPr="008D5B83">
        <w:rPr>
          <w:i/>
          <w:iCs/>
          <w:sz w:val="20"/>
          <w:szCs w:val="20"/>
        </w:rPr>
        <w:t>A prohibit timer is enabled to be configured by network to trigger the P-MPR reporting</w:t>
      </w:r>
    </w:p>
    <w:p w14:paraId="4BDDF26D" w14:textId="77777777" w:rsidR="008D5B83" w:rsidRPr="008D5B83" w:rsidRDefault="008D5B83" w:rsidP="008D5B83">
      <w:pPr>
        <w:pStyle w:val="ListParagraph"/>
        <w:numPr>
          <w:ilvl w:val="0"/>
          <w:numId w:val="29"/>
        </w:numPr>
        <w:rPr>
          <w:i/>
          <w:iCs/>
          <w:sz w:val="20"/>
          <w:szCs w:val="20"/>
        </w:rPr>
      </w:pPr>
      <w:r w:rsidRPr="008D5B83">
        <w:rPr>
          <w:i/>
          <w:iCs/>
          <w:sz w:val="20"/>
          <w:szCs w:val="20"/>
        </w:rPr>
        <w:t>P-MPR reporting range and reporting granularity are still under discussion in RAN4.</w:t>
      </w:r>
    </w:p>
    <w:p w14:paraId="35032032" w14:textId="6729B1E4" w:rsidR="006772A6" w:rsidRDefault="004C136B" w:rsidP="00147A1D">
      <w:r>
        <w:t xml:space="preserve">In addition to agreements captured in the LS </w:t>
      </w:r>
      <w:r>
        <w:fldChar w:fldCharType="begin"/>
      </w:r>
      <w:r>
        <w:instrText xml:space="preserve"> REF _Ref40162996 \r \h </w:instrText>
      </w:r>
      <w:r>
        <w:fldChar w:fldCharType="separate"/>
      </w:r>
      <w:r>
        <w:t>[2]</w:t>
      </w:r>
      <w:r>
        <w:fldChar w:fldCharType="end"/>
      </w:r>
      <w:r>
        <w:t xml:space="preserve">, the </w:t>
      </w:r>
      <w:r w:rsidR="006772A6">
        <w:t xml:space="preserve">WF </w:t>
      </w:r>
      <w:r w:rsidR="008D5B83">
        <w:fldChar w:fldCharType="begin"/>
      </w:r>
      <w:r w:rsidR="008D5B83">
        <w:instrText xml:space="preserve"> REF _Ref29298392 \r \h </w:instrText>
      </w:r>
      <w:r w:rsidR="008D5B83">
        <w:fldChar w:fldCharType="separate"/>
      </w:r>
      <w:r w:rsidR="008D5B83">
        <w:t>[1]</w:t>
      </w:r>
      <w:r w:rsidR="008D5B83">
        <w:fldChar w:fldCharType="end"/>
      </w:r>
      <w:r w:rsidR="008D5B83">
        <w:t xml:space="preserve"> </w:t>
      </w:r>
      <w:r w:rsidR="006772A6">
        <w:t>lists other topics</w:t>
      </w:r>
    </w:p>
    <w:p w14:paraId="08487612" w14:textId="1CDCABC9" w:rsidR="006772A6" w:rsidRPr="008D5B83" w:rsidRDefault="006772A6" w:rsidP="006772A6">
      <w:pPr>
        <w:pStyle w:val="ListParagraph"/>
        <w:numPr>
          <w:ilvl w:val="0"/>
          <w:numId w:val="29"/>
        </w:numPr>
        <w:rPr>
          <w:i/>
          <w:iCs/>
          <w:sz w:val="20"/>
          <w:szCs w:val="20"/>
        </w:rPr>
      </w:pPr>
      <w:r w:rsidRPr="00916EB0">
        <w:rPr>
          <w:i/>
          <w:iCs/>
          <w:sz w:val="20"/>
          <w:szCs w:val="20"/>
          <w:highlight w:val="yellow"/>
        </w:rPr>
        <w:t xml:space="preserve">Periodic reporting: </w:t>
      </w:r>
      <w:r w:rsidRPr="00916EB0">
        <w:rPr>
          <w:i/>
          <w:iCs/>
          <w:sz w:val="20"/>
          <w:szCs w:val="20"/>
          <w:highlight w:val="yellow"/>
          <w:lang w:val="en-US"/>
        </w:rPr>
        <w:t>Regarding “Whether periodic reporting is needed”</w:t>
      </w:r>
      <w:r w:rsidRPr="008D5B83">
        <w:rPr>
          <w:i/>
          <w:iCs/>
          <w:sz w:val="20"/>
          <w:szCs w:val="20"/>
          <w:lang w:val="en-US"/>
        </w:rPr>
        <w:t>,</w:t>
      </w:r>
    </w:p>
    <w:p w14:paraId="67F11FA6" w14:textId="77777777" w:rsidR="006772A6" w:rsidRPr="006772A6" w:rsidRDefault="006772A6" w:rsidP="006772A6">
      <w:pPr>
        <w:numPr>
          <w:ilvl w:val="1"/>
          <w:numId w:val="29"/>
        </w:numPr>
        <w:rPr>
          <w:i/>
          <w:iCs/>
          <w:sz w:val="20"/>
          <w:szCs w:val="20"/>
        </w:rPr>
      </w:pPr>
      <w:r w:rsidRPr="006772A6">
        <w:rPr>
          <w:i/>
          <w:iCs/>
          <w:sz w:val="20"/>
          <w:szCs w:val="20"/>
        </w:rPr>
        <w:t>Option 1: No, only event triggered reporting is enough</w:t>
      </w:r>
    </w:p>
    <w:p w14:paraId="285801F1" w14:textId="77777777" w:rsidR="006772A6" w:rsidRPr="006772A6" w:rsidRDefault="006772A6" w:rsidP="006772A6">
      <w:pPr>
        <w:numPr>
          <w:ilvl w:val="1"/>
          <w:numId w:val="29"/>
        </w:numPr>
        <w:rPr>
          <w:i/>
          <w:iCs/>
          <w:sz w:val="20"/>
          <w:szCs w:val="20"/>
        </w:rPr>
      </w:pPr>
      <w:r w:rsidRPr="006772A6">
        <w:rPr>
          <w:i/>
          <w:iCs/>
          <w:sz w:val="20"/>
          <w:szCs w:val="20"/>
        </w:rPr>
        <w:t>Option 2: Yes both are needed</w:t>
      </w:r>
    </w:p>
    <w:p w14:paraId="088D7ADB" w14:textId="3F1CE210" w:rsidR="000A589D" w:rsidRDefault="00E76279" w:rsidP="000A589D">
      <w:r>
        <w:t>Based on</w:t>
      </w:r>
      <w:r w:rsidR="000A589D">
        <w:t xml:space="preserve"> past contributions, many companies </w:t>
      </w:r>
      <w:r w:rsidR="00916EB0">
        <w:t>prefer an</w:t>
      </w:r>
      <w:r w:rsidR="00101CF0">
        <w:t xml:space="preserve"> </w:t>
      </w:r>
      <w:r w:rsidR="000A589D">
        <w:t>exten</w:t>
      </w:r>
      <w:r w:rsidR="00916EB0">
        <w:t>sion to</w:t>
      </w:r>
      <w:r w:rsidR="000A589D">
        <w:t xml:space="preserve"> the PHR </w:t>
      </w:r>
      <w:r w:rsidR="00101CF0">
        <w:t>MAC CE (report)</w:t>
      </w:r>
      <w:r>
        <w:t xml:space="preserve"> for </w:t>
      </w:r>
      <w:r w:rsidR="00101CF0">
        <w:t xml:space="preserve">enhanced </w:t>
      </w:r>
      <w:r>
        <w:t xml:space="preserve">P-MPR support while other companies prefer </w:t>
      </w:r>
      <w:r w:rsidR="00916EB0">
        <w:t xml:space="preserve">a </w:t>
      </w:r>
      <w:r w:rsidR="00101CF0">
        <w:t>creat</w:t>
      </w:r>
      <w:r w:rsidR="00916EB0">
        <w:t>ion of</w:t>
      </w:r>
      <w:r>
        <w:t xml:space="preserve"> a new MAC CE</w:t>
      </w:r>
      <w:r w:rsidR="008F4565">
        <w:t>, should it necessitate due to reporting granularity</w:t>
      </w:r>
      <w:r>
        <w:t>. This contribution examines the open issues listed above and considers the impact of UE and network behavior for extended PHR</w:t>
      </w:r>
      <w:r w:rsidR="00101CF0">
        <w:t xml:space="preserve"> report</w:t>
      </w:r>
      <w:r>
        <w:t>/new MAC CE.</w:t>
      </w:r>
    </w:p>
    <w:p w14:paraId="0FFC38D7" w14:textId="6C5A23FC" w:rsidR="00C44399" w:rsidRDefault="000141BA" w:rsidP="00C44399">
      <w:pPr>
        <w:pStyle w:val="Heading2"/>
      </w:pPr>
      <w:r>
        <w:t>R</w:t>
      </w:r>
      <w:r w:rsidR="000A589D">
        <w:t>elative threshold</w:t>
      </w:r>
      <w:r>
        <w:t xml:space="preserve"> and periodic/non-periodic reporting</w:t>
      </w:r>
    </w:p>
    <w:p w14:paraId="3560DF74" w14:textId="7B3A3C4C" w:rsidR="00E76279" w:rsidRDefault="00E76279" w:rsidP="00877432">
      <w:r>
        <w:t>With the agreement of the trigger based on a P-MPR value being greater than a network configurable value</w:t>
      </w:r>
      <w:r w:rsidR="00877432">
        <w:t xml:space="preserve"> </w:t>
      </w:r>
      <w:r w:rsidR="00877432" w:rsidRPr="00877432">
        <w:rPr>
          <w:i/>
          <w:iCs/>
        </w:rPr>
        <w:t>X</w:t>
      </w:r>
      <w:r w:rsidR="00916EB0">
        <w:t xml:space="preserve"> (“absolute trigger”),</w:t>
      </w:r>
      <w:r>
        <w:t xml:space="preserve"> </w:t>
      </w:r>
      <w:r w:rsidR="00101CF0">
        <w:t>one</w:t>
      </w:r>
      <w:r>
        <w:t xml:space="preserve"> question is whether a trigger based on a relative change of </w:t>
      </w:r>
      <w:r w:rsidR="00877432">
        <w:t xml:space="preserve">the </w:t>
      </w:r>
      <w:r>
        <w:t xml:space="preserve">P-MPR value </w:t>
      </w:r>
      <w:r w:rsidR="00877432">
        <w:t xml:space="preserve">exceeding a (possibly different) network configurable value, </w:t>
      </w:r>
      <w:r w:rsidR="00877432" w:rsidRPr="00877432">
        <w:rPr>
          <w:i/>
          <w:iCs/>
        </w:rPr>
        <w:t>Y</w:t>
      </w:r>
      <w:r w:rsidR="00BC2642">
        <w:t xml:space="preserve"> (“relative trigger”).</w:t>
      </w:r>
    </w:p>
    <w:p w14:paraId="7FAE719A" w14:textId="5219577A" w:rsidR="00696D18" w:rsidRDefault="00877432" w:rsidP="00877432">
      <w:r>
        <w:t xml:space="preserve">The absolute </w:t>
      </w:r>
      <w:r w:rsidR="00696D18">
        <w:t>trigger</w:t>
      </w:r>
      <w:r>
        <w:t xml:space="preserve"> is appropriate for a sudden change</w:t>
      </w:r>
      <w:r w:rsidR="00BC2642">
        <w:t xml:space="preserve"> in the P-MPR value (low vs high). Under the current design, report</w:t>
      </w:r>
      <w:r w:rsidR="008F4565">
        <w:t>s</w:t>
      </w:r>
      <w:r w:rsidR="00BC2642">
        <w:t xml:space="preserve"> are sent when the conditions for the absolute trigger remain valid. With t</w:t>
      </w:r>
      <w:r>
        <w:t xml:space="preserve">he </w:t>
      </w:r>
      <w:r w:rsidR="00BC2642">
        <w:t>relative trigger,</w:t>
      </w:r>
      <w:r>
        <w:t xml:space="preserve"> small changes </w:t>
      </w:r>
      <w:r w:rsidR="0087036C">
        <w:t xml:space="preserve">in P-MPR </w:t>
      </w:r>
      <w:r>
        <w:t>can be tracked as well as large sudden changes.</w:t>
      </w:r>
      <w:r w:rsidR="008D65D9">
        <w:t xml:space="preserve"> </w:t>
      </w:r>
      <w:r w:rsidR="00696D18">
        <w:t xml:space="preserve">As an example, the P-MPR is shown in </w:t>
      </w:r>
      <w:r w:rsidR="00696D18">
        <w:fldChar w:fldCharType="begin"/>
      </w:r>
      <w:r w:rsidR="00696D18">
        <w:instrText xml:space="preserve"> REF _Ref40387030 \h </w:instrText>
      </w:r>
      <w:r w:rsidR="00696D18">
        <w:fldChar w:fldCharType="separate"/>
      </w:r>
      <w:r w:rsidR="00696D18">
        <w:t xml:space="preserve">Fig. </w:t>
      </w:r>
      <w:r w:rsidR="00696D18">
        <w:rPr>
          <w:noProof/>
        </w:rPr>
        <w:t>1</w:t>
      </w:r>
      <w:r w:rsidR="00696D18">
        <w:fldChar w:fldCharType="end"/>
      </w:r>
      <w:r w:rsidR="00696D18">
        <w:t xml:space="preserve"> with P-MPR reports generated when the </w:t>
      </w:r>
      <w:r w:rsidR="00696D18" w:rsidRPr="00696D18">
        <w:rPr>
          <w:i/>
          <w:iCs/>
        </w:rPr>
        <w:t>X</w:t>
      </w:r>
      <w:r w:rsidR="00696D18">
        <w:t xml:space="preserve"> threshold is 10 dB for the absolute trigger and when the </w:t>
      </w:r>
      <w:r w:rsidR="00696D18" w:rsidRPr="00696D18">
        <w:rPr>
          <w:i/>
          <w:iCs/>
        </w:rPr>
        <w:t>Y</w:t>
      </w:r>
      <w:r w:rsidR="00696D18">
        <w:t xml:space="preserve"> threshold is 3 dB for the relative trigger. The vertical bars indicate when a report is generated.</w:t>
      </w:r>
      <w:r w:rsidR="00DC7768">
        <w:t xml:space="preserve"> </w:t>
      </w:r>
      <w:r w:rsidR="00DE51EE">
        <w:t>The figure on left illustrates when</w:t>
      </w:r>
      <w:r w:rsidR="0087036C">
        <w:t>ever</w:t>
      </w:r>
      <w:r w:rsidR="00DE51EE">
        <w:t xml:space="preserve"> the P-MPR is above 10 dB, a report is triggered, while no report is generated </w:t>
      </w:r>
      <w:r w:rsidR="006F6374">
        <w:t>otherwise. With a relative trigger, reports</w:t>
      </w:r>
      <w:r w:rsidR="0087036C">
        <w:t xml:space="preserve"> </w:t>
      </w:r>
      <w:r w:rsidR="006F6374">
        <w:t xml:space="preserve">can be generated </w:t>
      </w:r>
      <w:r w:rsidR="0087036C">
        <w:t>when the</w:t>
      </w:r>
      <w:r w:rsidR="006F6374">
        <w:t xml:space="preserve"> P-MPR values below 10 dB, as seen on the right.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DC7768" w14:paraId="36A077A7" w14:textId="77777777" w:rsidTr="00DE51EE">
        <w:tc>
          <w:tcPr>
            <w:tcW w:w="4836" w:type="dxa"/>
          </w:tcPr>
          <w:p w14:paraId="794ED7C8" w14:textId="40A8D8F4" w:rsidR="00DC7768" w:rsidRDefault="00DC7768" w:rsidP="00DE51EE">
            <w:pPr>
              <w:pStyle w:val="TableCell0"/>
              <w:jc w:val="center"/>
            </w:pPr>
            <w:r>
              <w:rPr>
                <w:noProof/>
              </w:rPr>
              <w:lastRenderedPageBreak/>
              <w:drawing>
                <wp:inline distT="0" distB="0" distL="0" distR="0" wp14:anchorId="2897DF1C" wp14:editId="71DC6AD2">
                  <wp:extent cx="2926080" cy="1755648"/>
                  <wp:effectExtent l="0" t="0" r="7620" b="16510"/>
                  <wp:docPr id="3" name="Chart 3">
                    <a:extLst xmlns:a="http://schemas.openxmlformats.org/drawingml/2006/main">
                      <a:ext uri="{FF2B5EF4-FFF2-40B4-BE49-F238E27FC236}">
                        <a16:creationId xmlns:a16="http://schemas.microsoft.com/office/drawing/2014/main" id="{E09C8DFE-F545-48E5-BBAA-F707078A2C39}"/>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481" w:type="dxa"/>
          </w:tcPr>
          <w:p w14:paraId="60B90FD0" w14:textId="6DDCBD8D" w:rsidR="00DC7768" w:rsidRDefault="00DE51EE" w:rsidP="00DC7768">
            <w:pPr>
              <w:pStyle w:val="TableCell0"/>
            </w:pPr>
            <w:r>
              <w:rPr>
                <w:noProof/>
              </w:rPr>
              <w:drawing>
                <wp:inline distT="0" distB="0" distL="0" distR="0" wp14:anchorId="4860BBE4" wp14:editId="578DA1A9">
                  <wp:extent cx="2926080" cy="1755648"/>
                  <wp:effectExtent l="0" t="0" r="7620" b="16510"/>
                  <wp:docPr id="4" name="Chart 4">
                    <a:extLst xmlns:a="http://schemas.openxmlformats.org/drawingml/2006/main">
                      <a:ext uri="{FF2B5EF4-FFF2-40B4-BE49-F238E27FC236}">
                        <a16:creationId xmlns:a16="http://schemas.microsoft.com/office/drawing/2014/main" id="{BBF531A6-580C-410E-9DF2-E423F06D6C96}"/>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DC7768" w14:paraId="3549EB96" w14:textId="77777777" w:rsidTr="00DE51EE">
        <w:tc>
          <w:tcPr>
            <w:tcW w:w="4836" w:type="dxa"/>
          </w:tcPr>
          <w:p w14:paraId="451B1A62" w14:textId="122730D3" w:rsidR="00DC7768" w:rsidRDefault="00DE51EE" w:rsidP="00DE51EE">
            <w:pPr>
              <w:pStyle w:val="TableCell0"/>
              <w:jc w:val="center"/>
            </w:pPr>
            <w:r>
              <w:t>Absolute threshold</w:t>
            </w:r>
          </w:p>
        </w:tc>
        <w:tc>
          <w:tcPr>
            <w:tcW w:w="4481" w:type="dxa"/>
          </w:tcPr>
          <w:p w14:paraId="3BCFFDD7" w14:textId="453DA17E" w:rsidR="00DC7768" w:rsidRDefault="00DE51EE" w:rsidP="00DE51EE">
            <w:pPr>
              <w:pStyle w:val="TableCell0"/>
              <w:jc w:val="center"/>
            </w:pPr>
            <w:r>
              <w:t>Relative threshold</w:t>
            </w:r>
          </w:p>
        </w:tc>
      </w:tr>
    </w:tbl>
    <w:p w14:paraId="38DDD1F4" w14:textId="5BCEF9BF" w:rsidR="00696D18" w:rsidRDefault="00696D18" w:rsidP="00696D18">
      <w:pPr>
        <w:pStyle w:val="Caption"/>
      </w:pPr>
      <w:bookmarkStart w:id="3" w:name="_Ref40387030"/>
      <w:r>
        <w:t xml:space="preserve">Fig. </w:t>
      </w:r>
      <w:r w:rsidR="0045179E">
        <w:fldChar w:fldCharType="begin"/>
      </w:r>
      <w:r w:rsidR="0045179E">
        <w:instrText xml:space="preserve"> SEQ Fig. \* ARABIC </w:instrText>
      </w:r>
      <w:r w:rsidR="0045179E">
        <w:fldChar w:fldCharType="separate"/>
      </w:r>
      <w:r>
        <w:rPr>
          <w:noProof/>
        </w:rPr>
        <w:t>1</w:t>
      </w:r>
      <w:r w:rsidR="0045179E">
        <w:rPr>
          <w:noProof/>
        </w:rPr>
        <w:fldChar w:fldCharType="end"/>
      </w:r>
      <w:bookmarkEnd w:id="3"/>
      <w:r>
        <w:t>. Example of when trigger reports are generated by changes in P-MPR values.</w:t>
      </w:r>
    </w:p>
    <w:p w14:paraId="7AF19642" w14:textId="08FBABF1" w:rsidR="00570264" w:rsidRDefault="00570264" w:rsidP="00877432">
      <w:r>
        <w:t>As the figure shows, r</w:t>
      </w:r>
      <w:r w:rsidR="006F6374">
        <w:t xml:space="preserve">eporting </w:t>
      </w:r>
      <w:r w:rsidR="0087036C">
        <w:t>due to</w:t>
      </w:r>
      <w:r w:rsidR="006F6374">
        <w:t xml:space="preserve"> a relative </w:t>
      </w:r>
      <w:r>
        <w:t>trigger</w:t>
      </w:r>
      <w:r w:rsidR="006F6374">
        <w:t xml:space="preserve"> </w:t>
      </w:r>
      <w:r w:rsidR="00BD04BB">
        <w:t xml:space="preserve">could </w:t>
      </w:r>
      <w:r w:rsidR="006F6374">
        <w:t xml:space="preserve">complement the reports generated </w:t>
      </w:r>
      <w:r w:rsidR="0087036C">
        <w:t>due to</w:t>
      </w:r>
      <w:r w:rsidR="006F6374">
        <w:t xml:space="preserve"> the absolute </w:t>
      </w:r>
      <w:r>
        <w:t>trigger</w:t>
      </w:r>
      <w:r w:rsidR="006F6374">
        <w:t>.</w:t>
      </w:r>
      <w:r w:rsidR="00B36B58">
        <w:t xml:space="preserve"> The</w:t>
      </w:r>
      <w:r w:rsidR="0087036C">
        <w:t>ir</w:t>
      </w:r>
      <w:r w:rsidR="00B36B58">
        <w:t xml:space="preserve"> combination can provide </w:t>
      </w:r>
      <w:r w:rsidR="0087036C">
        <w:t xml:space="preserve">the network </w:t>
      </w:r>
      <w:r w:rsidR="00B36B58">
        <w:t xml:space="preserve">a snapshot of </w:t>
      </w:r>
      <w:r w:rsidR="0087036C">
        <w:t xml:space="preserve">how </w:t>
      </w:r>
      <w:r w:rsidR="00B36B58">
        <w:t>the P-MPR values</w:t>
      </w:r>
      <w:r>
        <w:t xml:space="preserve"> change</w:t>
      </w:r>
      <w:r w:rsidR="00BD04BB">
        <w:t xml:space="preserve"> on a small and large scale</w:t>
      </w:r>
      <w:r w:rsidR="00B36B58">
        <w:t>.</w:t>
      </w:r>
      <w:r>
        <w:t xml:space="preserve"> While not plotted, periodic reporting also </w:t>
      </w:r>
      <w:r w:rsidR="00BD04BB">
        <w:t xml:space="preserve">can </w:t>
      </w:r>
      <w:r>
        <w:t xml:space="preserve">complement the reporting due to the </w:t>
      </w:r>
      <w:r w:rsidR="00FC418E">
        <w:t>absolute trigger. Note, if the periodicity is large, a small relative change in the P-MPR value may not be observed</w:t>
      </w:r>
      <w:r w:rsidR="00BD04BB">
        <w:t xml:space="preserve"> immediately</w:t>
      </w:r>
      <w:r w:rsidR="00FC418E">
        <w:t>.</w:t>
      </w:r>
    </w:p>
    <w:p w14:paraId="2874F79F" w14:textId="54CB6516" w:rsidR="00FC418E" w:rsidRDefault="00FC418E" w:rsidP="00877432">
      <w:r>
        <w:t>The following table compares the reporting for combinations of absolute trigger, relative trigger, and periodic reporting.</w:t>
      </w:r>
    </w:p>
    <w:p w14:paraId="46057CF1" w14:textId="1678114B" w:rsidR="008D65D9" w:rsidRDefault="008D65D9" w:rsidP="008D65D9">
      <w:pPr>
        <w:pStyle w:val="Caption"/>
        <w:keepNext/>
      </w:pPr>
      <w:bookmarkStart w:id="4" w:name="_Ref40354703"/>
      <w:r>
        <w:t xml:space="preserve">Table </w:t>
      </w:r>
      <w:fldSimple w:instr=" SEQ Table \* ARABIC ">
        <w:r>
          <w:rPr>
            <w:noProof/>
          </w:rPr>
          <w:t>1</w:t>
        </w:r>
      </w:fldSimple>
      <w:bookmarkEnd w:id="4"/>
      <w:r>
        <w:t>. Tracking the P-MPR value with triggering and periodic reporting</w:t>
      </w:r>
    </w:p>
    <w:tbl>
      <w:tblPr>
        <w:tblStyle w:val="TableGrid"/>
        <w:tblW w:w="0" w:type="auto"/>
        <w:tblLayout w:type="fixed"/>
        <w:tblLook w:val="04A0" w:firstRow="1" w:lastRow="0" w:firstColumn="1" w:lastColumn="0" w:noHBand="0" w:noVBand="1"/>
      </w:tblPr>
      <w:tblGrid>
        <w:gridCol w:w="985"/>
        <w:gridCol w:w="900"/>
        <w:gridCol w:w="990"/>
        <w:gridCol w:w="6432"/>
      </w:tblGrid>
      <w:tr w:rsidR="000141BA" w14:paraId="5BB9023C" w14:textId="77777777" w:rsidTr="006F6374">
        <w:tc>
          <w:tcPr>
            <w:tcW w:w="985" w:type="dxa"/>
          </w:tcPr>
          <w:p w14:paraId="5598B12B" w14:textId="2960D463" w:rsidR="000141BA" w:rsidRDefault="006F6374" w:rsidP="000141BA">
            <w:pPr>
              <w:pStyle w:val="TableCell0"/>
            </w:pPr>
            <w:r w:rsidRPr="006F6374">
              <w:t xml:space="preserve">Absolute </w:t>
            </w:r>
            <w:r w:rsidR="000141BA" w:rsidRPr="006F6374">
              <w:t>t</w:t>
            </w:r>
            <w:r w:rsidR="000141BA">
              <w:t>rigger</w:t>
            </w:r>
          </w:p>
        </w:tc>
        <w:tc>
          <w:tcPr>
            <w:tcW w:w="900" w:type="dxa"/>
          </w:tcPr>
          <w:p w14:paraId="5DD19131" w14:textId="640E5CBE" w:rsidR="000141BA" w:rsidRDefault="006F6374" w:rsidP="000141BA">
            <w:pPr>
              <w:pStyle w:val="TableCell0"/>
            </w:pPr>
            <w:r w:rsidRPr="006F6374">
              <w:t>Relative</w:t>
            </w:r>
            <w:r w:rsidR="000141BA">
              <w:t xml:space="preserve"> trigger</w:t>
            </w:r>
          </w:p>
        </w:tc>
        <w:tc>
          <w:tcPr>
            <w:tcW w:w="990" w:type="dxa"/>
          </w:tcPr>
          <w:p w14:paraId="4BBBE515" w14:textId="11DEC1B5" w:rsidR="000141BA" w:rsidRDefault="000141BA" w:rsidP="000141BA">
            <w:pPr>
              <w:pStyle w:val="TableCell0"/>
            </w:pPr>
            <w:r>
              <w:t>Periodic reporting</w:t>
            </w:r>
          </w:p>
        </w:tc>
        <w:tc>
          <w:tcPr>
            <w:tcW w:w="6432" w:type="dxa"/>
          </w:tcPr>
          <w:p w14:paraId="02504022" w14:textId="6845237D" w:rsidR="000141BA" w:rsidRDefault="000141BA" w:rsidP="000141BA">
            <w:pPr>
              <w:pStyle w:val="TableCell0"/>
            </w:pPr>
            <w:r>
              <w:t>Impact</w:t>
            </w:r>
            <w:r w:rsidR="00B36B58">
              <w:t xml:space="preserve"> (assuming absolute trigger &gt; relative trigger)</w:t>
            </w:r>
          </w:p>
        </w:tc>
      </w:tr>
      <w:tr w:rsidR="00FC418E" w14:paraId="7D619F77" w14:textId="77777777" w:rsidTr="00120DA5">
        <w:tc>
          <w:tcPr>
            <w:tcW w:w="985" w:type="dxa"/>
          </w:tcPr>
          <w:p w14:paraId="5F2816B6" w14:textId="77777777" w:rsidR="00FC418E" w:rsidRDefault="00FC418E" w:rsidP="00120DA5">
            <w:pPr>
              <w:pStyle w:val="TableCell0"/>
            </w:pPr>
            <w:r>
              <w:t>On</w:t>
            </w:r>
          </w:p>
        </w:tc>
        <w:tc>
          <w:tcPr>
            <w:tcW w:w="900" w:type="dxa"/>
          </w:tcPr>
          <w:p w14:paraId="1FFC2035" w14:textId="5BBEA830" w:rsidR="00FC418E" w:rsidRDefault="00FC418E" w:rsidP="00120DA5">
            <w:pPr>
              <w:pStyle w:val="TableCell0"/>
            </w:pPr>
          </w:p>
        </w:tc>
        <w:tc>
          <w:tcPr>
            <w:tcW w:w="990" w:type="dxa"/>
          </w:tcPr>
          <w:p w14:paraId="266C4DCC" w14:textId="3C4710E1" w:rsidR="00FC418E" w:rsidRDefault="00FC418E" w:rsidP="00120DA5">
            <w:pPr>
              <w:pStyle w:val="TableCell0"/>
            </w:pPr>
          </w:p>
        </w:tc>
        <w:tc>
          <w:tcPr>
            <w:tcW w:w="6432" w:type="dxa"/>
          </w:tcPr>
          <w:p w14:paraId="23F15BF6" w14:textId="34875B12" w:rsidR="00FC418E" w:rsidRDefault="00FC418E" w:rsidP="00120DA5">
            <w:pPr>
              <w:pStyle w:val="TableCell0"/>
            </w:pPr>
            <w:r>
              <w:t xml:space="preserve">The network informed of P-MPR values while the </w:t>
            </w:r>
            <w:r w:rsidRPr="00FC418E">
              <w:t>absolute</w:t>
            </w:r>
            <w:r>
              <w:t xml:space="preserve"> trigger is active. However, the network may not be able to track changes in the P-MPR value below the </w:t>
            </w:r>
            <w:r w:rsidRPr="00FC418E">
              <w:t>absolute</w:t>
            </w:r>
            <w:r>
              <w:t xml:space="preserve"> threshold.</w:t>
            </w:r>
          </w:p>
        </w:tc>
      </w:tr>
      <w:tr w:rsidR="000141BA" w14:paraId="4BD6527F" w14:textId="77777777" w:rsidTr="006F6374">
        <w:tc>
          <w:tcPr>
            <w:tcW w:w="985" w:type="dxa"/>
          </w:tcPr>
          <w:p w14:paraId="6397A63E" w14:textId="318F7233" w:rsidR="000141BA" w:rsidRDefault="000141BA" w:rsidP="000141BA">
            <w:pPr>
              <w:pStyle w:val="TableCell0"/>
            </w:pPr>
            <w:r>
              <w:t>On</w:t>
            </w:r>
          </w:p>
        </w:tc>
        <w:tc>
          <w:tcPr>
            <w:tcW w:w="900" w:type="dxa"/>
          </w:tcPr>
          <w:p w14:paraId="4BD17F53" w14:textId="3E4BAB28" w:rsidR="000141BA" w:rsidRDefault="000141BA" w:rsidP="000141BA">
            <w:pPr>
              <w:pStyle w:val="TableCell0"/>
            </w:pPr>
            <w:r>
              <w:t>On</w:t>
            </w:r>
          </w:p>
        </w:tc>
        <w:tc>
          <w:tcPr>
            <w:tcW w:w="990" w:type="dxa"/>
          </w:tcPr>
          <w:p w14:paraId="3F0E7516" w14:textId="0D5F609B" w:rsidR="000141BA" w:rsidRDefault="000141BA" w:rsidP="000141BA">
            <w:pPr>
              <w:pStyle w:val="TableCell0"/>
            </w:pPr>
          </w:p>
        </w:tc>
        <w:tc>
          <w:tcPr>
            <w:tcW w:w="6432" w:type="dxa"/>
          </w:tcPr>
          <w:p w14:paraId="28AE8FFB" w14:textId="48FC9BDE" w:rsidR="000141BA" w:rsidRDefault="000141BA" w:rsidP="000141BA">
            <w:pPr>
              <w:pStyle w:val="TableCell0"/>
            </w:pPr>
            <w:r>
              <w:t xml:space="preserve">The network informed when either trigger is </w:t>
            </w:r>
            <w:r w:rsidR="00BD04BB">
              <w:t>activated,</w:t>
            </w:r>
            <w:r>
              <w:t xml:space="preserve"> and the network knows the P-MPR value. </w:t>
            </w:r>
            <w:r w:rsidR="008D65D9">
              <w:t>The n</w:t>
            </w:r>
            <w:r>
              <w:t>etwork may not know small changes in the P-MPR</w:t>
            </w:r>
            <w:r w:rsidR="008D65D9">
              <w:t xml:space="preserve"> value</w:t>
            </w:r>
            <w:r w:rsidR="00FC418E">
              <w:t xml:space="preserve"> (below the relative trigger)</w:t>
            </w:r>
            <w:r>
              <w:t>.</w:t>
            </w:r>
          </w:p>
        </w:tc>
      </w:tr>
      <w:tr w:rsidR="00FC418E" w14:paraId="03C8D615" w14:textId="77777777" w:rsidTr="00572998">
        <w:tc>
          <w:tcPr>
            <w:tcW w:w="985" w:type="dxa"/>
          </w:tcPr>
          <w:p w14:paraId="78BAAF1B" w14:textId="77777777" w:rsidR="00FC418E" w:rsidRDefault="00FC418E" w:rsidP="00572998">
            <w:pPr>
              <w:pStyle w:val="TableCell0"/>
            </w:pPr>
            <w:r>
              <w:t>On</w:t>
            </w:r>
          </w:p>
        </w:tc>
        <w:tc>
          <w:tcPr>
            <w:tcW w:w="900" w:type="dxa"/>
          </w:tcPr>
          <w:p w14:paraId="2CDC9246" w14:textId="1F09DE1F" w:rsidR="00FC418E" w:rsidRDefault="00FC418E" w:rsidP="00572998">
            <w:pPr>
              <w:pStyle w:val="TableCell0"/>
            </w:pPr>
          </w:p>
        </w:tc>
        <w:tc>
          <w:tcPr>
            <w:tcW w:w="990" w:type="dxa"/>
          </w:tcPr>
          <w:p w14:paraId="24E45DD3" w14:textId="3423C80F" w:rsidR="00FC418E" w:rsidRDefault="00FC418E" w:rsidP="00572998">
            <w:pPr>
              <w:pStyle w:val="TableCell0"/>
            </w:pPr>
            <w:r>
              <w:t>On</w:t>
            </w:r>
          </w:p>
        </w:tc>
        <w:tc>
          <w:tcPr>
            <w:tcW w:w="6432" w:type="dxa"/>
          </w:tcPr>
          <w:p w14:paraId="67F02BAF" w14:textId="5B5EC105" w:rsidR="00FC418E" w:rsidRDefault="00FC418E" w:rsidP="00572998">
            <w:pPr>
              <w:pStyle w:val="TableCell0"/>
            </w:pPr>
            <w:r>
              <w:t xml:space="preserve">The network informed of P-MPR values while the </w:t>
            </w:r>
            <w:r w:rsidRPr="00FC418E">
              <w:t>absolute</w:t>
            </w:r>
            <w:r>
              <w:t xml:space="preserve"> trigger is active. The network knows the P-MPR value due to the periodic timer.</w:t>
            </w:r>
          </w:p>
        </w:tc>
      </w:tr>
      <w:tr w:rsidR="00FC418E" w14:paraId="4AB42C24" w14:textId="77777777" w:rsidTr="000B00C5">
        <w:tc>
          <w:tcPr>
            <w:tcW w:w="985" w:type="dxa"/>
          </w:tcPr>
          <w:p w14:paraId="30E3A1AE" w14:textId="77777777" w:rsidR="00FC418E" w:rsidRDefault="00FC418E" w:rsidP="000B00C5">
            <w:pPr>
              <w:pStyle w:val="TableCell0"/>
            </w:pPr>
            <w:r>
              <w:t>On</w:t>
            </w:r>
          </w:p>
        </w:tc>
        <w:tc>
          <w:tcPr>
            <w:tcW w:w="900" w:type="dxa"/>
          </w:tcPr>
          <w:p w14:paraId="27BE6C60" w14:textId="77777777" w:rsidR="00FC418E" w:rsidRDefault="00FC418E" w:rsidP="000B00C5">
            <w:pPr>
              <w:pStyle w:val="TableCell0"/>
            </w:pPr>
            <w:r>
              <w:t>On</w:t>
            </w:r>
          </w:p>
        </w:tc>
        <w:tc>
          <w:tcPr>
            <w:tcW w:w="990" w:type="dxa"/>
          </w:tcPr>
          <w:p w14:paraId="4F506263" w14:textId="77777777" w:rsidR="00FC418E" w:rsidRDefault="00FC418E" w:rsidP="000B00C5">
            <w:pPr>
              <w:pStyle w:val="TableCell0"/>
            </w:pPr>
            <w:r>
              <w:t>On</w:t>
            </w:r>
          </w:p>
        </w:tc>
        <w:tc>
          <w:tcPr>
            <w:tcW w:w="6432" w:type="dxa"/>
          </w:tcPr>
          <w:p w14:paraId="59DB3CB1" w14:textId="56C6F803" w:rsidR="00FC418E" w:rsidRDefault="00FC418E" w:rsidP="000B00C5">
            <w:pPr>
              <w:pStyle w:val="TableCell0"/>
            </w:pPr>
            <w:r>
              <w:t xml:space="preserve">The network informed when either trigger is </w:t>
            </w:r>
            <w:r w:rsidR="00BD04BB">
              <w:t>activated,</w:t>
            </w:r>
            <w:r>
              <w:t xml:space="preserve"> and the network knows the P-MPR value due to the periodic timer. </w:t>
            </w:r>
          </w:p>
        </w:tc>
      </w:tr>
    </w:tbl>
    <w:p w14:paraId="22E2BC81" w14:textId="3A879E6B" w:rsidR="000141BA" w:rsidRDefault="000141BA" w:rsidP="00877432"/>
    <w:p w14:paraId="3562EE35" w14:textId="52994D96" w:rsidR="008D65D9" w:rsidRDefault="008D65D9" w:rsidP="00877432">
      <w:r>
        <w:t xml:space="preserve">Thus, if periodic reporting </w:t>
      </w:r>
      <w:r w:rsidR="00F27B6A">
        <w:t>were</w:t>
      </w:r>
      <w:r>
        <w:t xml:space="preserve"> frequent enough, then a relative threshold trigger may not be necessary. Likewise, with both triggers activated, it may not be necessary to use periodic reporting.</w:t>
      </w:r>
      <w:r w:rsidR="00FC418E">
        <w:t xml:space="preserve"> A network can balance the rate of reporting by adjusting the thresholds and periodicity.</w:t>
      </w:r>
      <w:r w:rsidR="00F71DC5">
        <w:t xml:space="preserve"> </w:t>
      </w:r>
    </w:p>
    <w:p w14:paraId="67951817" w14:textId="45AC8641" w:rsidR="00F71DC5" w:rsidRDefault="0051653E" w:rsidP="0051653E">
      <w:r>
        <w:t xml:space="preserve">One issue identified in the moderator summary </w:t>
      </w:r>
      <w:r>
        <w:fldChar w:fldCharType="begin"/>
      </w:r>
      <w:r>
        <w:instrText xml:space="preserve"> REF _Ref40251398 \r \h </w:instrText>
      </w:r>
      <w:r>
        <w:fldChar w:fldCharType="separate"/>
      </w:r>
      <w:r>
        <w:t>[5]</w:t>
      </w:r>
      <w:r>
        <w:fldChar w:fldCharType="end"/>
      </w:r>
      <w:r>
        <w:t xml:space="preserve"> was possible persistent triggering: ‘</w:t>
      </w:r>
      <w:r w:rsidRPr="00F401C0">
        <w:t>To our understanding, the “higher than threshold” means if P-MPR is 4 dB and threshold was 3 dB UE reports P-MPR but if it remain</w:t>
      </w:r>
      <w:r>
        <w:t>s</w:t>
      </w:r>
      <w:r w:rsidRPr="00F401C0">
        <w:t xml:space="preserve"> at 4 dB, UE keeps reporting.</w:t>
      </w:r>
      <w:r>
        <w:t xml:space="preserve">’ </w:t>
      </w:r>
      <w:r w:rsidR="00F71DC5">
        <w:t xml:space="preserve">This concern is valid when the prohibit-timer is small and the P-MPR value does not change. If the P-MPR </w:t>
      </w:r>
      <w:r w:rsidR="006A44A9">
        <w:t>changes</w:t>
      </w:r>
      <w:r w:rsidR="00F71DC5">
        <w:t xml:space="preserve">, the persistent reporting is helpful. Note it may be possible to </w:t>
      </w:r>
      <w:r w:rsidR="006A44A9">
        <w:t>disallow</w:t>
      </w:r>
      <w:r w:rsidR="00F71DC5">
        <w:t xml:space="preserve"> persistent triggering due to a “</w:t>
      </w:r>
      <w:r w:rsidR="00F71DC5" w:rsidRPr="00F401C0">
        <w:t>higher than threshold”</w:t>
      </w:r>
      <w:r w:rsidR="00F71DC5">
        <w:t xml:space="preserve"> event if either relative triggering or periodic reporting is used.</w:t>
      </w:r>
    </w:p>
    <w:p w14:paraId="060A97E6" w14:textId="680BDBFD" w:rsidR="0051653E" w:rsidRDefault="00F71DC5" w:rsidP="00877432">
      <w:r>
        <w:t>Whether</w:t>
      </w:r>
      <w:r w:rsidR="00AB4AC1">
        <w:t xml:space="preserve"> relative thresholds and periodic reporting </w:t>
      </w:r>
      <w:r>
        <w:t xml:space="preserve">are defined </w:t>
      </w:r>
      <w:r w:rsidR="00AB4AC1">
        <w:t xml:space="preserve">can be </w:t>
      </w:r>
      <w:r w:rsidR="006A44A9">
        <w:t>answered</w:t>
      </w:r>
      <w:r w:rsidR="00AB4AC1">
        <w:t xml:space="preserve"> </w:t>
      </w:r>
      <w:r w:rsidR="006A44A9">
        <w:t>if the</w:t>
      </w:r>
      <w:r w:rsidR="00AB4AC1">
        <w:t xml:space="preserve"> PHR MAC </w:t>
      </w:r>
      <w:r w:rsidR="006A44A9">
        <w:t>CE is extended, as described below.</w:t>
      </w:r>
    </w:p>
    <w:p w14:paraId="6935C6F6" w14:textId="25319F4F" w:rsidR="008D65D9" w:rsidRDefault="00B1320D" w:rsidP="008D65D9">
      <w:pPr>
        <w:pStyle w:val="Heading3"/>
      </w:pPr>
      <w:r>
        <w:t>Extendi</w:t>
      </w:r>
      <w:r w:rsidR="008D65D9">
        <w:t xml:space="preserve">ng the </w:t>
      </w:r>
      <w:r>
        <w:t>PHR MAC CE</w:t>
      </w:r>
    </w:p>
    <w:p w14:paraId="4F1EC666" w14:textId="783EC8E3" w:rsidR="008D65D9" w:rsidRPr="002C293F" w:rsidRDefault="008D65D9" w:rsidP="008D65D9">
      <w:r>
        <w:t xml:space="preserve">In subclause 5.4.6 of 38.321, the procedures for a UE to send the PHR according to three parameters: </w:t>
      </w:r>
      <w:r w:rsidRPr="00542733">
        <w:rPr>
          <w:i/>
          <w:iCs/>
        </w:rPr>
        <w:t>phr-PeriodicTimer</w:t>
      </w:r>
      <w:r>
        <w:t>,</w:t>
      </w:r>
      <w:r w:rsidRPr="002C293F">
        <w:t xml:space="preserve"> </w:t>
      </w:r>
      <w:r w:rsidRPr="00542733">
        <w:rPr>
          <w:i/>
          <w:iCs/>
        </w:rPr>
        <w:t>phr-ProhibitTimer</w:t>
      </w:r>
      <w:r>
        <w:t xml:space="preserve">, and </w:t>
      </w:r>
      <w:r w:rsidRPr="00542733">
        <w:rPr>
          <w:i/>
          <w:iCs/>
        </w:rPr>
        <w:t>phr-Tx-PowerFactorChange</w:t>
      </w:r>
      <w:r>
        <w:t xml:space="preserve">. </w:t>
      </w:r>
      <w:r w:rsidR="00BD04BB">
        <w:t>A summary</w:t>
      </w:r>
      <w:r>
        <w:t xml:space="preserve"> of the relationship among the parameters is presented in </w:t>
      </w:r>
      <w:r>
        <w:fldChar w:fldCharType="begin"/>
      </w:r>
      <w:r>
        <w:instrText xml:space="preserve"> REF _Ref40185455 \h </w:instrText>
      </w:r>
      <w:r>
        <w:fldChar w:fldCharType="separate"/>
      </w:r>
      <w:r>
        <w:t xml:space="preserve">Table </w:t>
      </w:r>
      <w:r>
        <w:rPr>
          <w:noProof/>
        </w:rPr>
        <w:t>1</w:t>
      </w:r>
      <w:r>
        <w:fldChar w:fldCharType="end"/>
      </w:r>
      <w:r>
        <w:t>.</w:t>
      </w:r>
      <w:r w:rsidR="00742D74">
        <w:t xml:space="preserve"> </w:t>
      </w:r>
    </w:p>
    <w:p w14:paraId="6AAE1AA2" w14:textId="77777777" w:rsidR="008D65D9" w:rsidRDefault="008D65D9" w:rsidP="008D65D9">
      <w:pPr>
        <w:pStyle w:val="Caption"/>
        <w:keepNext/>
      </w:pPr>
      <w:bookmarkStart w:id="5" w:name="_Ref40185455"/>
      <w:r>
        <w:lastRenderedPageBreak/>
        <w:t xml:space="preserve">Table </w:t>
      </w:r>
      <w:r w:rsidR="0045179E">
        <w:fldChar w:fldCharType="begin"/>
      </w:r>
      <w:r w:rsidR="0045179E">
        <w:instrText xml:space="preserve"> SEQ Table \* ARABIC </w:instrText>
      </w:r>
      <w:r w:rsidR="0045179E">
        <w:fldChar w:fldCharType="separate"/>
      </w:r>
      <w:r>
        <w:rPr>
          <w:noProof/>
        </w:rPr>
        <w:t>2</w:t>
      </w:r>
      <w:r w:rsidR="0045179E">
        <w:rPr>
          <w:noProof/>
        </w:rPr>
        <w:fldChar w:fldCharType="end"/>
      </w:r>
      <w:bookmarkEnd w:id="5"/>
      <w:r>
        <w:rPr>
          <w:noProof/>
        </w:rPr>
        <w:t>. Triggers for the PHR report</w:t>
      </w:r>
    </w:p>
    <w:tbl>
      <w:tblPr>
        <w:tblStyle w:val="GridTable1Light"/>
        <w:tblW w:w="0" w:type="auto"/>
        <w:tblLook w:val="0420" w:firstRow="1" w:lastRow="0" w:firstColumn="0" w:lastColumn="0" w:noHBand="0" w:noVBand="1"/>
      </w:tblPr>
      <w:tblGrid>
        <w:gridCol w:w="1795"/>
        <w:gridCol w:w="3220"/>
        <w:gridCol w:w="1370"/>
        <w:gridCol w:w="2922"/>
      </w:tblGrid>
      <w:tr w:rsidR="008D65D9" w14:paraId="597DBED8" w14:textId="77777777" w:rsidTr="00B428BD">
        <w:trPr>
          <w:cnfStyle w:val="100000000000" w:firstRow="1" w:lastRow="0" w:firstColumn="0" w:lastColumn="0" w:oddVBand="0" w:evenVBand="0" w:oddHBand="0" w:evenHBand="0" w:firstRowFirstColumn="0" w:firstRowLastColumn="0" w:lastRowFirstColumn="0" w:lastRowLastColumn="0"/>
        </w:trPr>
        <w:tc>
          <w:tcPr>
            <w:tcW w:w="1795" w:type="dxa"/>
          </w:tcPr>
          <w:p w14:paraId="3440A20D" w14:textId="77777777" w:rsidR="008D65D9" w:rsidRDefault="008D65D9" w:rsidP="00B428BD">
            <w:pPr>
              <w:pStyle w:val="TableCell0"/>
            </w:pPr>
            <w:r>
              <w:t>Condition 1</w:t>
            </w:r>
          </w:p>
        </w:tc>
        <w:tc>
          <w:tcPr>
            <w:tcW w:w="3220" w:type="dxa"/>
          </w:tcPr>
          <w:p w14:paraId="2E95A776" w14:textId="77777777" w:rsidR="008D65D9" w:rsidRDefault="008D65D9" w:rsidP="00B428BD">
            <w:pPr>
              <w:pStyle w:val="TableCell0"/>
            </w:pPr>
            <w:r>
              <w:t>Primary Condition 2</w:t>
            </w:r>
          </w:p>
        </w:tc>
        <w:tc>
          <w:tcPr>
            <w:tcW w:w="1370" w:type="dxa"/>
          </w:tcPr>
          <w:p w14:paraId="3E46326F" w14:textId="77777777" w:rsidR="008D65D9" w:rsidRDefault="008D65D9" w:rsidP="00B428BD">
            <w:pPr>
              <w:pStyle w:val="TableCell0"/>
            </w:pPr>
            <w:r>
              <w:t>Relationship to P-MPR</w:t>
            </w:r>
          </w:p>
        </w:tc>
        <w:tc>
          <w:tcPr>
            <w:tcW w:w="2922" w:type="dxa"/>
          </w:tcPr>
          <w:p w14:paraId="26099AA0" w14:textId="7890B543" w:rsidR="008D65D9" w:rsidRDefault="008D65D9" w:rsidP="00B428BD">
            <w:pPr>
              <w:pStyle w:val="TableCell0"/>
            </w:pPr>
            <w:r>
              <w:t>Values</w:t>
            </w:r>
            <w:r w:rsidR="00742D74">
              <w:t xml:space="preserve"> (from 38.331)</w:t>
            </w:r>
          </w:p>
        </w:tc>
      </w:tr>
      <w:tr w:rsidR="008D65D9" w14:paraId="7B1CCA8F" w14:textId="77777777" w:rsidTr="00B428BD">
        <w:tc>
          <w:tcPr>
            <w:tcW w:w="1795" w:type="dxa"/>
          </w:tcPr>
          <w:p w14:paraId="480F52B0" w14:textId="77777777" w:rsidR="008D65D9" w:rsidRPr="00542733" w:rsidRDefault="008D65D9" w:rsidP="00B428BD">
            <w:pPr>
              <w:pStyle w:val="TableCell0"/>
              <w:rPr>
                <w:i/>
                <w:iCs/>
              </w:rPr>
            </w:pPr>
            <w:r w:rsidRPr="00542733">
              <w:rPr>
                <w:i/>
                <w:iCs/>
              </w:rPr>
              <w:t>phr-ProhibitTimer</w:t>
            </w:r>
            <w:r w:rsidRPr="00542733">
              <w:t xml:space="preserve"> </w:t>
            </w:r>
            <w:r>
              <w:t>expires</w:t>
            </w:r>
          </w:p>
        </w:tc>
        <w:tc>
          <w:tcPr>
            <w:tcW w:w="3220" w:type="dxa"/>
          </w:tcPr>
          <w:p w14:paraId="0EE40B33" w14:textId="77777777" w:rsidR="008D65D9" w:rsidRDefault="008D65D9" w:rsidP="00B428BD">
            <w:pPr>
              <w:pStyle w:val="TableCell0"/>
            </w:pPr>
            <w:r>
              <w:rPr>
                <w:noProof/>
              </w:rPr>
              <w:t xml:space="preserve">the path loss has changed more than </w:t>
            </w:r>
            <w:r>
              <w:rPr>
                <w:i/>
              </w:rPr>
              <w:t>phr-Tx-PowerFactorChange</w:t>
            </w:r>
            <w:r>
              <w:rPr>
                <w:noProof/>
              </w:rPr>
              <w:t xml:space="preserve"> dB</w:t>
            </w:r>
            <w:r>
              <w:t xml:space="preserve"> </w:t>
            </w:r>
            <w:r w:rsidRPr="00542733">
              <w:rPr>
                <w:noProof/>
              </w:rPr>
              <w:t>since the last transmission of a PHR</w:t>
            </w:r>
          </w:p>
        </w:tc>
        <w:tc>
          <w:tcPr>
            <w:tcW w:w="1370" w:type="dxa"/>
          </w:tcPr>
          <w:p w14:paraId="5D8E4E29" w14:textId="77777777" w:rsidR="008D65D9" w:rsidRDefault="008D65D9" w:rsidP="00B428BD">
            <w:pPr>
              <w:pStyle w:val="TableCell0"/>
            </w:pPr>
            <w:r>
              <w:t>None</w:t>
            </w:r>
          </w:p>
        </w:tc>
        <w:tc>
          <w:tcPr>
            <w:tcW w:w="2922" w:type="dxa"/>
          </w:tcPr>
          <w:p w14:paraId="3759624C" w14:textId="77777777" w:rsidR="008D65D9" w:rsidRDefault="008D65D9" w:rsidP="00B428BD">
            <w:pPr>
              <w:pStyle w:val="TableCell0"/>
            </w:pPr>
            <w:r>
              <w:t>Threshold: 1, 3, 6, ∞</w:t>
            </w:r>
          </w:p>
        </w:tc>
      </w:tr>
      <w:tr w:rsidR="008D65D9" w14:paraId="0A558AF9" w14:textId="77777777" w:rsidTr="00B428BD">
        <w:tc>
          <w:tcPr>
            <w:tcW w:w="1795" w:type="dxa"/>
          </w:tcPr>
          <w:p w14:paraId="1A93BEB2" w14:textId="77777777" w:rsidR="008D65D9" w:rsidRDefault="008D65D9" w:rsidP="00B428BD">
            <w:pPr>
              <w:pStyle w:val="TableCell0"/>
            </w:pPr>
            <w:r>
              <w:rPr>
                <w:i/>
                <w:noProof/>
              </w:rPr>
              <w:t>p</w:t>
            </w:r>
            <w:r>
              <w:rPr>
                <w:i/>
                <w:noProof/>
                <w:lang w:eastAsia="ko-KR"/>
              </w:rPr>
              <w:t>hr-P</w:t>
            </w:r>
            <w:r>
              <w:rPr>
                <w:i/>
                <w:noProof/>
              </w:rPr>
              <w:t>eriodicTimer</w:t>
            </w:r>
          </w:p>
        </w:tc>
        <w:tc>
          <w:tcPr>
            <w:tcW w:w="3220" w:type="dxa"/>
          </w:tcPr>
          <w:p w14:paraId="31077820" w14:textId="77777777" w:rsidR="008D65D9" w:rsidRDefault="008D65D9" w:rsidP="00B428BD">
            <w:pPr>
              <w:pStyle w:val="TableCell0"/>
            </w:pPr>
            <w:r>
              <w:t>None</w:t>
            </w:r>
          </w:p>
        </w:tc>
        <w:tc>
          <w:tcPr>
            <w:tcW w:w="1370" w:type="dxa"/>
          </w:tcPr>
          <w:p w14:paraId="069825B7" w14:textId="77777777" w:rsidR="008D65D9" w:rsidRDefault="008D65D9" w:rsidP="00B428BD">
            <w:pPr>
              <w:pStyle w:val="TableCell0"/>
            </w:pPr>
            <w:r>
              <w:t>None</w:t>
            </w:r>
          </w:p>
        </w:tc>
        <w:tc>
          <w:tcPr>
            <w:tcW w:w="2922" w:type="dxa"/>
          </w:tcPr>
          <w:p w14:paraId="15EB98E7" w14:textId="77777777" w:rsidR="008D65D9" w:rsidRDefault="008D65D9" w:rsidP="00B428BD">
            <w:pPr>
              <w:pStyle w:val="TableCell0"/>
            </w:pPr>
            <w:r>
              <w:t xml:space="preserve"># subframes: </w:t>
            </w:r>
            <w:r w:rsidRPr="009065BB">
              <w:t>10, 20, 50, 100, 200,</w:t>
            </w:r>
            <w:r>
              <w:t xml:space="preserve"> </w:t>
            </w:r>
            <w:r w:rsidRPr="009065BB">
              <w:t xml:space="preserve">500, 1000, </w:t>
            </w:r>
            <w:r>
              <w:t>∞</w:t>
            </w:r>
          </w:p>
        </w:tc>
      </w:tr>
      <w:tr w:rsidR="008D65D9" w14:paraId="377BD08B" w14:textId="77777777" w:rsidTr="00B428BD">
        <w:tc>
          <w:tcPr>
            <w:tcW w:w="1795" w:type="dxa"/>
          </w:tcPr>
          <w:p w14:paraId="0EC116A7" w14:textId="77777777" w:rsidR="008D65D9" w:rsidRDefault="008D65D9" w:rsidP="00B428BD">
            <w:pPr>
              <w:pStyle w:val="TableCell0"/>
              <w:rPr>
                <w:i/>
                <w:noProof/>
              </w:rPr>
            </w:pPr>
            <w:r>
              <w:rPr>
                <w:i/>
                <w:noProof/>
              </w:rPr>
              <w:t>p</w:t>
            </w:r>
            <w:r>
              <w:rPr>
                <w:i/>
                <w:noProof/>
                <w:lang w:eastAsia="ko-KR"/>
              </w:rPr>
              <w:t>hr-P</w:t>
            </w:r>
            <w:r>
              <w:rPr>
                <w:i/>
                <w:noProof/>
              </w:rPr>
              <w:t>rohibitTimer</w:t>
            </w:r>
            <w:r>
              <w:rPr>
                <w:noProof/>
              </w:rPr>
              <w:t xml:space="preserve"> expires</w:t>
            </w:r>
          </w:p>
        </w:tc>
        <w:tc>
          <w:tcPr>
            <w:tcW w:w="3220" w:type="dxa"/>
          </w:tcPr>
          <w:p w14:paraId="208EADE1" w14:textId="77777777" w:rsidR="008D65D9" w:rsidRDefault="008D65D9" w:rsidP="00B428BD">
            <w:pPr>
              <w:pStyle w:val="TableCell0"/>
            </w:pPr>
            <w:r>
              <w:rPr>
                <w:noProof/>
              </w:rPr>
              <w:t>the required power backoff due to power management (as allowed by P-MPR</w:t>
            </w:r>
            <w:r>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Pr>
                <w:i/>
                <w:noProof/>
              </w:rPr>
              <w:t>phr-Tx-PowerFactorChange</w:t>
            </w:r>
            <w:r>
              <w:rPr>
                <w:noProof/>
              </w:rPr>
              <w:t xml:space="preserve"> dB since the last transmission of a PHR</w:t>
            </w:r>
          </w:p>
        </w:tc>
        <w:tc>
          <w:tcPr>
            <w:tcW w:w="1370" w:type="dxa"/>
          </w:tcPr>
          <w:p w14:paraId="1CB166D5" w14:textId="77777777" w:rsidR="008D65D9" w:rsidRDefault="008D65D9" w:rsidP="00B428BD">
            <w:pPr>
              <w:pStyle w:val="TableCell0"/>
            </w:pPr>
            <w:r>
              <w:t>P-MPR is the cause for the PHR report</w:t>
            </w:r>
          </w:p>
        </w:tc>
        <w:tc>
          <w:tcPr>
            <w:tcW w:w="2922" w:type="dxa"/>
          </w:tcPr>
          <w:p w14:paraId="5CC2C7E7" w14:textId="77777777" w:rsidR="008D65D9" w:rsidRDefault="008D65D9" w:rsidP="00B428BD">
            <w:pPr>
              <w:pStyle w:val="TableCell0"/>
            </w:pPr>
            <w:r>
              <w:t>Timer:</w:t>
            </w:r>
            <w:r>
              <w:br/>
              <w:t xml:space="preserve"># subframes: </w:t>
            </w:r>
            <w:r w:rsidRPr="009065BB">
              <w:t>0, 10, 20, 50, 100, 200, 500, 1000</w:t>
            </w:r>
          </w:p>
        </w:tc>
      </w:tr>
    </w:tbl>
    <w:p w14:paraId="23FC465B" w14:textId="77777777" w:rsidR="008D65D9" w:rsidRDefault="008D65D9" w:rsidP="008D65D9"/>
    <w:p w14:paraId="2023CD14" w14:textId="7E2E57CD" w:rsidR="008D65D9" w:rsidRDefault="00B1320D" w:rsidP="008D65D9">
      <w:r>
        <w:t>The last row is a relative trigger</w:t>
      </w:r>
      <w:r w:rsidR="00742D74">
        <w:t xml:space="preserve"> for P-MPR</w:t>
      </w:r>
      <w:r>
        <w:t xml:space="preserve">, as many companies have noted. It </w:t>
      </w:r>
      <w:r w:rsidR="009F6185">
        <w:t>was introduced in Rel 10 of LTE and is carried to NR.</w:t>
      </w:r>
      <w:r>
        <w:t xml:space="preserve"> Likewise, the periodic timer is available. Many companies also favor reusing the periodic timer values. With </w:t>
      </w:r>
      <w:r w:rsidR="005D4E8C">
        <w:t>existing procedures for the PHR</w:t>
      </w:r>
      <w:r>
        <w:t xml:space="preserve">, two issues can be </w:t>
      </w:r>
      <w:r w:rsidR="00742D74">
        <w:t>defined and supported</w:t>
      </w:r>
      <w:r>
        <w:t xml:space="preserve">. </w:t>
      </w:r>
    </w:p>
    <w:p w14:paraId="18AFE33A" w14:textId="1993ADEB" w:rsidR="005D4E8C" w:rsidRDefault="005D4E8C" w:rsidP="005D4E8C">
      <w:pPr>
        <w:rPr>
          <w:b/>
          <w:bCs/>
        </w:rPr>
      </w:pPr>
      <w:r>
        <w:rPr>
          <w:b/>
          <w:bCs/>
          <w:u w:val="single"/>
        </w:rPr>
        <w:t>Observation</w:t>
      </w:r>
      <w:r w:rsidRPr="005F5CB4">
        <w:rPr>
          <w:b/>
          <w:bCs/>
          <w:u w:val="single"/>
        </w:rPr>
        <w:t xml:space="preserve"> </w:t>
      </w:r>
      <w:r>
        <w:rPr>
          <w:b/>
          <w:bCs/>
          <w:u w:val="single"/>
        </w:rPr>
        <w:t>1</w:t>
      </w:r>
      <w:r w:rsidRPr="005F5CB4">
        <w:rPr>
          <w:b/>
          <w:bCs/>
        </w:rPr>
        <w:t xml:space="preserve">: </w:t>
      </w:r>
      <w:r>
        <w:rPr>
          <w:b/>
          <w:bCs/>
        </w:rPr>
        <w:t>A benefit of extending the PHR report is the existing PHR procedures support periodic reporting and relative level triggers</w:t>
      </w:r>
    </w:p>
    <w:p w14:paraId="0D76BF9B" w14:textId="732397E1" w:rsidR="00B1320D" w:rsidRDefault="00B1320D" w:rsidP="008D65D9">
      <w:pPr>
        <w:rPr>
          <w:iCs/>
          <w:noProof/>
        </w:rPr>
      </w:pPr>
      <w:r>
        <w:t>One minor improvement can be made.</w:t>
      </w:r>
      <w:r w:rsidR="00BD04BB">
        <w:t xml:space="preserve"> In the last row, the condition for </w:t>
      </w:r>
      <w:r w:rsidR="00723494">
        <w:t>reporting</w:t>
      </w:r>
      <w:r w:rsidR="00BD04BB">
        <w:t xml:space="preserve"> a </w:t>
      </w:r>
      <w:r w:rsidR="00723494">
        <w:t>PHR report due</w:t>
      </w:r>
      <w:r>
        <w:t xml:space="preserve"> </w:t>
      </w:r>
      <w:r w:rsidR="00723494">
        <w:t xml:space="preserve">to an MPE event uses the same threshold </w:t>
      </w:r>
      <w:r w:rsidR="000F5BB3">
        <w:t xml:space="preserve">value </w:t>
      </w:r>
      <w:r w:rsidR="00723494">
        <w:t xml:space="preserve">as the trigger </w:t>
      </w:r>
      <w:r w:rsidR="000F5BB3">
        <w:t xml:space="preserve">for </w:t>
      </w:r>
      <w:r w:rsidR="00723494">
        <w:t xml:space="preserve">generating a PHR report </w:t>
      </w:r>
      <w:r w:rsidR="000F5BB3">
        <w:t>resulting from</w:t>
      </w:r>
      <w:r w:rsidR="00723494">
        <w:t xml:space="preserve"> changes in the path loss</w:t>
      </w:r>
      <w:r w:rsidR="000F5BB3">
        <w:t>, even though path loss changes and MPE events are independent. It is possible to decouple the shared threshold by introducing a new relative threshold dedicated for MPE events.</w:t>
      </w:r>
      <w:r w:rsidR="00723494">
        <w:t xml:space="preserve"> </w:t>
      </w:r>
      <w:r w:rsidR="000F5BB3">
        <w:t>This new threshold could then be related to the reporting granularity.</w:t>
      </w:r>
    </w:p>
    <w:p w14:paraId="75437DCB" w14:textId="0BF35CF9" w:rsidR="006B3E30" w:rsidRPr="00B1320D" w:rsidRDefault="000F5BB3" w:rsidP="008D65D9">
      <w:pPr>
        <w:rPr>
          <w:iCs/>
        </w:rPr>
      </w:pPr>
      <w:r>
        <w:t xml:space="preserve">The last observation is regarding the timer values. </w:t>
      </w:r>
      <w:r w:rsidR="00C52D67">
        <w:t xml:space="preserve">In order to determine whether an MPE event occurs, a UE </w:t>
      </w:r>
      <w:r w:rsidR="00723494">
        <w:t xml:space="preserve">typically </w:t>
      </w:r>
      <w:r w:rsidR="00C52D67">
        <w:t xml:space="preserve">evaluates </w:t>
      </w:r>
      <w:r w:rsidR="00723494">
        <w:t xml:space="preserve">several seconds worth of </w:t>
      </w:r>
      <w:r w:rsidR="00C52D67">
        <w:t>mea</w:t>
      </w:r>
      <w:r w:rsidR="00723494">
        <w:t>surements.</w:t>
      </w:r>
      <w:r w:rsidR="00146FEF">
        <w:t xml:space="preserve"> </w:t>
      </w:r>
      <w:r w:rsidR="00723494">
        <w:t xml:space="preserve">However, once </w:t>
      </w:r>
      <w:r w:rsidR="00146FEF">
        <w:t xml:space="preserve">an MPE event </w:t>
      </w:r>
      <w:r w:rsidR="00723494">
        <w:t>is declared by the UE</w:t>
      </w:r>
      <w:r w:rsidR="00146FEF">
        <w:t xml:space="preserve">, </w:t>
      </w:r>
      <w:r w:rsidR="00723494">
        <w:t>both the UE and network</w:t>
      </w:r>
      <w:r w:rsidR="00146FEF">
        <w:t xml:space="preserve"> response</w:t>
      </w:r>
      <w:r w:rsidR="00723494">
        <w:t>s</w:t>
      </w:r>
      <w:r w:rsidR="00146FEF">
        <w:t xml:space="preserve"> must be relatively immediate. </w:t>
      </w:r>
      <w:r w:rsidR="00723494">
        <w:t>With the current sets of timer values for both the periodic and prohibit timers, the sets are adequate for the P-MPR reporting for network operation</w:t>
      </w:r>
      <w:r w:rsidR="009F6185">
        <w:t>.</w:t>
      </w:r>
    </w:p>
    <w:p w14:paraId="747152F0" w14:textId="0F03CA35" w:rsidR="00B1320D" w:rsidRDefault="00B1320D" w:rsidP="00B1320D">
      <w:pPr>
        <w:pStyle w:val="Heading3"/>
      </w:pPr>
      <w:r>
        <w:t>New MAC CE</w:t>
      </w:r>
    </w:p>
    <w:p w14:paraId="32253DCC" w14:textId="5DBE16A7" w:rsidR="00B1320D" w:rsidRDefault="00B1320D" w:rsidP="008D65D9">
      <w:r>
        <w:t xml:space="preserve">If a new MAC CE is suggested, then </w:t>
      </w:r>
      <w:r w:rsidR="00742D74">
        <w:t xml:space="preserve">RAN4 will need to decide to define periodic timer and relative trigger. Based on discussion </w:t>
      </w:r>
      <w:r w:rsidR="00661E87">
        <w:t>above, having either one is acceptable</w:t>
      </w:r>
      <w:r w:rsidR="006B3E30">
        <w:t>.</w:t>
      </w:r>
    </w:p>
    <w:p w14:paraId="046B30FA" w14:textId="657FD537" w:rsidR="00F57F81" w:rsidRDefault="006D7E1F" w:rsidP="00F57F81">
      <w:pPr>
        <w:pStyle w:val="Heading2"/>
      </w:pPr>
      <w:r>
        <w:t>Reporting granularity</w:t>
      </w:r>
    </w:p>
    <w:p w14:paraId="4426CE5C" w14:textId="10D4AF7A" w:rsidR="000A589D" w:rsidRDefault="00661E87" w:rsidP="000A589D">
      <w:r>
        <w:t>Another issue is finalizing t</w:t>
      </w:r>
      <w:r w:rsidR="006D7E1F">
        <w:t>he number of bits to represent the P-MPR value</w:t>
      </w:r>
      <w:r>
        <w:t>. The current agreement for the size is</w:t>
      </w:r>
      <w:r w:rsidR="006D7E1F">
        <w:t xml:space="preserve"> between 2 and 5 bits. </w:t>
      </w:r>
      <w:r w:rsidR="0051653E">
        <w:t>Some p</w:t>
      </w:r>
      <w:r w:rsidR="006D7E1F">
        <w:t xml:space="preserve">roponents of 2 bits consider the usage of the reserved bits </w:t>
      </w:r>
      <w:r w:rsidR="0051653E">
        <w:t>of the PHR MAC CE. Note it is not guaranteed that RAN2 will use the reserved bits. Other proponents favor more resolution to support network management. This approach can be used for both the extended PHR MAC CE or a new MAC CE.</w:t>
      </w:r>
    </w:p>
    <w:p w14:paraId="0672CC4B" w14:textId="41B42166" w:rsidR="0051653E" w:rsidRDefault="0051653E" w:rsidP="0051653E">
      <w:pPr>
        <w:rPr>
          <w:iCs/>
        </w:rPr>
      </w:pPr>
      <w:r>
        <w:t xml:space="preserve">Regardless of the resolution, the thresholds should be related to the reporting granularity. </w:t>
      </w:r>
      <w:r>
        <w:rPr>
          <w:iCs/>
        </w:rPr>
        <w:t xml:space="preserve">For example, </w:t>
      </w:r>
      <w:r w:rsidR="0067676F">
        <w:rPr>
          <w:iCs/>
        </w:rPr>
        <w:t>assume</w:t>
      </w:r>
      <w:r>
        <w:rPr>
          <w:iCs/>
        </w:rPr>
        <w:t xml:space="preserve"> the set of possible values for the threshold </w:t>
      </w:r>
      <w:r w:rsidR="0067676F">
        <w:rPr>
          <w:iCs/>
        </w:rPr>
        <w:t>is</w:t>
      </w:r>
      <w:r>
        <w:rPr>
          <w:iCs/>
        </w:rPr>
        <w:t xml:space="preserve"> (3, 6, 9, 12, …, 30) dB and the </w:t>
      </w:r>
      <w:r w:rsidR="0067676F">
        <w:rPr>
          <w:iCs/>
        </w:rPr>
        <w:t xml:space="preserve">reported </w:t>
      </w:r>
      <w:r>
        <w:rPr>
          <w:iCs/>
        </w:rPr>
        <w:t xml:space="preserve">P-MPR value </w:t>
      </w:r>
      <w:r w:rsidR="0067676F">
        <w:rPr>
          <w:iCs/>
        </w:rPr>
        <w:t>is</w:t>
      </w:r>
      <w:r>
        <w:rPr>
          <w:iCs/>
        </w:rPr>
        <w:t xml:space="preserve"> </w:t>
      </w:r>
      <w:r w:rsidR="0067676F">
        <w:rPr>
          <w:iCs/>
        </w:rPr>
        <w:t xml:space="preserve">chosen </w:t>
      </w:r>
      <w:r>
        <w:rPr>
          <w:iCs/>
        </w:rPr>
        <w:t>from a set of values (0, 5, 10, ≥15) dB. When the network receives a P-MPR value of 10 dB and the threshold is 6 dB, the network can estimate the P-MPR is at least 7 dB and at most 10 dB. The ambiguity may affect how the network manages the UE, such as a duty cycle reduction to 25% or 12.5%.</w:t>
      </w:r>
    </w:p>
    <w:p w14:paraId="7D14145C" w14:textId="496CF171" w:rsidR="0051653E" w:rsidRDefault="0067676F" w:rsidP="0051653E">
      <w:pPr>
        <w:rPr>
          <w:b/>
          <w:bCs/>
        </w:rPr>
      </w:pPr>
      <w:r>
        <w:rPr>
          <w:b/>
          <w:bCs/>
          <w:u w:val="single"/>
        </w:rPr>
        <w:t>Observation</w:t>
      </w:r>
      <w:r w:rsidR="0051653E" w:rsidRPr="005F5CB4">
        <w:rPr>
          <w:b/>
          <w:bCs/>
          <w:u w:val="single"/>
        </w:rPr>
        <w:t xml:space="preserve"> </w:t>
      </w:r>
      <w:r w:rsidR="005D4E8C">
        <w:rPr>
          <w:b/>
          <w:bCs/>
          <w:u w:val="single"/>
        </w:rPr>
        <w:t>2</w:t>
      </w:r>
      <w:r w:rsidR="0051653E" w:rsidRPr="005F5CB4">
        <w:rPr>
          <w:b/>
          <w:bCs/>
        </w:rPr>
        <w:t xml:space="preserve">: </w:t>
      </w:r>
      <w:r w:rsidR="0051653E">
        <w:rPr>
          <w:b/>
          <w:bCs/>
        </w:rPr>
        <w:t xml:space="preserve">The </w:t>
      </w:r>
      <w:r w:rsidR="0051653E" w:rsidRPr="00BE7E28">
        <w:rPr>
          <w:b/>
          <w:bCs/>
        </w:rPr>
        <w:t>P-MPR reporting range and reporting granularity</w:t>
      </w:r>
      <w:r w:rsidR="0051653E">
        <w:rPr>
          <w:b/>
          <w:bCs/>
        </w:rPr>
        <w:t xml:space="preserve"> should be related to the threshold values.</w:t>
      </w:r>
    </w:p>
    <w:p w14:paraId="543373A0" w14:textId="2DD76EB7" w:rsidR="00AB4AC1" w:rsidRDefault="005D4E8C" w:rsidP="00AB4AC1">
      <w:pPr>
        <w:pStyle w:val="Heading3"/>
      </w:pPr>
      <w:r>
        <w:lastRenderedPageBreak/>
        <w:t>P field observation</w:t>
      </w:r>
    </w:p>
    <w:p w14:paraId="75BBEFBB" w14:textId="77777777" w:rsidR="009F6185" w:rsidRDefault="009F6185" w:rsidP="009F6185">
      <w:r>
        <w:t xml:space="preserve">With a recent RAN2 CR </w:t>
      </w:r>
      <w:r>
        <w:fldChar w:fldCharType="begin"/>
      </w:r>
      <w:r>
        <w:instrText xml:space="preserve"> REF _Ref40173820 \r \h </w:instrText>
      </w:r>
      <w:r>
        <w:fldChar w:fldCharType="separate"/>
      </w:r>
      <w:r>
        <w:t>[4]</w:t>
      </w:r>
      <w:r>
        <w:fldChar w:fldCharType="end"/>
      </w:r>
      <w:r>
        <w:t>,</w:t>
      </w:r>
      <w:r w:rsidRPr="002468D5">
        <w:t xml:space="preserve"> </w:t>
      </w:r>
      <w:r>
        <w:t>both PHR reports (</w:t>
      </w:r>
      <w:r w:rsidRPr="002468D5">
        <w:t>Single Entry PHR MAC CE</w:t>
      </w:r>
      <w:r>
        <w:t xml:space="preserve"> and </w:t>
      </w:r>
      <w:r w:rsidRPr="002468D5">
        <w:t>Multiple Entry PHR MAC CE</w:t>
      </w:r>
      <w:r>
        <w:t xml:space="preserve">) now support the “P field”. </w:t>
      </w:r>
    </w:p>
    <w:p w14:paraId="45E8CDAC" w14:textId="77777777" w:rsidR="009F6185" w:rsidRDefault="009F6185" w:rsidP="009F6185">
      <w:pPr>
        <w:pStyle w:val="B1"/>
        <w:rPr>
          <w:lang w:eastAsia="ko-KR"/>
        </w:rPr>
      </w:pPr>
      <w:r>
        <w:rPr>
          <w:lang w:eastAsia="ko-KR"/>
        </w:rPr>
        <w:t>-</w:t>
      </w:r>
      <w:r>
        <w:rPr>
          <w:lang w:eastAsia="ko-KR"/>
        </w:rPr>
        <w:tab/>
        <w:t>P: This field indicates whether the MAC entity applies power backoff due to power management (as allowed by P-MPR</w:t>
      </w:r>
      <w:r>
        <w:rPr>
          <w:vertAlign w:val="subscript"/>
          <w:lang w:eastAsia="ko-KR"/>
        </w:rPr>
        <w:t>c</w:t>
      </w:r>
      <w:r>
        <w:rPr>
          <w:lang w:eastAsia="ko-KR"/>
        </w:rPr>
        <w:t xml:space="preserve"> as specified in TS 38.101-1 </w:t>
      </w:r>
      <w:r w:rsidRPr="00C616AC">
        <w:rPr>
          <w:lang w:eastAsia="ko-KR"/>
        </w:rPr>
        <w:t>[14],</w:t>
      </w:r>
      <w:r>
        <w:rPr>
          <w:lang w:eastAsia="ko-KR"/>
        </w:rPr>
        <w:t xml:space="preserve"> TS 38.101-2 </w:t>
      </w:r>
      <w:r w:rsidRPr="00C616AC">
        <w:rPr>
          <w:lang w:eastAsia="ko-KR"/>
        </w:rPr>
        <w:t>[15],</w:t>
      </w:r>
      <w:r>
        <w:rPr>
          <w:lang w:eastAsia="ko-KR"/>
        </w:rPr>
        <w:t xml:space="preserve"> and TS 38.101-3 </w:t>
      </w:r>
      <w:r w:rsidRPr="00C616AC">
        <w:rPr>
          <w:lang w:eastAsia="ko-KR"/>
        </w:rPr>
        <w:t>[16]).</w:t>
      </w:r>
      <w:r>
        <w:rPr>
          <w:lang w:eastAsia="ko-KR"/>
        </w:rPr>
        <w:t xml:space="preserve">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486CA40C" w14:textId="5F2A0005" w:rsidR="0051653E" w:rsidRDefault="005D4E8C" w:rsidP="000A589D">
      <w:r>
        <w:t>T</w:t>
      </w:r>
      <w:r w:rsidR="00AB4AC1">
        <w:t>he P field signifie</w:t>
      </w:r>
      <w:r w:rsidR="009F6185">
        <w:t>s</w:t>
      </w:r>
      <w:r w:rsidR="00AB4AC1">
        <w:t xml:space="preserve"> a P-MPR event</w:t>
      </w:r>
      <w:r>
        <w:t>. When</w:t>
      </w:r>
      <w:r w:rsidR="00AB4AC1">
        <w:t xml:space="preserve"> the network receive</w:t>
      </w:r>
      <w:r>
        <w:t>s</w:t>
      </w:r>
      <w:r w:rsidR="00AB4AC1">
        <w:t xml:space="preserve"> a PHR report, it kn</w:t>
      </w:r>
      <w:r>
        <w:t>o</w:t>
      </w:r>
      <w:r w:rsidR="00AB4AC1">
        <w:t>w</w:t>
      </w:r>
      <w:r>
        <w:t>s</w:t>
      </w:r>
      <w:r w:rsidR="00AB4AC1">
        <w:t xml:space="preserve"> the reason for the </w:t>
      </w:r>
      <w:r>
        <w:t xml:space="preserve">triggered </w:t>
      </w:r>
      <w:r w:rsidR="00AB4AC1">
        <w:t>report as well as a</w:t>
      </w:r>
      <w:r>
        <w:t>n indication of change in the</w:t>
      </w:r>
      <w:r w:rsidR="00AB4AC1">
        <w:t xml:space="preserve"> MPE condition. </w:t>
      </w:r>
    </w:p>
    <w:p w14:paraId="7B0956F2" w14:textId="17A5DC8E" w:rsidR="00AB4AC1" w:rsidRDefault="00AB4AC1" w:rsidP="00AB4AC1">
      <w:r>
        <w:t xml:space="preserve">If the decision is to extend the PHR report with a P-MPR value, the PHR </w:t>
      </w:r>
      <w:r w:rsidR="00BD04BB">
        <w:t xml:space="preserve">report </w:t>
      </w:r>
      <w:r>
        <w:t xml:space="preserve">would </w:t>
      </w:r>
      <w:r w:rsidR="00BD04BB">
        <w:t>have</w:t>
      </w:r>
      <w:r>
        <w:t xml:space="preserve"> two items of information regarding P-MPR: the P field and (a representation of) the actual value. In this case, the meaning of the P field is unclear since the actual value provides more information</w:t>
      </w:r>
      <w:r w:rsidR="005D4E8C">
        <w:t xml:space="preserve"> to the network</w:t>
      </w:r>
      <w:r>
        <w:t xml:space="preserve">. </w:t>
      </w:r>
    </w:p>
    <w:p w14:paraId="7BB8C924" w14:textId="60013F9C" w:rsidR="00AB4AC1" w:rsidRDefault="00AB4AC1" w:rsidP="000A589D">
      <w:pPr>
        <w:rPr>
          <w:b/>
          <w:bCs/>
        </w:rPr>
      </w:pPr>
      <w:r w:rsidRPr="00CF6750">
        <w:rPr>
          <w:b/>
          <w:bCs/>
          <w:u w:val="single"/>
        </w:rPr>
        <w:t xml:space="preserve">Observation </w:t>
      </w:r>
      <w:r w:rsidR="005D4E8C">
        <w:rPr>
          <w:b/>
          <w:bCs/>
          <w:u w:val="single"/>
        </w:rPr>
        <w:t>3</w:t>
      </w:r>
      <w:r w:rsidRPr="00CF6750">
        <w:rPr>
          <w:b/>
          <w:bCs/>
        </w:rPr>
        <w:t>: With a value of the P-MPR reported in a</w:t>
      </w:r>
      <w:r>
        <w:rPr>
          <w:b/>
          <w:bCs/>
        </w:rPr>
        <w:t xml:space="preserve">n </w:t>
      </w:r>
      <w:r w:rsidR="005D4E8C">
        <w:rPr>
          <w:b/>
          <w:bCs/>
        </w:rPr>
        <w:t>extended</w:t>
      </w:r>
      <w:r w:rsidRPr="00CF6750">
        <w:rPr>
          <w:b/>
          <w:bCs/>
        </w:rPr>
        <w:t xml:space="preserve"> PHR</w:t>
      </w:r>
      <w:r>
        <w:rPr>
          <w:b/>
          <w:bCs/>
        </w:rPr>
        <w:t xml:space="preserve"> report</w:t>
      </w:r>
      <w:r w:rsidRPr="00CF6750">
        <w:rPr>
          <w:b/>
          <w:bCs/>
        </w:rPr>
        <w:t>, it may be unclear how to interpret the P field.</w:t>
      </w:r>
    </w:p>
    <w:p w14:paraId="028B5A36" w14:textId="116D99F2" w:rsidR="00146FEF" w:rsidRDefault="009F6185" w:rsidP="00146FEF">
      <w:pPr>
        <w:pStyle w:val="Heading2"/>
      </w:pPr>
      <w:r>
        <w:t>Network operation</w:t>
      </w:r>
    </w:p>
    <w:p w14:paraId="794F2466" w14:textId="5E5505DE" w:rsidR="00BE7E28" w:rsidRDefault="00BE7E28" w:rsidP="00BE7E28">
      <w:r>
        <w:t>In 38.101-2</w:t>
      </w:r>
      <w:r w:rsidR="00510BAF">
        <w:t xml:space="preserve"> subclause 6.2.4</w:t>
      </w:r>
      <w:r>
        <w:t>, the UE adjusts it</w:t>
      </w:r>
      <w:r w:rsidR="00510BAF">
        <w:t>s</w:t>
      </w:r>
      <w:r>
        <w:t xml:space="preserve"> transmit power according to</w:t>
      </w:r>
      <w:r w:rsidR="00993C0F">
        <w:t xml:space="preserve"> two sets of equations:</w:t>
      </w:r>
    </w:p>
    <w:p w14:paraId="6AC4F684" w14:textId="77777777" w:rsidR="00510BAF" w:rsidRPr="00510BAF" w:rsidRDefault="00510BAF" w:rsidP="00510BAF">
      <w:pPr>
        <w:rPr>
          <w:sz w:val="20"/>
          <w:szCs w:val="20"/>
        </w:rPr>
      </w:pPr>
      <w:r w:rsidRPr="00510BAF">
        <w:rPr>
          <w:sz w:val="20"/>
          <w:szCs w:val="20"/>
        </w:rPr>
        <w:t>The configured UE maximum output power P</w:t>
      </w:r>
      <w:r w:rsidRPr="00510BAF">
        <w:rPr>
          <w:sz w:val="20"/>
          <w:szCs w:val="20"/>
          <w:vertAlign w:val="subscript"/>
        </w:rPr>
        <w:t>CMAX,f,c</w:t>
      </w:r>
      <w:r w:rsidRPr="00510BAF">
        <w:rPr>
          <w:sz w:val="20"/>
          <w:szCs w:val="20"/>
        </w:rPr>
        <w:t xml:space="preserve"> for carrier </w:t>
      </w:r>
      <w:r w:rsidRPr="00510BAF">
        <w:rPr>
          <w:i/>
          <w:sz w:val="20"/>
          <w:szCs w:val="20"/>
        </w:rPr>
        <w:t>f</w:t>
      </w:r>
      <w:r w:rsidRPr="00510BAF">
        <w:rPr>
          <w:sz w:val="20"/>
          <w:szCs w:val="20"/>
        </w:rPr>
        <w:t xml:space="preserve"> of a serving cell </w:t>
      </w:r>
      <w:r w:rsidRPr="00510BAF">
        <w:rPr>
          <w:i/>
          <w:sz w:val="20"/>
          <w:szCs w:val="20"/>
        </w:rPr>
        <w:t>c</w:t>
      </w:r>
      <w:r w:rsidRPr="00510BAF">
        <w:rPr>
          <w:sz w:val="20"/>
          <w:szCs w:val="20"/>
        </w:rPr>
        <w:t xml:space="preserve"> shall be set such that the corresponding measured peak EIRP P</w:t>
      </w:r>
      <w:r w:rsidRPr="00510BAF">
        <w:rPr>
          <w:sz w:val="20"/>
          <w:szCs w:val="20"/>
          <w:vertAlign w:val="subscript"/>
        </w:rPr>
        <w:t>UMAX,f,c</w:t>
      </w:r>
      <w:r w:rsidRPr="00510BAF">
        <w:rPr>
          <w:sz w:val="20"/>
          <w:szCs w:val="20"/>
        </w:rPr>
        <w:t xml:space="preserve"> is within the following bounds</w:t>
      </w:r>
    </w:p>
    <w:p w14:paraId="21321A18" w14:textId="77777777" w:rsidR="00510BAF" w:rsidRPr="00EF7AC4" w:rsidRDefault="00510BAF" w:rsidP="00510BAF">
      <w:pPr>
        <w:pStyle w:val="EQ"/>
        <w:jc w:val="center"/>
      </w:pPr>
      <w:r w:rsidRPr="00123AC9">
        <w:t>P</w:t>
      </w:r>
      <w:r w:rsidRPr="00123AC9">
        <w:rPr>
          <w:vertAlign w:val="subscript"/>
        </w:rPr>
        <w:t>Powerclass</w:t>
      </w:r>
      <w:r w:rsidRPr="00EF7AC4">
        <w:t xml:space="preserve"> – MAX(MAX(MPR</w:t>
      </w:r>
      <w:r w:rsidRPr="00EF7AC4">
        <w:rPr>
          <w:vertAlign w:val="subscript"/>
        </w:rPr>
        <w:t>f,c</w:t>
      </w:r>
      <w:r w:rsidRPr="00EF7AC4">
        <w:t>, A- MPR</w:t>
      </w:r>
      <w:r w:rsidRPr="00EF7AC4">
        <w:rPr>
          <w:vertAlign w:val="subscript"/>
        </w:rPr>
        <w:t>f,c</w:t>
      </w:r>
      <w:r w:rsidRPr="00EF7AC4">
        <w:t>,) + ΔMB</w:t>
      </w:r>
      <w:r w:rsidRPr="00EF7AC4">
        <w:rPr>
          <w:vertAlign w:val="subscript"/>
        </w:rPr>
        <w:t>P,n</w:t>
      </w:r>
      <w:r w:rsidRPr="00EF7AC4">
        <w:t>, P-MPR</w:t>
      </w:r>
      <w:r w:rsidRPr="00EF7AC4">
        <w:rPr>
          <w:vertAlign w:val="subscript"/>
        </w:rPr>
        <w:t>f,c</w:t>
      </w:r>
      <w:r w:rsidRPr="00EF7AC4">
        <w:t>) – MAX{T(MAX(MPR</w:t>
      </w:r>
      <w:r w:rsidRPr="00EF7AC4">
        <w:rPr>
          <w:vertAlign w:val="subscript"/>
        </w:rPr>
        <w:t>f,c</w:t>
      </w:r>
      <w:r w:rsidRPr="00EF7AC4">
        <w:t>, A- MPR</w:t>
      </w:r>
      <w:r w:rsidRPr="00EF7AC4">
        <w:rPr>
          <w:vertAlign w:val="subscript"/>
        </w:rPr>
        <w:t>f,c</w:t>
      </w:r>
      <w:r w:rsidRPr="00EF7AC4">
        <w:t>,)), T(P-MPR</w:t>
      </w:r>
      <w:r w:rsidRPr="00EF7AC4">
        <w:rPr>
          <w:vertAlign w:val="subscript"/>
        </w:rPr>
        <w:t>f,c</w:t>
      </w:r>
      <w:r w:rsidRPr="00EF7AC4">
        <w:t>)} ≤ P</w:t>
      </w:r>
      <w:r w:rsidRPr="00EF7AC4">
        <w:rPr>
          <w:vertAlign w:val="subscript"/>
        </w:rPr>
        <w:t>UMAX,f,c</w:t>
      </w:r>
      <w:r w:rsidRPr="00EF7AC4">
        <w:t xml:space="preserve"> ≤ EIRP</w:t>
      </w:r>
      <w:r w:rsidRPr="00EF7AC4">
        <w:rPr>
          <w:vertAlign w:val="subscript"/>
        </w:rPr>
        <w:t>max</w:t>
      </w:r>
    </w:p>
    <w:p w14:paraId="1A1FD32D" w14:textId="77777777" w:rsidR="00510BAF" w:rsidRPr="00510BAF" w:rsidRDefault="00510BAF" w:rsidP="00510BAF">
      <w:pPr>
        <w:rPr>
          <w:sz w:val="20"/>
          <w:szCs w:val="20"/>
        </w:rPr>
      </w:pPr>
      <w:r w:rsidRPr="00510BAF">
        <w:rPr>
          <w:sz w:val="20"/>
          <w:szCs w:val="20"/>
        </w:rPr>
        <w:t>while the corresponding measured total radiated power P</w:t>
      </w:r>
      <w:r w:rsidRPr="00510BAF">
        <w:rPr>
          <w:sz w:val="20"/>
          <w:szCs w:val="20"/>
          <w:vertAlign w:val="subscript"/>
        </w:rPr>
        <w:t>TMAX,f,c</w:t>
      </w:r>
      <w:r w:rsidRPr="00510BAF">
        <w:rPr>
          <w:sz w:val="20"/>
          <w:szCs w:val="20"/>
        </w:rPr>
        <w:t xml:space="preserve"> is bounded by</w:t>
      </w:r>
    </w:p>
    <w:p w14:paraId="51F531A0" w14:textId="77777777" w:rsidR="00510BAF" w:rsidRPr="00510BAF" w:rsidRDefault="00510BAF" w:rsidP="00510BAF">
      <w:pPr>
        <w:pStyle w:val="EQ"/>
        <w:jc w:val="center"/>
      </w:pPr>
      <w:r w:rsidRPr="00510BAF">
        <w:t>P</w:t>
      </w:r>
      <w:r w:rsidRPr="00510BAF">
        <w:rPr>
          <w:vertAlign w:val="subscript"/>
        </w:rPr>
        <w:t>TMAX,f,c</w:t>
      </w:r>
      <w:r w:rsidRPr="00510BAF">
        <w:t xml:space="preserve"> ≤ TRP</w:t>
      </w:r>
      <w:r w:rsidRPr="00510BAF">
        <w:rPr>
          <w:vertAlign w:val="subscript"/>
        </w:rPr>
        <w:t>max</w:t>
      </w:r>
    </w:p>
    <w:p w14:paraId="0CFF0C66" w14:textId="029D9871" w:rsidR="00123AC9" w:rsidRDefault="00123AC9" w:rsidP="00BE7E28">
      <w:r>
        <w:t>The MAC CE reports</w:t>
      </w:r>
    </w:p>
    <w:p w14:paraId="38947081" w14:textId="77777777" w:rsidR="00123AC9" w:rsidRDefault="00123AC9" w:rsidP="00123AC9">
      <w:pPr>
        <w:pStyle w:val="B1"/>
        <w:rPr>
          <w:noProof/>
          <w:lang w:eastAsia="ko-KR"/>
        </w:rPr>
      </w:pPr>
      <w:r>
        <w:rPr>
          <w:noProof/>
        </w:rPr>
        <w:t>-</w:t>
      </w:r>
      <w:r>
        <w:rPr>
          <w:noProof/>
        </w:rPr>
        <w:tab/>
        <w:t xml:space="preserve">Power Headroom (PH): </w:t>
      </w:r>
      <w:r>
        <w:rPr>
          <w:noProof/>
          <w:lang w:eastAsia="ko-KR"/>
        </w:rPr>
        <w:t>T</w:t>
      </w:r>
      <w:r>
        <w:rPr>
          <w:noProof/>
        </w:rPr>
        <w:t>his field indicates the power headroom level. The length of the field is 6 bits. The reported PH and the corresponding power headroom levels are shown in Table 6.1.3.</w:t>
      </w:r>
      <w:r>
        <w:rPr>
          <w:noProof/>
          <w:lang w:eastAsia="ko-KR"/>
        </w:rPr>
        <w:t>8</w:t>
      </w:r>
      <w:r>
        <w:rPr>
          <w:noProof/>
        </w:rPr>
        <w:t>-1 below (the corresponding measured values in dB are specified in TS 38.133 [11])</w:t>
      </w:r>
      <w:r>
        <w:rPr>
          <w:noProof/>
          <w:lang w:eastAsia="ko-KR"/>
        </w:rPr>
        <w:t>;</w:t>
      </w:r>
    </w:p>
    <w:p w14:paraId="31ACDC15" w14:textId="77777777" w:rsidR="00123AC9" w:rsidRDefault="00123AC9" w:rsidP="00123AC9">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7F10D882" w14:textId="46ED18A6" w:rsidR="00311696" w:rsidRDefault="009F6185" w:rsidP="00BE7E28">
      <w:r>
        <w:t xml:space="preserve">Several companies </w:t>
      </w:r>
      <w:r w:rsidR="00311696">
        <w:t>provided examples how the headroom, PCMAX, the P-MPR values and (A-)MPR values are used to possibly change a duty cycle for the UE</w:t>
      </w:r>
      <w:r w:rsidR="005D4E8C">
        <w:t xml:space="preserve"> and other possible network behaviors, such as</w:t>
      </w:r>
      <w:r w:rsidR="00311696">
        <w:t xml:space="preserve"> handovers to different carriers or switching to other beams. </w:t>
      </w:r>
    </w:p>
    <w:p w14:paraId="10D76602" w14:textId="1253ACAC" w:rsidR="005D4E8C" w:rsidRDefault="005D4E8C" w:rsidP="00BE7E28">
      <w:r>
        <w:t xml:space="preserve">With an extended PHR report, all the information about the power is contained in one spot. If a separate report is used for the P-MPR value, the </w:t>
      </w:r>
      <w:r w:rsidR="00F904FE">
        <w:t>network would have to combine information for the PHR report. Given that the timer events for both the P-MPR and PHR reports are asynchronous, the values in the PHR report may be dated. As a result, the network has an incomplete picture of the UE state.</w:t>
      </w:r>
    </w:p>
    <w:p w14:paraId="181C3F12" w14:textId="2B85F720" w:rsidR="007A288B" w:rsidRPr="00F904FE" w:rsidRDefault="00F904FE" w:rsidP="00AF3B9C">
      <w:pPr>
        <w:rPr>
          <w:b/>
          <w:bCs/>
        </w:rPr>
      </w:pPr>
      <w:r w:rsidRPr="00F904FE">
        <w:rPr>
          <w:b/>
          <w:bCs/>
          <w:u w:val="single"/>
        </w:rPr>
        <w:t xml:space="preserve">Observation </w:t>
      </w:r>
      <w:r>
        <w:rPr>
          <w:b/>
          <w:bCs/>
          <w:u w:val="single"/>
        </w:rPr>
        <w:t>4</w:t>
      </w:r>
      <w:r w:rsidRPr="00F904FE">
        <w:rPr>
          <w:b/>
          <w:bCs/>
        </w:rPr>
        <w:t>:</w:t>
      </w:r>
      <w:r>
        <w:rPr>
          <w:b/>
          <w:bCs/>
        </w:rPr>
        <w:t xml:space="preserve"> </w:t>
      </w:r>
      <w:r w:rsidR="00516A6F">
        <w:rPr>
          <w:b/>
          <w:bCs/>
        </w:rPr>
        <w:t>Having the P-MPR value in the PHR report allows the network to examine the state of transmit power accurately.</w:t>
      </w:r>
    </w:p>
    <w:p w14:paraId="546A1215" w14:textId="470B57C8" w:rsidR="007F233D" w:rsidRDefault="007F233D" w:rsidP="007F233D">
      <w:pPr>
        <w:pStyle w:val="Heading2"/>
      </w:pPr>
      <w:r>
        <w:t>Analysis</w:t>
      </w:r>
    </w:p>
    <w:p w14:paraId="193368B4" w14:textId="3749948F" w:rsidR="007F233D" w:rsidRPr="007F233D" w:rsidRDefault="007F233D" w:rsidP="007F233D">
      <w:r>
        <w:t xml:space="preserve">Based on the observations that open issues of defining relative triggers and defining periodic reporting are allowed using the framework of the PHR procedure, one conclusion is to extend the PHR framework for P-MPR reporting. Furthermore, with the PHR and the P-MPR reported together, the network has </w:t>
      </w:r>
      <w:r w:rsidR="00916EB0">
        <w:t>all related information for managing MPE compared to combining different MAC CE and aligning the CEs in time.</w:t>
      </w:r>
    </w:p>
    <w:p w14:paraId="6D02155F" w14:textId="5BB4E188" w:rsidR="00A4435B" w:rsidRPr="00C44399" w:rsidRDefault="00311696" w:rsidP="00A4435B">
      <w:pPr>
        <w:rPr>
          <w:b/>
          <w:bCs/>
        </w:rPr>
      </w:pPr>
      <w:r>
        <w:rPr>
          <w:b/>
          <w:bCs/>
          <w:u w:val="single"/>
        </w:rPr>
        <w:t>Proposal</w:t>
      </w:r>
      <w:r w:rsidR="00A4435B" w:rsidRPr="00C44399">
        <w:rPr>
          <w:b/>
          <w:bCs/>
        </w:rPr>
        <w:t xml:space="preserve">: </w:t>
      </w:r>
      <w:r w:rsidR="007F233D">
        <w:rPr>
          <w:b/>
          <w:bCs/>
        </w:rPr>
        <w:t>A LS</w:t>
      </w:r>
      <w:r>
        <w:rPr>
          <w:b/>
          <w:bCs/>
        </w:rPr>
        <w:t xml:space="preserve"> </w:t>
      </w:r>
      <w:r w:rsidR="007F233D">
        <w:rPr>
          <w:b/>
          <w:bCs/>
        </w:rPr>
        <w:t xml:space="preserve">is sent </w:t>
      </w:r>
      <w:r>
        <w:rPr>
          <w:b/>
          <w:bCs/>
        </w:rPr>
        <w:t xml:space="preserve">to RAN2 </w:t>
      </w:r>
      <w:r w:rsidR="007F233D">
        <w:rPr>
          <w:b/>
          <w:bCs/>
        </w:rPr>
        <w:t>requesting the</w:t>
      </w:r>
      <w:r>
        <w:rPr>
          <w:b/>
          <w:bCs/>
        </w:rPr>
        <w:t xml:space="preserve"> exten</w:t>
      </w:r>
      <w:r w:rsidR="007F233D">
        <w:rPr>
          <w:b/>
          <w:bCs/>
        </w:rPr>
        <w:t>sion of</w:t>
      </w:r>
      <w:r>
        <w:rPr>
          <w:b/>
          <w:bCs/>
        </w:rPr>
        <w:t xml:space="preserve"> the</w:t>
      </w:r>
      <w:r w:rsidR="00A4435B" w:rsidRPr="00C44399">
        <w:rPr>
          <w:b/>
          <w:bCs/>
        </w:rPr>
        <w:t xml:space="preserve"> PHR report </w:t>
      </w:r>
      <w:r>
        <w:rPr>
          <w:b/>
          <w:bCs/>
        </w:rPr>
        <w:t>for P-MPR</w:t>
      </w:r>
      <w:r w:rsidR="007F233D">
        <w:rPr>
          <w:b/>
          <w:bCs/>
        </w:rPr>
        <w:t xml:space="preserve"> reporting</w:t>
      </w:r>
      <w:r w:rsidR="00A4435B" w:rsidRPr="00C44399">
        <w:rPr>
          <w:b/>
          <w:bCs/>
        </w:rPr>
        <w:t>.</w:t>
      </w:r>
    </w:p>
    <w:p w14:paraId="0C1E1451" w14:textId="660AA9E0" w:rsidR="00916EB0" w:rsidRDefault="00916EB0" w:rsidP="00AF3B9C">
      <w:r>
        <w:lastRenderedPageBreak/>
        <w:t xml:space="preserve">The </w:t>
      </w:r>
      <w:r w:rsidR="00F60DFB">
        <w:t xml:space="preserve">contents of the </w:t>
      </w:r>
      <w:r>
        <w:t xml:space="preserve">LS </w:t>
      </w:r>
      <w:r w:rsidR="00F60DFB">
        <w:t>c</w:t>
      </w:r>
      <w:r>
        <w:t>ould include</w:t>
      </w:r>
      <w:r w:rsidR="00F60DFB">
        <w:t xml:space="preserve"> </w:t>
      </w:r>
      <w:r>
        <w:t>a new P-MPR-specific relative trigger parameter to replace</w:t>
      </w:r>
      <w:r w:rsidR="00F60DFB">
        <w:t xml:space="preserve"> the</w:t>
      </w:r>
      <w:r>
        <w:t xml:space="preserve"> </w:t>
      </w:r>
      <w:r w:rsidRPr="00916EB0">
        <w:rPr>
          <w:i/>
          <w:iCs/>
        </w:rPr>
        <w:t>phr-Tx-PowerFactorChange</w:t>
      </w:r>
      <w:r>
        <w:t xml:space="preserve"> </w:t>
      </w:r>
      <w:r w:rsidR="00F60DFB">
        <w:t xml:space="preserve">threshold </w:t>
      </w:r>
      <w:r>
        <w:t xml:space="preserve">used </w:t>
      </w:r>
      <w:r w:rsidR="00F60DFB">
        <w:t xml:space="preserve">to generate a PHR report due to changes in the </w:t>
      </w:r>
      <w:r>
        <w:t>P-MPR.</w:t>
      </w:r>
    </w:p>
    <w:p w14:paraId="5D05E5BB" w14:textId="77777777" w:rsidR="00F904FE" w:rsidRDefault="00F904FE" w:rsidP="00AF3B9C"/>
    <w:p w14:paraId="725B4689" w14:textId="66873EC6" w:rsidR="00A94790" w:rsidRDefault="00A94790" w:rsidP="00A94790">
      <w:pPr>
        <w:pStyle w:val="Heading1"/>
      </w:pPr>
      <w:bookmarkStart w:id="6" w:name="_Ref129681832"/>
      <w:bookmarkStart w:id="7" w:name="_Ref124589665"/>
      <w:bookmarkStart w:id="8" w:name="_Ref71620620"/>
      <w:bookmarkStart w:id="9" w:name="_Ref124671424"/>
      <w:r>
        <w:t>Conclusion</w:t>
      </w:r>
    </w:p>
    <w:p w14:paraId="527DD459" w14:textId="55EAE94D" w:rsidR="00A94790" w:rsidRDefault="00F904FE" w:rsidP="00A94790">
      <w:r>
        <w:t>Several observations regarding some open issues and network management are presented based on whether the PHR report and procedures are extended</w:t>
      </w:r>
      <w:r w:rsidR="00516A6F">
        <w:t xml:space="preserve"> for MPE events</w:t>
      </w:r>
      <w:r>
        <w:t>.</w:t>
      </w:r>
    </w:p>
    <w:p w14:paraId="1CD03FDF" w14:textId="77777777" w:rsidR="00F904FE" w:rsidRDefault="00F904FE" w:rsidP="00F904FE">
      <w:pPr>
        <w:rPr>
          <w:b/>
          <w:bCs/>
        </w:rPr>
      </w:pPr>
      <w:r>
        <w:rPr>
          <w:b/>
          <w:bCs/>
          <w:u w:val="single"/>
        </w:rPr>
        <w:t>Observation</w:t>
      </w:r>
      <w:r w:rsidRPr="005F5CB4">
        <w:rPr>
          <w:b/>
          <w:bCs/>
          <w:u w:val="single"/>
        </w:rPr>
        <w:t xml:space="preserve"> </w:t>
      </w:r>
      <w:r>
        <w:rPr>
          <w:b/>
          <w:bCs/>
          <w:u w:val="single"/>
        </w:rPr>
        <w:t>1</w:t>
      </w:r>
      <w:r w:rsidRPr="005F5CB4">
        <w:rPr>
          <w:b/>
          <w:bCs/>
        </w:rPr>
        <w:t xml:space="preserve">: </w:t>
      </w:r>
      <w:r>
        <w:rPr>
          <w:b/>
          <w:bCs/>
        </w:rPr>
        <w:t>A benefit of extending the PHR report is the existing PHR procedures support periodic reporting and relative level triggers</w:t>
      </w:r>
    </w:p>
    <w:p w14:paraId="2A8E499A" w14:textId="77777777" w:rsidR="00F904FE" w:rsidRDefault="00F904FE" w:rsidP="00F904FE">
      <w:pPr>
        <w:rPr>
          <w:b/>
          <w:bCs/>
        </w:rPr>
      </w:pPr>
      <w:r>
        <w:rPr>
          <w:b/>
          <w:bCs/>
          <w:u w:val="single"/>
        </w:rPr>
        <w:t>Observation</w:t>
      </w:r>
      <w:r w:rsidRPr="005F5CB4">
        <w:rPr>
          <w:b/>
          <w:bCs/>
          <w:u w:val="single"/>
        </w:rPr>
        <w:t xml:space="preserve"> </w:t>
      </w:r>
      <w:r>
        <w:rPr>
          <w:b/>
          <w:bCs/>
          <w:u w:val="single"/>
        </w:rPr>
        <w:t>2</w:t>
      </w:r>
      <w:r w:rsidRPr="005F5CB4">
        <w:rPr>
          <w:b/>
          <w:bCs/>
        </w:rPr>
        <w:t xml:space="preserve">: </w:t>
      </w:r>
      <w:r>
        <w:rPr>
          <w:b/>
          <w:bCs/>
        </w:rPr>
        <w:t xml:space="preserve">The </w:t>
      </w:r>
      <w:r w:rsidRPr="00BE7E28">
        <w:rPr>
          <w:b/>
          <w:bCs/>
        </w:rPr>
        <w:t>P-MPR reporting range and reporting granularity</w:t>
      </w:r>
      <w:r>
        <w:rPr>
          <w:b/>
          <w:bCs/>
        </w:rPr>
        <w:t xml:space="preserve"> should be related to the threshold values.</w:t>
      </w:r>
    </w:p>
    <w:p w14:paraId="387860E6" w14:textId="77777777" w:rsidR="00F904FE" w:rsidRDefault="00F904FE" w:rsidP="00F904FE">
      <w:pPr>
        <w:rPr>
          <w:b/>
          <w:bCs/>
        </w:rPr>
      </w:pPr>
      <w:r w:rsidRPr="00CF6750">
        <w:rPr>
          <w:b/>
          <w:bCs/>
          <w:u w:val="single"/>
        </w:rPr>
        <w:t xml:space="preserve">Observation </w:t>
      </w:r>
      <w:r>
        <w:rPr>
          <w:b/>
          <w:bCs/>
          <w:u w:val="single"/>
        </w:rPr>
        <w:t>3</w:t>
      </w:r>
      <w:r w:rsidRPr="00CF6750">
        <w:rPr>
          <w:b/>
          <w:bCs/>
        </w:rPr>
        <w:t>: With a value of the P-MPR reported in a</w:t>
      </w:r>
      <w:r>
        <w:rPr>
          <w:b/>
          <w:bCs/>
        </w:rPr>
        <w:t>n extended</w:t>
      </w:r>
      <w:r w:rsidRPr="00CF6750">
        <w:rPr>
          <w:b/>
          <w:bCs/>
        </w:rPr>
        <w:t xml:space="preserve"> PHR</w:t>
      </w:r>
      <w:r>
        <w:rPr>
          <w:b/>
          <w:bCs/>
        </w:rPr>
        <w:t xml:space="preserve"> report</w:t>
      </w:r>
      <w:r w:rsidRPr="00CF6750">
        <w:rPr>
          <w:b/>
          <w:bCs/>
        </w:rPr>
        <w:t>, it may be unclear how to interpret the P field.</w:t>
      </w:r>
    </w:p>
    <w:p w14:paraId="578A77CB" w14:textId="0914E76D" w:rsidR="00F904FE" w:rsidRPr="00F904FE" w:rsidRDefault="00F904FE" w:rsidP="00F904FE">
      <w:pPr>
        <w:rPr>
          <w:b/>
          <w:bCs/>
        </w:rPr>
      </w:pPr>
      <w:r w:rsidRPr="00F904FE">
        <w:rPr>
          <w:b/>
          <w:bCs/>
          <w:u w:val="single"/>
        </w:rPr>
        <w:t xml:space="preserve">Observation </w:t>
      </w:r>
      <w:r>
        <w:rPr>
          <w:b/>
          <w:bCs/>
          <w:u w:val="single"/>
        </w:rPr>
        <w:t>4</w:t>
      </w:r>
      <w:r w:rsidRPr="00F904FE">
        <w:rPr>
          <w:b/>
          <w:bCs/>
        </w:rPr>
        <w:t>:</w:t>
      </w:r>
      <w:r>
        <w:rPr>
          <w:b/>
          <w:bCs/>
        </w:rPr>
        <w:t xml:space="preserve"> Having the P-MPR value in the PHR report allows the network to </w:t>
      </w:r>
      <w:r w:rsidR="00516A6F">
        <w:rPr>
          <w:b/>
          <w:bCs/>
        </w:rPr>
        <w:t>examine</w:t>
      </w:r>
      <w:r>
        <w:rPr>
          <w:b/>
          <w:bCs/>
        </w:rPr>
        <w:t xml:space="preserve"> the </w:t>
      </w:r>
      <w:r w:rsidR="00516A6F">
        <w:rPr>
          <w:b/>
          <w:bCs/>
        </w:rPr>
        <w:t>state of transmit</w:t>
      </w:r>
      <w:r>
        <w:rPr>
          <w:b/>
          <w:bCs/>
        </w:rPr>
        <w:t xml:space="preserve"> power accurately</w:t>
      </w:r>
      <w:r w:rsidRPr="00F904FE">
        <w:rPr>
          <w:b/>
          <w:bCs/>
        </w:rPr>
        <w:t>.</w:t>
      </w:r>
    </w:p>
    <w:p w14:paraId="03D8520C" w14:textId="753A7A70" w:rsidR="00F904FE" w:rsidRDefault="00F904FE" w:rsidP="00A94790">
      <w:r>
        <w:t>These observations lead to the following proposal.</w:t>
      </w:r>
    </w:p>
    <w:p w14:paraId="3845CC55" w14:textId="77777777" w:rsidR="00F904FE" w:rsidRPr="00C44399" w:rsidRDefault="00F904FE" w:rsidP="00F904FE">
      <w:pPr>
        <w:rPr>
          <w:b/>
          <w:bCs/>
        </w:rPr>
      </w:pPr>
      <w:r>
        <w:rPr>
          <w:b/>
          <w:bCs/>
          <w:u w:val="single"/>
        </w:rPr>
        <w:t>Proposal</w:t>
      </w:r>
      <w:r w:rsidRPr="00C44399">
        <w:rPr>
          <w:b/>
          <w:bCs/>
        </w:rPr>
        <w:t xml:space="preserve">: </w:t>
      </w:r>
      <w:r>
        <w:rPr>
          <w:b/>
          <w:bCs/>
        </w:rPr>
        <w:t>A LS is sent to RAN2 requesting the extension of the</w:t>
      </w:r>
      <w:r w:rsidRPr="00C44399">
        <w:rPr>
          <w:b/>
          <w:bCs/>
        </w:rPr>
        <w:t xml:space="preserve"> PHR report </w:t>
      </w:r>
      <w:r>
        <w:rPr>
          <w:b/>
          <w:bCs/>
        </w:rPr>
        <w:t>for P-MPR reporting</w:t>
      </w:r>
      <w:r w:rsidRPr="00C44399">
        <w:rPr>
          <w:b/>
          <w:bCs/>
        </w:rPr>
        <w:t>.</w:t>
      </w:r>
    </w:p>
    <w:p w14:paraId="6FC7F279" w14:textId="77777777" w:rsidR="00516A6F" w:rsidRDefault="00516A6F" w:rsidP="00516A6F">
      <w:r>
        <w:t xml:space="preserve">The contents of the LS could include a new P-MPR-specific relative trigger parameter to replace the </w:t>
      </w:r>
      <w:r w:rsidRPr="00916EB0">
        <w:rPr>
          <w:i/>
          <w:iCs/>
        </w:rPr>
        <w:t>phr-Tx-PowerFactorChange</w:t>
      </w:r>
      <w:r>
        <w:t xml:space="preserve"> threshold used to generate a PHR report due to changes in the P-MPR.</w:t>
      </w:r>
    </w:p>
    <w:p w14:paraId="4CAA31D0" w14:textId="77777777" w:rsidR="00F904FE" w:rsidRPr="00A94790" w:rsidRDefault="00F904FE" w:rsidP="00A94790"/>
    <w:p w14:paraId="410E44E3" w14:textId="77777777" w:rsidR="001D780E" w:rsidRPr="00D74B92" w:rsidRDefault="001D780E" w:rsidP="007F5EC6">
      <w:pPr>
        <w:pStyle w:val="Heading1"/>
        <w:numPr>
          <w:ilvl w:val="0"/>
          <w:numId w:val="0"/>
        </w:numPr>
        <w:ind w:left="432" w:hanging="432"/>
      </w:pPr>
      <w:r w:rsidRPr="00D74B92">
        <w:t>References</w:t>
      </w:r>
    </w:p>
    <w:p w14:paraId="32774C56" w14:textId="5629D2EB" w:rsidR="00CD299B" w:rsidRDefault="007A3D38" w:rsidP="00CD299B">
      <w:pPr>
        <w:pStyle w:val="References"/>
      </w:pPr>
      <w:bookmarkStart w:id="10" w:name="_Ref23323183"/>
      <w:bookmarkStart w:id="11" w:name="_Ref29298392"/>
      <w:bookmarkStart w:id="12" w:name="_Hlk37328982"/>
      <w:bookmarkEnd w:id="6"/>
      <w:bookmarkEnd w:id="7"/>
      <w:bookmarkEnd w:id="8"/>
      <w:bookmarkEnd w:id="9"/>
      <w:r w:rsidRPr="007A3D38">
        <w:t>R4-2005734</w:t>
      </w:r>
      <w:r w:rsidR="0053363C">
        <w:t>, “</w:t>
      </w:r>
      <w:r w:rsidRPr="007A3D38">
        <w:t>WF on MPE enhancements</w:t>
      </w:r>
      <w:r w:rsidR="0053363C">
        <w:t xml:space="preserve">”, </w:t>
      </w:r>
      <w:r>
        <w:t>OPPO</w:t>
      </w:r>
      <w:r w:rsidR="0053363C">
        <w:t>, RAN4</w:t>
      </w:r>
      <w:r w:rsidR="008D5B83">
        <w:t>#</w:t>
      </w:r>
      <w:r w:rsidR="0053363C">
        <w:t>94Bis, Apr. 20-30</w:t>
      </w:r>
      <w:r w:rsidR="00CD299B">
        <w:t>, 20</w:t>
      </w:r>
      <w:bookmarkEnd w:id="10"/>
      <w:r w:rsidR="0053363C">
        <w:t>20</w:t>
      </w:r>
      <w:r w:rsidR="00CD299B">
        <w:t>.</w:t>
      </w:r>
      <w:bookmarkEnd w:id="11"/>
      <w:bookmarkEnd w:id="12"/>
    </w:p>
    <w:p w14:paraId="16F0182B" w14:textId="451A6676" w:rsidR="00D420D0" w:rsidRDefault="00D420D0" w:rsidP="00D420D0">
      <w:pPr>
        <w:pStyle w:val="References"/>
      </w:pPr>
      <w:bookmarkStart w:id="13" w:name="_Ref40162996"/>
      <w:r>
        <w:t>R4-2005670,</w:t>
      </w:r>
      <w:r w:rsidRPr="00D420D0">
        <w:t xml:space="preserve"> </w:t>
      </w:r>
      <w:r>
        <w:t>“LS on MPE enhancements”, Nokia, Nokia Shanghai Bell, RAN4</w:t>
      </w:r>
      <w:r w:rsidR="008D5B83">
        <w:t>#</w:t>
      </w:r>
      <w:r>
        <w:t>94Bis, Apr. 20-30, 2020.</w:t>
      </w:r>
      <w:bookmarkEnd w:id="13"/>
    </w:p>
    <w:p w14:paraId="43269DDC" w14:textId="77F60AE5" w:rsidR="008D5B83" w:rsidRDefault="008D5B83" w:rsidP="008D5B83">
      <w:pPr>
        <w:pStyle w:val="References"/>
      </w:pPr>
      <w:bookmarkStart w:id="14" w:name="_Ref40171614"/>
      <w:r>
        <w:t>R4-2002916, “LS on MPE enhancements”, Nokia, Nokia Shanghai Bell, RAN4#94, Feb. 24 – Mar. 6, 2020</w:t>
      </w:r>
      <w:bookmarkEnd w:id="14"/>
      <w:r w:rsidR="002468D5">
        <w:t>.</w:t>
      </w:r>
    </w:p>
    <w:p w14:paraId="350CDD5E" w14:textId="46B90791" w:rsidR="002468D5" w:rsidRDefault="002468D5" w:rsidP="008D5B83">
      <w:pPr>
        <w:pStyle w:val="References"/>
      </w:pPr>
      <w:bookmarkStart w:id="15" w:name="_Ref40173820"/>
      <w:r w:rsidRPr="002468D5">
        <w:t>R2-2003010</w:t>
      </w:r>
      <w:r>
        <w:t>, “</w:t>
      </w:r>
      <w:r w:rsidRPr="002468D5">
        <w:t>P bit for Single Entry PHR</w:t>
      </w:r>
      <w:r>
        <w:t xml:space="preserve">”, </w:t>
      </w:r>
      <w:r w:rsidRPr="002468D5">
        <w:t>Nokia, Nokia Shanghai Bell, Apple, Ericsson, Lenovo, NTT DOCOMO, INC.</w:t>
      </w:r>
      <w:r>
        <w:t>, RAN2</w:t>
      </w:r>
      <w:r w:rsidRPr="002468D5">
        <w:t>#109bis</w:t>
      </w:r>
      <w:r>
        <w:t>, Apr. 20-30, 2020.</w:t>
      </w:r>
      <w:bookmarkEnd w:id="15"/>
    </w:p>
    <w:p w14:paraId="29DA1AED" w14:textId="06D88041" w:rsidR="00952D83" w:rsidRDefault="00952D83" w:rsidP="00373BA2">
      <w:pPr>
        <w:pStyle w:val="References"/>
      </w:pPr>
      <w:bookmarkStart w:id="16" w:name="_Ref40251398"/>
      <w:r>
        <w:t>R4-2005700, “Email discussion summary for [94e Bis] [17] NR_RF_FR2_req_enh_Part_1”, Moderator (OPPO), Apr. 20-30, 2020.</w:t>
      </w:r>
      <w:bookmarkEnd w:id="16"/>
    </w:p>
    <w:p w14:paraId="376C6040" w14:textId="57C62AB3" w:rsidR="00EA569D" w:rsidRDefault="00EA569D" w:rsidP="00147A1D"/>
    <w:sectPr w:rsidR="00EA56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C3F31" w14:textId="77777777" w:rsidR="0045179E" w:rsidRDefault="0045179E">
      <w:r>
        <w:separator/>
      </w:r>
    </w:p>
  </w:endnote>
  <w:endnote w:type="continuationSeparator" w:id="0">
    <w:p w14:paraId="5B0FF80C" w14:textId="77777777" w:rsidR="0045179E" w:rsidRDefault="0045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Ebrima"/>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7F58B" w14:textId="77777777" w:rsidR="0045179E" w:rsidRDefault="0045179E">
      <w:r>
        <w:separator/>
      </w:r>
    </w:p>
  </w:footnote>
  <w:footnote w:type="continuationSeparator" w:id="0">
    <w:p w14:paraId="049F194E" w14:textId="77777777" w:rsidR="0045179E" w:rsidRDefault="00451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4C33"/>
    <w:multiLevelType w:val="hybridMultilevel"/>
    <w:tmpl w:val="243C729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154A5"/>
    <w:multiLevelType w:val="hybridMultilevel"/>
    <w:tmpl w:val="8738F990"/>
    <w:lvl w:ilvl="0" w:tplc="89503A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A70BD"/>
    <w:multiLevelType w:val="hybridMultilevel"/>
    <w:tmpl w:val="2006FDA4"/>
    <w:lvl w:ilvl="0" w:tplc="24EE0716">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2973"/>
    <w:multiLevelType w:val="hybridMultilevel"/>
    <w:tmpl w:val="B3BCCBF8"/>
    <w:lvl w:ilvl="0" w:tplc="04090001">
      <w:start w:val="1"/>
      <w:numFmt w:val="bullet"/>
      <w:lvlText w:val=""/>
      <w:lvlJc w:val="left"/>
      <w:pPr>
        <w:ind w:left="720" w:hanging="360"/>
      </w:pPr>
      <w:rPr>
        <w:rFonts w:ascii="Symbol" w:hAnsi="Symbol" w:hint="default"/>
      </w:rPr>
    </w:lvl>
    <w:lvl w:ilvl="1" w:tplc="5AA03322">
      <w:numFmt w:val="bullet"/>
      <w:lvlText w:val=""/>
      <w:lvlJc w:val="left"/>
      <w:pPr>
        <w:ind w:left="1440" w:hanging="360"/>
      </w:pPr>
      <w:rPr>
        <w:rFonts w:ascii="Wingdings" w:eastAsia="SimSun" w:hAnsi="Wingdings" w:cs="Times New Roman" w:hint="default"/>
      </w:rPr>
    </w:lvl>
    <w:lvl w:ilvl="2" w:tplc="67A24F8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B25CD"/>
    <w:multiLevelType w:val="hybridMultilevel"/>
    <w:tmpl w:val="E3386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1913EDD"/>
    <w:multiLevelType w:val="hybridMultilevel"/>
    <w:tmpl w:val="0E58A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F5E5CE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D6BAC"/>
    <w:multiLevelType w:val="hybridMultilevel"/>
    <w:tmpl w:val="D8A6E3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C7424A"/>
    <w:multiLevelType w:val="hybridMultilevel"/>
    <w:tmpl w:val="8F9CC582"/>
    <w:lvl w:ilvl="0" w:tplc="ABB26424">
      <w:start w:val="1"/>
      <w:numFmt w:val="bullet"/>
      <w:lvlText w:val="•"/>
      <w:lvlJc w:val="left"/>
      <w:pPr>
        <w:tabs>
          <w:tab w:val="num" w:pos="720"/>
        </w:tabs>
        <w:ind w:left="720" w:hanging="360"/>
      </w:pPr>
      <w:rPr>
        <w:rFonts w:ascii="Arial" w:hAnsi="Arial" w:hint="default"/>
      </w:rPr>
    </w:lvl>
    <w:lvl w:ilvl="1" w:tplc="178829E6">
      <w:start w:val="1"/>
      <w:numFmt w:val="bullet"/>
      <w:lvlText w:val="•"/>
      <w:lvlJc w:val="left"/>
      <w:pPr>
        <w:tabs>
          <w:tab w:val="num" w:pos="1440"/>
        </w:tabs>
        <w:ind w:left="1440" w:hanging="360"/>
      </w:pPr>
      <w:rPr>
        <w:rFonts w:ascii="Arial" w:hAnsi="Arial" w:hint="default"/>
      </w:rPr>
    </w:lvl>
    <w:lvl w:ilvl="2" w:tplc="DD86E9D6">
      <w:numFmt w:val="none"/>
      <w:lvlText w:val=""/>
      <w:lvlJc w:val="left"/>
      <w:pPr>
        <w:tabs>
          <w:tab w:val="num" w:pos="360"/>
        </w:tabs>
      </w:pPr>
    </w:lvl>
    <w:lvl w:ilvl="3" w:tplc="66BA8616" w:tentative="1">
      <w:start w:val="1"/>
      <w:numFmt w:val="bullet"/>
      <w:lvlText w:val="•"/>
      <w:lvlJc w:val="left"/>
      <w:pPr>
        <w:tabs>
          <w:tab w:val="num" w:pos="2880"/>
        </w:tabs>
        <w:ind w:left="2880" w:hanging="360"/>
      </w:pPr>
      <w:rPr>
        <w:rFonts w:ascii="Arial" w:hAnsi="Arial" w:hint="default"/>
      </w:rPr>
    </w:lvl>
    <w:lvl w:ilvl="4" w:tplc="74DA4E6A" w:tentative="1">
      <w:start w:val="1"/>
      <w:numFmt w:val="bullet"/>
      <w:lvlText w:val="•"/>
      <w:lvlJc w:val="left"/>
      <w:pPr>
        <w:tabs>
          <w:tab w:val="num" w:pos="3600"/>
        </w:tabs>
        <w:ind w:left="3600" w:hanging="360"/>
      </w:pPr>
      <w:rPr>
        <w:rFonts w:ascii="Arial" w:hAnsi="Arial" w:hint="default"/>
      </w:rPr>
    </w:lvl>
    <w:lvl w:ilvl="5" w:tplc="8A160FD8" w:tentative="1">
      <w:start w:val="1"/>
      <w:numFmt w:val="bullet"/>
      <w:lvlText w:val="•"/>
      <w:lvlJc w:val="left"/>
      <w:pPr>
        <w:tabs>
          <w:tab w:val="num" w:pos="4320"/>
        </w:tabs>
        <w:ind w:left="4320" w:hanging="360"/>
      </w:pPr>
      <w:rPr>
        <w:rFonts w:ascii="Arial" w:hAnsi="Arial" w:hint="default"/>
      </w:rPr>
    </w:lvl>
    <w:lvl w:ilvl="6" w:tplc="2D0A3C30" w:tentative="1">
      <w:start w:val="1"/>
      <w:numFmt w:val="bullet"/>
      <w:lvlText w:val="•"/>
      <w:lvlJc w:val="left"/>
      <w:pPr>
        <w:tabs>
          <w:tab w:val="num" w:pos="5040"/>
        </w:tabs>
        <w:ind w:left="5040" w:hanging="360"/>
      </w:pPr>
      <w:rPr>
        <w:rFonts w:ascii="Arial" w:hAnsi="Arial" w:hint="default"/>
      </w:rPr>
    </w:lvl>
    <w:lvl w:ilvl="7" w:tplc="874AC276" w:tentative="1">
      <w:start w:val="1"/>
      <w:numFmt w:val="bullet"/>
      <w:lvlText w:val="•"/>
      <w:lvlJc w:val="left"/>
      <w:pPr>
        <w:tabs>
          <w:tab w:val="num" w:pos="5760"/>
        </w:tabs>
        <w:ind w:left="5760" w:hanging="360"/>
      </w:pPr>
      <w:rPr>
        <w:rFonts w:ascii="Arial" w:hAnsi="Arial" w:hint="default"/>
      </w:rPr>
    </w:lvl>
    <w:lvl w:ilvl="8" w:tplc="DF4ABA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1E6AB6"/>
    <w:multiLevelType w:val="hybridMultilevel"/>
    <w:tmpl w:val="743A66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3F64E3"/>
    <w:multiLevelType w:val="hybridMultilevel"/>
    <w:tmpl w:val="F9F6DEF6"/>
    <w:lvl w:ilvl="0" w:tplc="C5D29E3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652DD"/>
    <w:multiLevelType w:val="hybridMultilevel"/>
    <w:tmpl w:val="6E9E384A"/>
    <w:lvl w:ilvl="0" w:tplc="C0D08A0A">
      <w:start w:val="1"/>
      <w:numFmt w:val="bullet"/>
      <w:lvlText w:val="–"/>
      <w:lvlJc w:val="left"/>
      <w:pPr>
        <w:tabs>
          <w:tab w:val="num" w:pos="720"/>
        </w:tabs>
        <w:ind w:left="720" w:hanging="360"/>
      </w:pPr>
      <w:rPr>
        <w:rFonts w:ascii="Calibri" w:hAnsi="Calibri" w:hint="default"/>
      </w:rPr>
    </w:lvl>
    <w:lvl w:ilvl="1" w:tplc="3920F038">
      <w:start w:val="1"/>
      <w:numFmt w:val="bullet"/>
      <w:lvlText w:val="–"/>
      <w:lvlJc w:val="left"/>
      <w:pPr>
        <w:tabs>
          <w:tab w:val="num" w:pos="1440"/>
        </w:tabs>
        <w:ind w:left="1440" w:hanging="360"/>
      </w:pPr>
      <w:rPr>
        <w:rFonts w:ascii="Calibri" w:hAnsi="Calibri" w:hint="default"/>
      </w:rPr>
    </w:lvl>
    <w:lvl w:ilvl="2" w:tplc="55704092" w:tentative="1">
      <w:start w:val="1"/>
      <w:numFmt w:val="bullet"/>
      <w:lvlText w:val="–"/>
      <w:lvlJc w:val="left"/>
      <w:pPr>
        <w:tabs>
          <w:tab w:val="num" w:pos="2160"/>
        </w:tabs>
        <w:ind w:left="2160" w:hanging="360"/>
      </w:pPr>
      <w:rPr>
        <w:rFonts w:ascii="Calibri" w:hAnsi="Calibri" w:hint="default"/>
      </w:rPr>
    </w:lvl>
    <w:lvl w:ilvl="3" w:tplc="90EE64F2" w:tentative="1">
      <w:start w:val="1"/>
      <w:numFmt w:val="bullet"/>
      <w:lvlText w:val="–"/>
      <w:lvlJc w:val="left"/>
      <w:pPr>
        <w:tabs>
          <w:tab w:val="num" w:pos="2880"/>
        </w:tabs>
        <w:ind w:left="2880" w:hanging="360"/>
      </w:pPr>
      <w:rPr>
        <w:rFonts w:ascii="Calibri" w:hAnsi="Calibri" w:hint="default"/>
      </w:rPr>
    </w:lvl>
    <w:lvl w:ilvl="4" w:tplc="10EA6860" w:tentative="1">
      <w:start w:val="1"/>
      <w:numFmt w:val="bullet"/>
      <w:lvlText w:val="–"/>
      <w:lvlJc w:val="left"/>
      <w:pPr>
        <w:tabs>
          <w:tab w:val="num" w:pos="3600"/>
        </w:tabs>
        <w:ind w:left="3600" w:hanging="360"/>
      </w:pPr>
      <w:rPr>
        <w:rFonts w:ascii="Calibri" w:hAnsi="Calibri" w:hint="default"/>
      </w:rPr>
    </w:lvl>
    <w:lvl w:ilvl="5" w:tplc="8466E732" w:tentative="1">
      <w:start w:val="1"/>
      <w:numFmt w:val="bullet"/>
      <w:lvlText w:val="–"/>
      <w:lvlJc w:val="left"/>
      <w:pPr>
        <w:tabs>
          <w:tab w:val="num" w:pos="4320"/>
        </w:tabs>
        <w:ind w:left="4320" w:hanging="360"/>
      </w:pPr>
      <w:rPr>
        <w:rFonts w:ascii="Calibri" w:hAnsi="Calibri" w:hint="default"/>
      </w:rPr>
    </w:lvl>
    <w:lvl w:ilvl="6" w:tplc="0FA2F9AA" w:tentative="1">
      <w:start w:val="1"/>
      <w:numFmt w:val="bullet"/>
      <w:lvlText w:val="–"/>
      <w:lvlJc w:val="left"/>
      <w:pPr>
        <w:tabs>
          <w:tab w:val="num" w:pos="5040"/>
        </w:tabs>
        <w:ind w:left="5040" w:hanging="360"/>
      </w:pPr>
      <w:rPr>
        <w:rFonts w:ascii="Calibri" w:hAnsi="Calibri" w:hint="default"/>
      </w:rPr>
    </w:lvl>
    <w:lvl w:ilvl="7" w:tplc="86F4C0FE" w:tentative="1">
      <w:start w:val="1"/>
      <w:numFmt w:val="bullet"/>
      <w:lvlText w:val="–"/>
      <w:lvlJc w:val="left"/>
      <w:pPr>
        <w:tabs>
          <w:tab w:val="num" w:pos="5760"/>
        </w:tabs>
        <w:ind w:left="5760" w:hanging="360"/>
      </w:pPr>
      <w:rPr>
        <w:rFonts w:ascii="Calibri" w:hAnsi="Calibri" w:hint="default"/>
      </w:rPr>
    </w:lvl>
    <w:lvl w:ilvl="8" w:tplc="4D68024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463C3A9C"/>
    <w:multiLevelType w:val="hybridMultilevel"/>
    <w:tmpl w:val="E0BC1E60"/>
    <w:lvl w:ilvl="0" w:tplc="EAEE35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035950"/>
    <w:multiLevelType w:val="hybridMultilevel"/>
    <w:tmpl w:val="610CA434"/>
    <w:lvl w:ilvl="0" w:tplc="6CBE13C2">
      <w:start w:val="1"/>
      <w:numFmt w:val="bullet"/>
      <w:lvlText w:val="-"/>
      <w:lvlJc w:val="left"/>
      <w:pPr>
        <w:ind w:left="72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B0836"/>
    <w:multiLevelType w:val="hybridMultilevel"/>
    <w:tmpl w:val="43DEF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36AC9"/>
    <w:multiLevelType w:val="hybridMultilevel"/>
    <w:tmpl w:val="9846259E"/>
    <w:lvl w:ilvl="0" w:tplc="EC2AAE9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FF14F5D"/>
    <w:multiLevelType w:val="hybridMultilevel"/>
    <w:tmpl w:val="D604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E60C0"/>
    <w:multiLevelType w:val="hybridMultilevel"/>
    <w:tmpl w:val="83F4AEAA"/>
    <w:lvl w:ilvl="0" w:tplc="5156AF7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84364A5"/>
    <w:multiLevelType w:val="hybridMultilevel"/>
    <w:tmpl w:val="0B74BB36"/>
    <w:lvl w:ilvl="0" w:tplc="7A5E0AB0">
      <w:start w:val="1"/>
      <w:numFmt w:val="bullet"/>
      <w:lvlText w:val="•"/>
      <w:lvlJc w:val="left"/>
      <w:pPr>
        <w:tabs>
          <w:tab w:val="num" w:pos="720"/>
        </w:tabs>
        <w:ind w:left="720" w:hanging="360"/>
      </w:pPr>
      <w:rPr>
        <w:rFonts w:ascii="Arial" w:hAnsi="Arial" w:hint="default"/>
      </w:rPr>
    </w:lvl>
    <w:lvl w:ilvl="1" w:tplc="497A527A">
      <w:numFmt w:val="none"/>
      <w:lvlText w:val=""/>
      <w:lvlJc w:val="left"/>
      <w:pPr>
        <w:tabs>
          <w:tab w:val="num" w:pos="360"/>
        </w:tabs>
      </w:pPr>
    </w:lvl>
    <w:lvl w:ilvl="2" w:tplc="A1A22A9E">
      <w:numFmt w:val="none"/>
      <w:lvlText w:val=""/>
      <w:lvlJc w:val="left"/>
      <w:pPr>
        <w:tabs>
          <w:tab w:val="num" w:pos="360"/>
        </w:tabs>
      </w:pPr>
    </w:lvl>
    <w:lvl w:ilvl="3" w:tplc="68D2C2FE" w:tentative="1">
      <w:start w:val="1"/>
      <w:numFmt w:val="bullet"/>
      <w:lvlText w:val="•"/>
      <w:lvlJc w:val="left"/>
      <w:pPr>
        <w:tabs>
          <w:tab w:val="num" w:pos="2880"/>
        </w:tabs>
        <w:ind w:left="2880" w:hanging="360"/>
      </w:pPr>
      <w:rPr>
        <w:rFonts w:ascii="Arial" w:hAnsi="Arial" w:hint="default"/>
      </w:rPr>
    </w:lvl>
    <w:lvl w:ilvl="4" w:tplc="1F58F346" w:tentative="1">
      <w:start w:val="1"/>
      <w:numFmt w:val="bullet"/>
      <w:lvlText w:val="•"/>
      <w:lvlJc w:val="left"/>
      <w:pPr>
        <w:tabs>
          <w:tab w:val="num" w:pos="3600"/>
        </w:tabs>
        <w:ind w:left="3600" w:hanging="360"/>
      </w:pPr>
      <w:rPr>
        <w:rFonts w:ascii="Arial" w:hAnsi="Arial" w:hint="default"/>
      </w:rPr>
    </w:lvl>
    <w:lvl w:ilvl="5" w:tplc="805CB70C" w:tentative="1">
      <w:start w:val="1"/>
      <w:numFmt w:val="bullet"/>
      <w:lvlText w:val="•"/>
      <w:lvlJc w:val="left"/>
      <w:pPr>
        <w:tabs>
          <w:tab w:val="num" w:pos="4320"/>
        </w:tabs>
        <w:ind w:left="4320" w:hanging="360"/>
      </w:pPr>
      <w:rPr>
        <w:rFonts w:ascii="Arial" w:hAnsi="Arial" w:hint="default"/>
      </w:rPr>
    </w:lvl>
    <w:lvl w:ilvl="6" w:tplc="BBEE0D9C" w:tentative="1">
      <w:start w:val="1"/>
      <w:numFmt w:val="bullet"/>
      <w:lvlText w:val="•"/>
      <w:lvlJc w:val="left"/>
      <w:pPr>
        <w:tabs>
          <w:tab w:val="num" w:pos="5040"/>
        </w:tabs>
        <w:ind w:left="5040" w:hanging="360"/>
      </w:pPr>
      <w:rPr>
        <w:rFonts w:ascii="Arial" w:hAnsi="Arial" w:hint="default"/>
      </w:rPr>
    </w:lvl>
    <w:lvl w:ilvl="7" w:tplc="9F0E5CF2" w:tentative="1">
      <w:start w:val="1"/>
      <w:numFmt w:val="bullet"/>
      <w:lvlText w:val="•"/>
      <w:lvlJc w:val="left"/>
      <w:pPr>
        <w:tabs>
          <w:tab w:val="num" w:pos="5760"/>
        </w:tabs>
        <w:ind w:left="5760" w:hanging="360"/>
      </w:pPr>
      <w:rPr>
        <w:rFonts w:ascii="Arial" w:hAnsi="Arial" w:hint="default"/>
      </w:rPr>
    </w:lvl>
    <w:lvl w:ilvl="8" w:tplc="3EAC9B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B87D72"/>
    <w:multiLevelType w:val="hybridMultilevel"/>
    <w:tmpl w:val="8B34CC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A053E"/>
    <w:multiLevelType w:val="hybridMultilevel"/>
    <w:tmpl w:val="8C181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24"/>
  </w:num>
  <w:num w:numId="4">
    <w:abstractNumId w:val="19"/>
  </w:num>
  <w:num w:numId="5">
    <w:abstractNumId w:val="20"/>
  </w:num>
  <w:num w:numId="6">
    <w:abstractNumId w:val="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5"/>
  </w:num>
  <w:num w:numId="11">
    <w:abstractNumId w:val="0"/>
  </w:num>
  <w:num w:numId="12">
    <w:abstractNumId w:val="26"/>
  </w:num>
  <w:num w:numId="13">
    <w:abstractNumId w:val="5"/>
  </w:num>
  <w:num w:numId="14">
    <w:abstractNumId w:val="17"/>
  </w:num>
  <w:num w:numId="15">
    <w:abstractNumId w:val="1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30"/>
  </w:num>
  <w:num w:numId="20">
    <w:abstractNumId w:val="22"/>
  </w:num>
  <w:num w:numId="21">
    <w:abstractNumId w:val="21"/>
  </w:num>
  <w:num w:numId="22">
    <w:abstractNumId w:val="1"/>
  </w:num>
  <w:num w:numId="23">
    <w:abstractNumId w:val="29"/>
  </w:num>
  <w:num w:numId="24">
    <w:abstractNumId w:val="14"/>
  </w:num>
  <w:num w:numId="25">
    <w:abstractNumId w:val="12"/>
  </w:num>
  <w:num w:numId="26">
    <w:abstractNumId w:val="6"/>
  </w:num>
  <w:num w:numId="27">
    <w:abstractNumId w:val="27"/>
  </w:num>
  <w:num w:numId="28">
    <w:abstractNumId w:val="4"/>
  </w:num>
  <w:num w:numId="29">
    <w:abstractNumId w:val="9"/>
  </w:num>
  <w:num w:numId="30">
    <w:abstractNumId w:val="16"/>
  </w:num>
  <w:num w:numId="31">
    <w:abstractNumId w:val="28"/>
  </w:num>
  <w:num w:numId="32">
    <w:abstractNumId w:val="23"/>
  </w:num>
  <w:num w:numId="3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1BA"/>
    <w:rsid w:val="000144AE"/>
    <w:rsid w:val="00014E0C"/>
    <w:rsid w:val="00015A05"/>
    <w:rsid w:val="00015EFB"/>
    <w:rsid w:val="000165E2"/>
    <w:rsid w:val="000169E2"/>
    <w:rsid w:val="00016B0E"/>
    <w:rsid w:val="00016EF9"/>
    <w:rsid w:val="000172BE"/>
    <w:rsid w:val="00017D8A"/>
    <w:rsid w:val="00021452"/>
    <w:rsid w:val="000227D0"/>
    <w:rsid w:val="00023388"/>
    <w:rsid w:val="00023425"/>
    <w:rsid w:val="00023685"/>
    <w:rsid w:val="000241BE"/>
    <w:rsid w:val="000242F2"/>
    <w:rsid w:val="00026875"/>
    <w:rsid w:val="00026D4B"/>
    <w:rsid w:val="000275C6"/>
    <w:rsid w:val="00027AD6"/>
    <w:rsid w:val="00027B0A"/>
    <w:rsid w:val="00027C82"/>
    <w:rsid w:val="0003024C"/>
    <w:rsid w:val="00030533"/>
    <w:rsid w:val="0003083D"/>
    <w:rsid w:val="0003191B"/>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6189"/>
    <w:rsid w:val="00046796"/>
    <w:rsid w:val="000467FD"/>
    <w:rsid w:val="0004682C"/>
    <w:rsid w:val="00046AAF"/>
    <w:rsid w:val="00047030"/>
    <w:rsid w:val="00047225"/>
    <w:rsid w:val="0004746D"/>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3B1"/>
    <w:rsid w:val="00065D38"/>
    <w:rsid w:val="0006694E"/>
    <w:rsid w:val="00067DD1"/>
    <w:rsid w:val="00070447"/>
    <w:rsid w:val="000706E7"/>
    <w:rsid w:val="00070EF8"/>
    <w:rsid w:val="00070F3B"/>
    <w:rsid w:val="00071192"/>
    <w:rsid w:val="000713A7"/>
    <w:rsid w:val="0007163E"/>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14B6"/>
    <w:rsid w:val="000823B0"/>
    <w:rsid w:val="0008335B"/>
    <w:rsid w:val="00083379"/>
    <w:rsid w:val="00083388"/>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82C"/>
    <w:rsid w:val="000A4A19"/>
    <w:rsid w:val="000A4DEA"/>
    <w:rsid w:val="000A54B7"/>
    <w:rsid w:val="000A589D"/>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7D"/>
    <w:rsid w:val="000E4761"/>
    <w:rsid w:val="000E48AF"/>
    <w:rsid w:val="000E59A0"/>
    <w:rsid w:val="000E63E6"/>
    <w:rsid w:val="000E7403"/>
    <w:rsid w:val="000E7A84"/>
    <w:rsid w:val="000F15BC"/>
    <w:rsid w:val="000F180A"/>
    <w:rsid w:val="000F1C92"/>
    <w:rsid w:val="000F1DF7"/>
    <w:rsid w:val="000F2D25"/>
    <w:rsid w:val="000F2EEE"/>
    <w:rsid w:val="000F3697"/>
    <w:rsid w:val="000F407D"/>
    <w:rsid w:val="000F5BB3"/>
    <w:rsid w:val="000F5BC8"/>
    <w:rsid w:val="000F5FA3"/>
    <w:rsid w:val="000F631C"/>
    <w:rsid w:val="000F637B"/>
    <w:rsid w:val="000F65A0"/>
    <w:rsid w:val="000F7326"/>
    <w:rsid w:val="000F7F58"/>
    <w:rsid w:val="00100128"/>
    <w:rsid w:val="00100CDC"/>
    <w:rsid w:val="00100FF3"/>
    <w:rsid w:val="00101753"/>
    <w:rsid w:val="00101CB8"/>
    <w:rsid w:val="00101CF0"/>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E8D"/>
    <w:rsid w:val="001233BB"/>
    <w:rsid w:val="00123AC9"/>
    <w:rsid w:val="00124258"/>
    <w:rsid w:val="00124875"/>
    <w:rsid w:val="00124D84"/>
    <w:rsid w:val="00124D97"/>
    <w:rsid w:val="001250DD"/>
    <w:rsid w:val="001254E4"/>
    <w:rsid w:val="00125733"/>
    <w:rsid w:val="001263AA"/>
    <w:rsid w:val="00126763"/>
    <w:rsid w:val="0012701F"/>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23D"/>
    <w:rsid w:val="0014063E"/>
    <w:rsid w:val="0014087D"/>
    <w:rsid w:val="00140F74"/>
    <w:rsid w:val="00141191"/>
    <w:rsid w:val="0014159C"/>
    <w:rsid w:val="00141CB5"/>
    <w:rsid w:val="00142665"/>
    <w:rsid w:val="0014384A"/>
    <w:rsid w:val="0014450F"/>
    <w:rsid w:val="00144D8F"/>
    <w:rsid w:val="00144DCF"/>
    <w:rsid w:val="00145C74"/>
    <w:rsid w:val="001462E9"/>
    <w:rsid w:val="00146B4B"/>
    <w:rsid w:val="00146E32"/>
    <w:rsid w:val="00146FEF"/>
    <w:rsid w:val="00147A1D"/>
    <w:rsid w:val="00147E55"/>
    <w:rsid w:val="0015005A"/>
    <w:rsid w:val="00150C0B"/>
    <w:rsid w:val="00150C7E"/>
    <w:rsid w:val="00150CE4"/>
    <w:rsid w:val="00151058"/>
    <w:rsid w:val="00151619"/>
    <w:rsid w:val="00151CA4"/>
    <w:rsid w:val="00151FDC"/>
    <w:rsid w:val="00152835"/>
    <w:rsid w:val="00152CFF"/>
    <w:rsid w:val="001559FA"/>
    <w:rsid w:val="00156374"/>
    <w:rsid w:val="00156455"/>
    <w:rsid w:val="001572C1"/>
    <w:rsid w:val="001577D8"/>
    <w:rsid w:val="00157FC3"/>
    <w:rsid w:val="00160739"/>
    <w:rsid w:val="00161FE4"/>
    <w:rsid w:val="0016271E"/>
    <w:rsid w:val="00162D7A"/>
    <w:rsid w:val="001633C3"/>
    <w:rsid w:val="00164A25"/>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4C5F"/>
    <w:rsid w:val="00175C30"/>
    <w:rsid w:val="001762F8"/>
    <w:rsid w:val="00177069"/>
    <w:rsid w:val="00177FC1"/>
    <w:rsid w:val="0018014F"/>
    <w:rsid w:val="0018070A"/>
    <w:rsid w:val="001815A2"/>
    <w:rsid w:val="00181AFB"/>
    <w:rsid w:val="00181FC1"/>
    <w:rsid w:val="00182F13"/>
    <w:rsid w:val="00183002"/>
    <w:rsid w:val="00183034"/>
    <w:rsid w:val="001830F7"/>
    <w:rsid w:val="0018371D"/>
    <w:rsid w:val="00183EE6"/>
    <w:rsid w:val="001844E5"/>
    <w:rsid w:val="00184E75"/>
    <w:rsid w:val="00185191"/>
    <w:rsid w:val="0018528A"/>
    <w:rsid w:val="00185703"/>
    <w:rsid w:val="0018588A"/>
    <w:rsid w:val="00186BE6"/>
    <w:rsid w:val="00187252"/>
    <w:rsid w:val="00191C91"/>
    <w:rsid w:val="00192DD9"/>
    <w:rsid w:val="001931F7"/>
    <w:rsid w:val="00193878"/>
    <w:rsid w:val="00193DA2"/>
    <w:rsid w:val="00194339"/>
    <w:rsid w:val="00194848"/>
    <w:rsid w:val="00194BA9"/>
    <w:rsid w:val="00194F68"/>
    <w:rsid w:val="001958EA"/>
    <w:rsid w:val="00195E0E"/>
    <w:rsid w:val="001A01A5"/>
    <w:rsid w:val="001A0E0D"/>
    <w:rsid w:val="001A180D"/>
    <w:rsid w:val="001A1BAC"/>
    <w:rsid w:val="001A23CE"/>
    <w:rsid w:val="001A2C89"/>
    <w:rsid w:val="001A4965"/>
    <w:rsid w:val="001A52EA"/>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616"/>
    <w:rsid w:val="001C69DA"/>
    <w:rsid w:val="001C6F06"/>
    <w:rsid w:val="001C75AF"/>
    <w:rsid w:val="001C7611"/>
    <w:rsid w:val="001D2360"/>
    <w:rsid w:val="001D2372"/>
    <w:rsid w:val="001D2CE6"/>
    <w:rsid w:val="001D3109"/>
    <w:rsid w:val="001D332E"/>
    <w:rsid w:val="001D35D1"/>
    <w:rsid w:val="001D5033"/>
    <w:rsid w:val="001D5C88"/>
    <w:rsid w:val="001D6567"/>
    <w:rsid w:val="001D695C"/>
    <w:rsid w:val="001D6F64"/>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00BD"/>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068"/>
    <w:rsid w:val="002019D8"/>
    <w:rsid w:val="00201EC7"/>
    <w:rsid w:val="0020349A"/>
    <w:rsid w:val="002034B4"/>
    <w:rsid w:val="00204032"/>
    <w:rsid w:val="0020469F"/>
    <w:rsid w:val="002048C2"/>
    <w:rsid w:val="00204AFE"/>
    <w:rsid w:val="00204BAD"/>
    <w:rsid w:val="00204D60"/>
    <w:rsid w:val="00205627"/>
    <w:rsid w:val="002056D0"/>
    <w:rsid w:val="00205A0F"/>
    <w:rsid w:val="00207118"/>
    <w:rsid w:val="00210860"/>
    <w:rsid w:val="00210B6A"/>
    <w:rsid w:val="0021120F"/>
    <w:rsid w:val="002112C4"/>
    <w:rsid w:val="00211C40"/>
    <w:rsid w:val="00211DAC"/>
    <w:rsid w:val="00212CB6"/>
    <w:rsid w:val="00212E37"/>
    <w:rsid w:val="00213B5D"/>
    <w:rsid w:val="002140FF"/>
    <w:rsid w:val="002164D8"/>
    <w:rsid w:val="00217394"/>
    <w:rsid w:val="00217D6A"/>
    <w:rsid w:val="00220236"/>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F5"/>
    <w:rsid w:val="002407C9"/>
    <w:rsid w:val="00240E54"/>
    <w:rsid w:val="002419CC"/>
    <w:rsid w:val="00241CFB"/>
    <w:rsid w:val="00242380"/>
    <w:rsid w:val="00244C2D"/>
    <w:rsid w:val="002451C5"/>
    <w:rsid w:val="00245E6C"/>
    <w:rsid w:val="00245F1F"/>
    <w:rsid w:val="0024663B"/>
    <w:rsid w:val="002468D5"/>
    <w:rsid w:val="00246F24"/>
    <w:rsid w:val="00247103"/>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AEC"/>
    <w:rsid w:val="002B2DBC"/>
    <w:rsid w:val="002B2E4A"/>
    <w:rsid w:val="002B303A"/>
    <w:rsid w:val="002B538E"/>
    <w:rsid w:val="002B5DCA"/>
    <w:rsid w:val="002B6BDC"/>
    <w:rsid w:val="002B7465"/>
    <w:rsid w:val="002B75B0"/>
    <w:rsid w:val="002B7EAF"/>
    <w:rsid w:val="002C099C"/>
    <w:rsid w:val="002C0B74"/>
    <w:rsid w:val="002C0C8B"/>
    <w:rsid w:val="002C0CBB"/>
    <w:rsid w:val="002C119B"/>
    <w:rsid w:val="002C1201"/>
    <w:rsid w:val="002C1460"/>
    <w:rsid w:val="002C20F2"/>
    <w:rsid w:val="002C293F"/>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3F"/>
    <w:rsid w:val="002E0319"/>
    <w:rsid w:val="002E1093"/>
    <w:rsid w:val="002E179B"/>
    <w:rsid w:val="002E1C9E"/>
    <w:rsid w:val="002E215A"/>
    <w:rsid w:val="002E257B"/>
    <w:rsid w:val="002E3C65"/>
    <w:rsid w:val="002E3F5B"/>
    <w:rsid w:val="002E4362"/>
    <w:rsid w:val="002E5B07"/>
    <w:rsid w:val="002E63D9"/>
    <w:rsid w:val="002E640E"/>
    <w:rsid w:val="002E739D"/>
    <w:rsid w:val="002E7F98"/>
    <w:rsid w:val="002F0C28"/>
    <w:rsid w:val="002F281C"/>
    <w:rsid w:val="002F2999"/>
    <w:rsid w:val="002F3CDE"/>
    <w:rsid w:val="002F48BD"/>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696"/>
    <w:rsid w:val="003119C6"/>
    <w:rsid w:val="00312400"/>
    <w:rsid w:val="00312739"/>
    <w:rsid w:val="00312D10"/>
    <w:rsid w:val="0031321F"/>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1"/>
    <w:rsid w:val="00327792"/>
    <w:rsid w:val="00330D56"/>
    <w:rsid w:val="003311E9"/>
    <w:rsid w:val="00331426"/>
    <w:rsid w:val="0033171D"/>
    <w:rsid w:val="00331949"/>
    <w:rsid w:val="00331EE8"/>
    <w:rsid w:val="00331F28"/>
    <w:rsid w:val="00331FC3"/>
    <w:rsid w:val="0033200E"/>
    <w:rsid w:val="0033208B"/>
    <w:rsid w:val="00332E41"/>
    <w:rsid w:val="003336B3"/>
    <w:rsid w:val="00333C7B"/>
    <w:rsid w:val="003343EC"/>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20"/>
    <w:rsid w:val="003554CA"/>
    <w:rsid w:val="00355918"/>
    <w:rsid w:val="0035767D"/>
    <w:rsid w:val="00360232"/>
    <w:rsid w:val="003602E0"/>
    <w:rsid w:val="00360D01"/>
    <w:rsid w:val="00361132"/>
    <w:rsid w:val="0036139A"/>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1DE"/>
    <w:rsid w:val="00383C8D"/>
    <w:rsid w:val="00384183"/>
    <w:rsid w:val="003852FB"/>
    <w:rsid w:val="00385429"/>
    <w:rsid w:val="00385B05"/>
    <w:rsid w:val="00386382"/>
    <w:rsid w:val="003865EF"/>
    <w:rsid w:val="00386BA9"/>
    <w:rsid w:val="00390017"/>
    <w:rsid w:val="003901A3"/>
    <w:rsid w:val="0039072F"/>
    <w:rsid w:val="00390EC7"/>
    <w:rsid w:val="003919F6"/>
    <w:rsid w:val="00391A15"/>
    <w:rsid w:val="0039218D"/>
    <w:rsid w:val="00392588"/>
    <w:rsid w:val="00392B93"/>
    <w:rsid w:val="00392CA9"/>
    <w:rsid w:val="003940CE"/>
    <w:rsid w:val="00394739"/>
    <w:rsid w:val="00394982"/>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9D4"/>
    <w:rsid w:val="003A4C3F"/>
    <w:rsid w:val="003A597E"/>
    <w:rsid w:val="003A5A88"/>
    <w:rsid w:val="003A5BAD"/>
    <w:rsid w:val="003A7702"/>
    <w:rsid w:val="003A7834"/>
    <w:rsid w:val="003B0B5B"/>
    <w:rsid w:val="003B0CE2"/>
    <w:rsid w:val="003B0E79"/>
    <w:rsid w:val="003B19A2"/>
    <w:rsid w:val="003B31B1"/>
    <w:rsid w:val="003B3575"/>
    <w:rsid w:val="003B35FD"/>
    <w:rsid w:val="003B38D1"/>
    <w:rsid w:val="003B50BC"/>
    <w:rsid w:val="003B5D97"/>
    <w:rsid w:val="003B63A4"/>
    <w:rsid w:val="003B68FE"/>
    <w:rsid w:val="003B6D7D"/>
    <w:rsid w:val="003B7D7E"/>
    <w:rsid w:val="003B7E5D"/>
    <w:rsid w:val="003C04B9"/>
    <w:rsid w:val="003C0FC4"/>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4022"/>
    <w:rsid w:val="003D46F1"/>
    <w:rsid w:val="003D5CBF"/>
    <w:rsid w:val="003D60B6"/>
    <w:rsid w:val="003D66D2"/>
    <w:rsid w:val="003D729E"/>
    <w:rsid w:val="003D7F69"/>
    <w:rsid w:val="003E0282"/>
    <w:rsid w:val="003E0473"/>
    <w:rsid w:val="003E07AE"/>
    <w:rsid w:val="003E14FC"/>
    <w:rsid w:val="003E1CB5"/>
    <w:rsid w:val="003E2976"/>
    <w:rsid w:val="003E2C14"/>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06C"/>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84A"/>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D4A"/>
    <w:rsid w:val="00413F9A"/>
    <w:rsid w:val="004140CA"/>
    <w:rsid w:val="00414C65"/>
    <w:rsid w:val="00415D76"/>
    <w:rsid w:val="00416665"/>
    <w:rsid w:val="00416A67"/>
    <w:rsid w:val="00416ACB"/>
    <w:rsid w:val="00417F6C"/>
    <w:rsid w:val="0042156F"/>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D3A"/>
    <w:rsid w:val="004344C7"/>
    <w:rsid w:val="00435274"/>
    <w:rsid w:val="004352AD"/>
    <w:rsid w:val="0043545D"/>
    <w:rsid w:val="0043547E"/>
    <w:rsid w:val="00435FE2"/>
    <w:rsid w:val="00436E2F"/>
    <w:rsid w:val="00436EAB"/>
    <w:rsid w:val="004376CE"/>
    <w:rsid w:val="0044047F"/>
    <w:rsid w:val="004423FF"/>
    <w:rsid w:val="00442E51"/>
    <w:rsid w:val="004434F4"/>
    <w:rsid w:val="00443D0E"/>
    <w:rsid w:val="0044450B"/>
    <w:rsid w:val="00445D02"/>
    <w:rsid w:val="00445E81"/>
    <w:rsid w:val="004461D9"/>
    <w:rsid w:val="00446AC6"/>
    <w:rsid w:val="0044759B"/>
    <w:rsid w:val="00447F54"/>
    <w:rsid w:val="0045037E"/>
    <w:rsid w:val="00450B7E"/>
    <w:rsid w:val="0045134F"/>
    <w:rsid w:val="0045136B"/>
    <w:rsid w:val="0045179E"/>
    <w:rsid w:val="00451C7E"/>
    <w:rsid w:val="0045287D"/>
    <w:rsid w:val="00453606"/>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2FB6"/>
    <w:rsid w:val="004936C2"/>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1675"/>
    <w:rsid w:val="004A1F3F"/>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49E"/>
    <w:rsid w:val="004B1C92"/>
    <w:rsid w:val="004B3A81"/>
    <w:rsid w:val="004B44D6"/>
    <w:rsid w:val="004B49E6"/>
    <w:rsid w:val="004B4D69"/>
    <w:rsid w:val="004B4DE4"/>
    <w:rsid w:val="004B6A5A"/>
    <w:rsid w:val="004B6C16"/>
    <w:rsid w:val="004B7E99"/>
    <w:rsid w:val="004C01A8"/>
    <w:rsid w:val="004C136B"/>
    <w:rsid w:val="004C1840"/>
    <w:rsid w:val="004C1AE9"/>
    <w:rsid w:val="004C24C9"/>
    <w:rsid w:val="004C252E"/>
    <w:rsid w:val="004C2B04"/>
    <w:rsid w:val="004C31B6"/>
    <w:rsid w:val="004C3AE2"/>
    <w:rsid w:val="004C5319"/>
    <w:rsid w:val="004C5395"/>
    <w:rsid w:val="004C621F"/>
    <w:rsid w:val="004C6C17"/>
    <w:rsid w:val="004C73E6"/>
    <w:rsid w:val="004C746E"/>
    <w:rsid w:val="004C7948"/>
    <w:rsid w:val="004C7BB8"/>
    <w:rsid w:val="004C7C60"/>
    <w:rsid w:val="004D0C61"/>
    <w:rsid w:val="004D0DFE"/>
    <w:rsid w:val="004D1D91"/>
    <w:rsid w:val="004D22C3"/>
    <w:rsid w:val="004D2E1A"/>
    <w:rsid w:val="004D2FC2"/>
    <w:rsid w:val="004D40AE"/>
    <w:rsid w:val="004D41C6"/>
    <w:rsid w:val="004D4924"/>
    <w:rsid w:val="004D6F4D"/>
    <w:rsid w:val="004D6F95"/>
    <w:rsid w:val="004D70CF"/>
    <w:rsid w:val="004D72FE"/>
    <w:rsid w:val="004D7358"/>
    <w:rsid w:val="004D77A8"/>
    <w:rsid w:val="004D78FC"/>
    <w:rsid w:val="004D7E91"/>
    <w:rsid w:val="004E003A"/>
    <w:rsid w:val="004E06A4"/>
    <w:rsid w:val="004E0768"/>
    <w:rsid w:val="004E1A31"/>
    <w:rsid w:val="004E1C6F"/>
    <w:rsid w:val="004E2413"/>
    <w:rsid w:val="004E2971"/>
    <w:rsid w:val="004E298C"/>
    <w:rsid w:val="004E2DE0"/>
    <w:rsid w:val="004E4060"/>
    <w:rsid w:val="004E409A"/>
    <w:rsid w:val="004E4456"/>
    <w:rsid w:val="004E7A42"/>
    <w:rsid w:val="004E7C7A"/>
    <w:rsid w:val="004E7F04"/>
    <w:rsid w:val="004F08B3"/>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0BAF"/>
    <w:rsid w:val="005118E5"/>
    <w:rsid w:val="00511F15"/>
    <w:rsid w:val="0051318C"/>
    <w:rsid w:val="005142CD"/>
    <w:rsid w:val="005143C9"/>
    <w:rsid w:val="00514CD1"/>
    <w:rsid w:val="005157A9"/>
    <w:rsid w:val="0051653E"/>
    <w:rsid w:val="0051685C"/>
    <w:rsid w:val="00516951"/>
    <w:rsid w:val="00516A6F"/>
    <w:rsid w:val="005173A7"/>
    <w:rsid w:val="005176D7"/>
    <w:rsid w:val="00517742"/>
    <w:rsid w:val="005177E1"/>
    <w:rsid w:val="00520C0A"/>
    <w:rsid w:val="00521001"/>
    <w:rsid w:val="005218B6"/>
    <w:rsid w:val="005219AF"/>
    <w:rsid w:val="00521C33"/>
    <w:rsid w:val="00522589"/>
    <w:rsid w:val="00522618"/>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C24"/>
    <w:rsid w:val="00532F8B"/>
    <w:rsid w:val="0053363C"/>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2733"/>
    <w:rsid w:val="0054343A"/>
    <w:rsid w:val="005437F3"/>
    <w:rsid w:val="00543974"/>
    <w:rsid w:val="00543EBF"/>
    <w:rsid w:val="00544361"/>
    <w:rsid w:val="00544ABA"/>
    <w:rsid w:val="00544B23"/>
    <w:rsid w:val="0054593A"/>
    <w:rsid w:val="0054622F"/>
    <w:rsid w:val="005467FB"/>
    <w:rsid w:val="00546AE9"/>
    <w:rsid w:val="00546CA8"/>
    <w:rsid w:val="00547989"/>
    <w:rsid w:val="00547DDA"/>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2152"/>
    <w:rsid w:val="005626D6"/>
    <w:rsid w:val="005638D4"/>
    <w:rsid w:val="00563C7C"/>
    <w:rsid w:val="005643CA"/>
    <w:rsid w:val="005656ED"/>
    <w:rsid w:val="00565C9E"/>
    <w:rsid w:val="00566544"/>
    <w:rsid w:val="00566608"/>
    <w:rsid w:val="00566C83"/>
    <w:rsid w:val="005700FE"/>
    <w:rsid w:val="00570264"/>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D06"/>
    <w:rsid w:val="00582E1A"/>
    <w:rsid w:val="00583147"/>
    <w:rsid w:val="00584416"/>
    <w:rsid w:val="00584874"/>
    <w:rsid w:val="00584B39"/>
    <w:rsid w:val="00585028"/>
    <w:rsid w:val="00585253"/>
    <w:rsid w:val="005854D1"/>
    <w:rsid w:val="005856A2"/>
    <w:rsid w:val="0058590B"/>
    <w:rsid w:val="0058595F"/>
    <w:rsid w:val="00585F5B"/>
    <w:rsid w:val="0058620A"/>
    <w:rsid w:val="00587283"/>
    <w:rsid w:val="00587FC0"/>
    <w:rsid w:val="005906AD"/>
    <w:rsid w:val="00590DA6"/>
    <w:rsid w:val="00590FF4"/>
    <w:rsid w:val="00591C7D"/>
    <w:rsid w:val="0059239D"/>
    <w:rsid w:val="00592A47"/>
    <w:rsid w:val="00592B03"/>
    <w:rsid w:val="00593AB9"/>
    <w:rsid w:val="00593DC4"/>
    <w:rsid w:val="00594ABB"/>
    <w:rsid w:val="00594D1C"/>
    <w:rsid w:val="00594E36"/>
    <w:rsid w:val="00594F0A"/>
    <w:rsid w:val="00595255"/>
    <w:rsid w:val="0059525E"/>
    <w:rsid w:val="00595887"/>
    <w:rsid w:val="00596123"/>
    <w:rsid w:val="005961F7"/>
    <w:rsid w:val="00596504"/>
    <w:rsid w:val="00596B9C"/>
    <w:rsid w:val="005978CA"/>
    <w:rsid w:val="005A015B"/>
    <w:rsid w:val="005A04BA"/>
    <w:rsid w:val="005A054D"/>
    <w:rsid w:val="005A0A46"/>
    <w:rsid w:val="005A10B9"/>
    <w:rsid w:val="005A11EA"/>
    <w:rsid w:val="005A1BF0"/>
    <w:rsid w:val="005A269F"/>
    <w:rsid w:val="005A305E"/>
    <w:rsid w:val="005A30BB"/>
    <w:rsid w:val="005A3887"/>
    <w:rsid w:val="005A57EA"/>
    <w:rsid w:val="005A5E23"/>
    <w:rsid w:val="005B0542"/>
    <w:rsid w:val="005B1BF7"/>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3BA9"/>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49"/>
    <w:rsid w:val="005D22B7"/>
    <w:rsid w:val="005D2BDE"/>
    <w:rsid w:val="005D3D76"/>
    <w:rsid w:val="005D4578"/>
    <w:rsid w:val="005D4E8C"/>
    <w:rsid w:val="005D4EFA"/>
    <w:rsid w:val="005D4F01"/>
    <w:rsid w:val="005D5455"/>
    <w:rsid w:val="005D55BA"/>
    <w:rsid w:val="005D5ADB"/>
    <w:rsid w:val="005D648A"/>
    <w:rsid w:val="005D7E0D"/>
    <w:rsid w:val="005E0B3F"/>
    <w:rsid w:val="005E1FBC"/>
    <w:rsid w:val="005E2178"/>
    <w:rsid w:val="005E234A"/>
    <w:rsid w:val="005E2867"/>
    <w:rsid w:val="005E2BDF"/>
    <w:rsid w:val="005E35CC"/>
    <w:rsid w:val="005E371E"/>
    <w:rsid w:val="005E3915"/>
    <w:rsid w:val="005E53F9"/>
    <w:rsid w:val="005E7614"/>
    <w:rsid w:val="005E775D"/>
    <w:rsid w:val="005F0551"/>
    <w:rsid w:val="005F0A43"/>
    <w:rsid w:val="005F0E91"/>
    <w:rsid w:val="005F25A0"/>
    <w:rsid w:val="005F27BF"/>
    <w:rsid w:val="005F2E5A"/>
    <w:rsid w:val="005F3D1F"/>
    <w:rsid w:val="005F4171"/>
    <w:rsid w:val="005F46D6"/>
    <w:rsid w:val="005F4DD6"/>
    <w:rsid w:val="005F50D8"/>
    <w:rsid w:val="005F53A1"/>
    <w:rsid w:val="005F5879"/>
    <w:rsid w:val="005F5CB4"/>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B6"/>
    <w:rsid w:val="006130F7"/>
    <w:rsid w:val="00613AF8"/>
    <w:rsid w:val="00613D8E"/>
    <w:rsid w:val="006142E0"/>
    <w:rsid w:val="0061444B"/>
    <w:rsid w:val="00616112"/>
    <w:rsid w:val="006173CF"/>
    <w:rsid w:val="006175A0"/>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4C43"/>
    <w:rsid w:val="0062660B"/>
    <w:rsid w:val="00626AD1"/>
    <w:rsid w:val="006272A4"/>
    <w:rsid w:val="00627A58"/>
    <w:rsid w:val="006300E9"/>
    <w:rsid w:val="006304BC"/>
    <w:rsid w:val="00630679"/>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1E87"/>
    <w:rsid w:val="00662111"/>
    <w:rsid w:val="00662118"/>
    <w:rsid w:val="00662E2F"/>
    <w:rsid w:val="006638AD"/>
    <w:rsid w:val="006659DC"/>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76F"/>
    <w:rsid w:val="0067697E"/>
    <w:rsid w:val="006772A6"/>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AF7"/>
    <w:rsid w:val="00691B30"/>
    <w:rsid w:val="00691D76"/>
    <w:rsid w:val="00692012"/>
    <w:rsid w:val="0069247A"/>
    <w:rsid w:val="00693E1F"/>
    <w:rsid w:val="00693ECB"/>
    <w:rsid w:val="0069430C"/>
    <w:rsid w:val="00694482"/>
    <w:rsid w:val="00694797"/>
    <w:rsid w:val="00694F2D"/>
    <w:rsid w:val="00695246"/>
    <w:rsid w:val="00695257"/>
    <w:rsid w:val="00695887"/>
    <w:rsid w:val="00696D18"/>
    <w:rsid w:val="00697733"/>
    <w:rsid w:val="006A254E"/>
    <w:rsid w:val="006A2C30"/>
    <w:rsid w:val="006A301C"/>
    <w:rsid w:val="006A307F"/>
    <w:rsid w:val="006A3E2B"/>
    <w:rsid w:val="006A3FF2"/>
    <w:rsid w:val="006A44A9"/>
    <w:rsid w:val="006A6262"/>
    <w:rsid w:val="006A6E17"/>
    <w:rsid w:val="006B120D"/>
    <w:rsid w:val="006B17E7"/>
    <w:rsid w:val="006B19E8"/>
    <w:rsid w:val="006B1A8A"/>
    <w:rsid w:val="006B1FD5"/>
    <w:rsid w:val="006B24D6"/>
    <w:rsid w:val="006B2F57"/>
    <w:rsid w:val="006B3B9C"/>
    <w:rsid w:val="006B3E30"/>
    <w:rsid w:val="006B475C"/>
    <w:rsid w:val="006B506C"/>
    <w:rsid w:val="006B555A"/>
    <w:rsid w:val="006B5BD6"/>
    <w:rsid w:val="006B600A"/>
    <w:rsid w:val="006B6150"/>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4E0"/>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69C"/>
    <w:rsid w:val="006D7E1F"/>
    <w:rsid w:val="006D7EB0"/>
    <w:rsid w:val="006E0138"/>
    <w:rsid w:val="006E06E9"/>
    <w:rsid w:val="006E0BB0"/>
    <w:rsid w:val="006E12C3"/>
    <w:rsid w:val="006E2407"/>
    <w:rsid w:val="006E2529"/>
    <w:rsid w:val="006E2A36"/>
    <w:rsid w:val="006E2B19"/>
    <w:rsid w:val="006E3CF0"/>
    <w:rsid w:val="006E3DA8"/>
    <w:rsid w:val="006E43B0"/>
    <w:rsid w:val="006E45F3"/>
    <w:rsid w:val="006E4A2F"/>
    <w:rsid w:val="006E4ED4"/>
    <w:rsid w:val="006E5AE9"/>
    <w:rsid w:val="006E5E19"/>
    <w:rsid w:val="006E61C3"/>
    <w:rsid w:val="006E70EC"/>
    <w:rsid w:val="006E799D"/>
    <w:rsid w:val="006F0593"/>
    <w:rsid w:val="006F1064"/>
    <w:rsid w:val="006F1B76"/>
    <w:rsid w:val="006F1EB7"/>
    <w:rsid w:val="006F1FFC"/>
    <w:rsid w:val="006F49EF"/>
    <w:rsid w:val="006F4BE0"/>
    <w:rsid w:val="006F52E5"/>
    <w:rsid w:val="006F52FF"/>
    <w:rsid w:val="006F54E1"/>
    <w:rsid w:val="006F6066"/>
    <w:rsid w:val="006F6374"/>
    <w:rsid w:val="006F6850"/>
    <w:rsid w:val="006F707E"/>
    <w:rsid w:val="007001DC"/>
    <w:rsid w:val="007003D1"/>
    <w:rsid w:val="00700E24"/>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2F9"/>
    <w:rsid w:val="00711340"/>
    <w:rsid w:val="00712C42"/>
    <w:rsid w:val="0071312C"/>
    <w:rsid w:val="007136E0"/>
    <w:rsid w:val="00713DE4"/>
    <w:rsid w:val="00714C47"/>
    <w:rsid w:val="007157CD"/>
    <w:rsid w:val="00716462"/>
    <w:rsid w:val="00717648"/>
    <w:rsid w:val="00717CCE"/>
    <w:rsid w:val="00720093"/>
    <w:rsid w:val="00721084"/>
    <w:rsid w:val="00721262"/>
    <w:rsid w:val="00721D9B"/>
    <w:rsid w:val="00721E63"/>
    <w:rsid w:val="00722121"/>
    <w:rsid w:val="007224B9"/>
    <w:rsid w:val="007229A0"/>
    <w:rsid w:val="00722F94"/>
    <w:rsid w:val="00723494"/>
    <w:rsid w:val="00723AA7"/>
    <w:rsid w:val="0072432E"/>
    <w:rsid w:val="00725228"/>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6F58"/>
    <w:rsid w:val="00737832"/>
    <w:rsid w:val="00740106"/>
    <w:rsid w:val="0074076A"/>
    <w:rsid w:val="0074165B"/>
    <w:rsid w:val="00741AF4"/>
    <w:rsid w:val="00741DCC"/>
    <w:rsid w:val="0074203A"/>
    <w:rsid w:val="007427B5"/>
    <w:rsid w:val="00742865"/>
    <w:rsid w:val="0074296C"/>
    <w:rsid w:val="00742C83"/>
    <w:rsid w:val="00742D74"/>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978"/>
    <w:rsid w:val="007574FC"/>
    <w:rsid w:val="007600C5"/>
    <w:rsid w:val="007603F1"/>
    <w:rsid w:val="00760975"/>
    <w:rsid w:val="00761A5B"/>
    <w:rsid w:val="00761FDA"/>
    <w:rsid w:val="007621FF"/>
    <w:rsid w:val="00762220"/>
    <w:rsid w:val="007634E3"/>
    <w:rsid w:val="00764194"/>
    <w:rsid w:val="0076443E"/>
    <w:rsid w:val="00765ED3"/>
    <w:rsid w:val="0076681D"/>
    <w:rsid w:val="00766A65"/>
    <w:rsid w:val="00766F35"/>
    <w:rsid w:val="007671F5"/>
    <w:rsid w:val="007676B8"/>
    <w:rsid w:val="0077175C"/>
    <w:rsid w:val="00771870"/>
    <w:rsid w:val="00771BF9"/>
    <w:rsid w:val="00772E42"/>
    <w:rsid w:val="00772F8A"/>
    <w:rsid w:val="00773641"/>
    <w:rsid w:val="007739C6"/>
    <w:rsid w:val="00774889"/>
    <w:rsid w:val="00774FF5"/>
    <w:rsid w:val="007750B3"/>
    <w:rsid w:val="00775F76"/>
    <w:rsid w:val="00776AEA"/>
    <w:rsid w:val="00777BA0"/>
    <w:rsid w:val="007803BD"/>
    <w:rsid w:val="00780507"/>
    <w:rsid w:val="007811DC"/>
    <w:rsid w:val="00781718"/>
    <w:rsid w:val="007820FA"/>
    <w:rsid w:val="00782371"/>
    <w:rsid w:val="0078285F"/>
    <w:rsid w:val="00782B78"/>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461"/>
    <w:rsid w:val="00794924"/>
    <w:rsid w:val="0079506E"/>
    <w:rsid w:val="00795353"/>
    <w:rsid w:val="007962CD"/>
    <w:rsid w:val="007A0BC2"/>
    <w:rsid w:val="007A1F44"/>
    <w:rsid w:val="007A23FF"/>
    <w:rsid w:val="007A25D6"/>
    <w:rsid w:val="007A288B"/>
    <w:rsid w:val="007A295B"/>
    <w:rsid w:val="007A3424"/>
    <w:rsid w:val="007A35EF"/>
    <w:rsid w:val="007A3D38"/>
    <w:rsid w:val="007A43A2"/>
    <w:rsid w:val="007A4D04"/>
    <w:rsid w:val="007A59F6"/>
    <w:rsid w:val="007A7A96"/>
    <w:rsid w:val="007B026A"/>
    <w:rsid w:val="007B034C"/>
    <w:rsid w:val="007B03AF"/>
    <w:rsid w:val="007B0E46"/>
    <w:rsid w:val="007B1543"/>
    <w:rsid w:val="007B1AC0"/>
    <w:rsid w:val="007B1B9F"/>
    <w:rsid w:val="007B25A8"/>
    <w:rsid w:val="007B270A"/>
    <w:rsid w:val="007B2D3B"/>
    <w:rsid w:val="007B3AA9"/>
    <w:rsid w:val="007B52CD"/>
    <w:rsid w:val="007B5B3F"/>
    <w:rsid w:val="007B5EDF"/>
    <w:rsid w:val="007B7DC1"/>
    <w:rsid w:val="007B7EDB"/>
    <w:rsid w:val="007C0718"/>
    <w:rsid w:val="007C19AD"/>
    <w:rsid w:val="007C1A60"/>
    <w:rsid w:val="007C1F83"/>
    <w:rsid w:val="007C2977"/>
    <w:rsid w:val="007C2A16"/>
    <w:rsid w:val="007C2ABC"/>
    <w:rsid w:val="007C3598"/>
    <w:rsid w:val="007C3FA8"/>
    <w:rsid w:val="007C405B"/>
    <w:rsid w:val="007C417E"/>
    <w:rsid w:val="007C4188"/>
    <w:rsid w:val="007C439A"/>
    <w:rsid w:val="007C5956"/>
    <w:rsid w:val="007C5F1A"/>
    <w:rsid w:val="007C6552"/>
    <w:rsid w:val="007C669D"/>
    <w:rsid w:val="007C68DA"/>
    <w:rsid w:val="007C7BB9"/>
    <w:rsid w:val="007C7C78"/>
    <w:rsid w:val="007D01D9"/>
    <w:rsid w:val="007D1C9B"/>
    <w:rsid w:val="007D20B7"/>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33D"/>
    <w:rsid w:val="007F25C6"/>
    <w:rsid w:val="007F27DD"/>
    <w:rsid w:val="007F4187"/>
    <w:rsid w:val="007F4247"/>
    <w:rsid w:val="007F4C0A"/>
    <w:rsid w:val="007F50B1"/>
    <w:rsid w:val="007F58C6"/>
    <w:rsid w:val="007F5EC6"/>
    <w:rsid w:val="007F6851"/>
    <w:rsid w:val="007F6880"/>
    <w:rsid w:val="007F7697"/>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0798F"/>
    <w:rsid w:val="008101FD"/>
    <w:rsid w:val="00810D8D"/>
    <w:rsid w:val="00811835"/>
    <w:rsid w:val="008128B1"/>
    <w:rsid w:val="00813FD5"/>
    <w:rsid w:val="00814E3E"/>
    <w:rsid w:val="00814F60"/>
    <w:rsid w:val="00815305"/>
    <w:rsid w:val="0081581D"/>
    <w:rsid w:val="00816E9B"/>
    <w:rsid w:val="00816FCB"/>
    <w:rsid w:val="008172BE"/>
    <w:rsid w:val="00817B71"/>
    <w:rsid w:val="00820244"/>
    <w:rsid w:val="008205E8"/>
    <w:rsid w:val="00820DCE"/>
    <w:rsid w:val="0082102D"/>
    <w:rsid w:val="00821D6E"/>
    <w:rsid w:val="008221B3"/>
    <w:rsid w:val="0082248E"/>
    <w:rsid w:val="00822944"/>
    <w:rsid w:val="00823472"/>
    <w:rsid w:val="00823FB6"/>
    <w:rsid w:val="00824B6F"/>
    <w:rsid w:val="00824FDF"/>
    <w:rsid w:val="00825125"/>
    <w:rsid w:val="00825749"/>
    <w:rsid w:val="008257CC"/>
    <w:rsid w:val="00825F5C"/>
    <w:rsid w:val="008274BF"/>
    <w:rsid w:val="008276F6"/>
    <w:rsid w:val="00830DC3"/>
    <w:rsid w:val="00831555"/>
    <w:rsid w:val="00831F52"/>
    <w:rsid w:val="00832154"/>
    <w:rsid w:val="00832F5C"/>
    <w:rsid w:val="00834046"/>
    <w:rsid w:val="00834DE6"/>
    <w:rsid w:val="00834ECD"/>
    <w:rsid w:val="008359E0"/>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31"/>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36C"/>
    <w:rsid w:val="008707F7"/>
    <w:rsid w:val="008712FD"/>
    <w:rsid w:val="00871485"/>
    <w:rsid w:val="008716A1"/>
    <w:rsid w:val="00871C4D"/>
    <w:rsid w:val="00872AA7"/>
    <w:rsid w:val="00872D3F"/>
    <w:rsid w:val="008733AA"/>
    <w:rsid w:val="008733E4"/>
    <w:rsid w:val="00873F15"/>
    <w:rsid w:val="00874096"/>
    <w:rsid w:val="008756A4"/>
    <w:rsid w:val="00875793"/>
    <w:rsid w:val="00875F73"/>
    <w:rsid w:val="00877049"/>
    <w:rsid w:val="00877432"/>
    <w:rsid w:val="00877F56"/>
    <w:rsid w:val="00880270"/>
    <w:rsid w:val="00880715"/>
    <w:rsid w:val="00880933"/>
    <w:rsid w:val="00880D53"/>
    <w:rsid w:val="00880F30"/>
    <w:rsid w:val="00882238"/>
    <w:rsid w:val="008833E8"/>
    <w:rsid w:val="00886333"/>
    <w:rsid w:val="008865C8"/>
    <w:rsid w:val="008867F6"/>
    <w:rsid w:val="008868E1"/>
    <w:rsid w:val="00887B48"/>
    <w:rsid w:val="00890EC6"/>
    <w:rsid w:val="0089111A"/>
    <w:rsid w:val="0089176E"/>
    <w:rsid w:val="008917E0"/>
    <w:rsid w:val="008918B6"/>
    <w:rsid w:val="00892365"/>
    <w:rsid w:val="00892BE5"/>
    <w:rsid w:val="0089387C"/>
    <w:rsid w:val="00894264"/>
    <w:rsid w:val="0089444E"/>
    <w:rsid w:val="008949DF"/>
    <w:rsid w:val="008951DB"/>
    <w:rsid w:val="0089691B"/>
    <w:rsid w:val="00896C81"/>
    <w:rsid w:val="00896D83"/>
    <w:rsid w:val="00897035"/>
    <w:rsid w:val="008A0167"/>
    <w:rsid w:val="008A03D1"/>
    <w:rsid w:val="008A0618"/>
    <w:rsid w:val="008A0831"/>
    <w:rsid w:val="008A0AB2"/>
    <w:rsid w:val="008A0CFC"/>
    <w:rsid w:val="008A12FE"/>
    <w:rsid w:val="008A1606"/>
    <w:rsid w:val="008A2282"/>
    <w:rsid w:val="008A28B6"/>
    <w:rsid w:val="008A2BB1"/>
    <w:rsid w:val="008A3466"/>
    <w:rsid w:val="008A389F"/>
    <w:rsid w:val="008A3D02"/>
    <w:rsid w:val="008A4FEB"/>
    <w:rsid w:val="008A52E7"/>
    <w:rsid w:val="008A5940"/>
    <w:rsid w:val="008A732B"/>
    <w:rsid w:val="008A73B2"/>
    <w:rsid w:val="008A7425"/>
    <w:rsid w:val="008B043F"/>
    <w:rsid w:val="008B0808"/>
    <w:rsid w:val="008B0AEC"/>
    <w:rsid w:val="008B0FB4"/>
    <w:rsid w:val="008B1828"/>
    <w:rsid w:val="008B1E53"/>
    <w:rsid w:val="008B1E5B"/>
    <w:rsid w:val="008B1E87"/>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863"/>
    <w:rsid w:val="008D0AFB"/>
    <w:rsid w:val="008D1511"/>
    <w:rsid w:val="008D1B89"/>
    <w:rsid w:val="008D27E2"/>
    <w:rsid w:val="008D32DF"/>
    <w:rsid w:val="008D35E9"/>
    <w:rsid w:val="008D3959"/>
    <w:rsid w:val="008D3966"/>
    <w:rsid w:val="008D4352"/>
    <w:rsid w:val="008D5A60"/>
    <w:rsid w:val="008D5B83"/>
    <w:rsid w:val="008D60BC"/>
    <w:rsid w:val="008D65D9"/>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6B8"/>
    <w:rsid w:val="008F0A38"/>
    <w:rsid w:val="008F0F84"/>
    <w:rsid w:val="008F1014"/>
    <w:rsid w:val="008F11C9"/>
    <w:rsid w:val="008F14BD"/>
    <w:rsid w:val="008F23D8"/>
    <w:rsid w:val="008F2D3C"/>
    <w:rsid w:val="008F2FD5"/>
    <w:rsid w:val="008F31F2"/>
    <w:rsid w:val="008F37E5"/>
    <w:rsid w:val="008F4565"/>
    <w:rsid w:val="008F48C2"/>
    <w:rsid w:val="008F4DF9"/>
    <w:rsid w:val="008F5840"/>
    <w:rsid w:val="008F5EEF"/>
    <w:rsid w:val="008F66FE"/>
    <w:rsid w:val="008F72CC"/>
    <w:rsid w:val="008F72CD"/>
    <w:rsid w:val="008F7575"/>
    <w:rsid w:val="008F7A35"/>
    <w:rsid w:val="00900712"/>
    <w:rsid w:val="00900727"/>
    <w:rsid w:val="009013D7"/>
    <w:rsid w:val="009037F0"/>
    <w:rsid w:val="00903802"/>
    <w:rsid w:val="00904640"/>
    <w:rsid w:val="00904748"/>
    <w:rsid w:val="00905F2A"/>
    <w:rsid w:val="009065BB"/>
    <w:rsid w:val="0090696D"/>
    <w:rsid w:val="00906CD6"/>
    <w:rsid w:val="00906E4D"/>
    <w:rsid w:val="00906F31"/>
    <w:rsid w:val="0090729B"/>
    <w:rsid w:val="00907576"/>
    <w:rsid w:val="009078B3"/>
    <w:rsid w:val="00907A4F"/>
    <w:rsid w:val="00907A77"/>
    <w:rsid w:val="00907C68"/>
    <w:rsid w:val="00907E00"/>
    <w:rsid w:val="00910606"/>
    <w:rsid w:val="0091088D"/>
    <w:rsid w:val="0091095B"/>
    <w:rsid w:val="00910FC9"/>
    <w:rsid w:val="009122A6"/>
    <w:rsid w:val="0091291A"/>
    <w:rsid w:val="00912992"/>
    <w:rsid w:val="009133A6"/>
    <w:rsid w:val="00913612"/>
    <w:rsid w:val="0091366A"/>
    <w:rsid w:val="00913824"/>
    <w:rsid w:val="00915757"/>
    <w:rsid w:val="009159B3"/>
    <w:rsid w:val="00915FC5"/>
    <w:rsid w:val="0091607D"/>
    <w:rsid w:val="00916181"/>
    <w:rsid w:val="00916EB0"/>
    <w:rsid w:val="009204C5"/>
    <w:rsid w:val="0092180D"/>
    <w:rsid w:val="009218BD"/>
    <w:rsid w:val="00922F17"/>
    <w:rsid w:val="009232C9"/>
    <w:rsid w:val="00923608"/>
    <w:rsid w:val="009238E5"/>
    <w:rsid w:val="00923A9E"/>
    <w:rsid w:val="00923F12"/>
    <w:rsid w:val="00924FF8"/>
    <w:rsid w:val="009258AE"/>
    <w:rsid w:val="00925BA8"/>
    <w:rsid w:val="00926DA7"/>
    <w:rsid w:val="00927F41"/>
    <w:rsid w:val="00927F8B"/>
    <w:rsid w:val="0093094D"/>
    <w:rsid w:val="00931144"/>
    <w:rsid w:val="009312BE"/>
    <w:rsid w:val="0093220B"/>
    <w:rsid w:val="009328C7"/>
    <w:rsid w:val="009336EC"/>
    <w:rsid w:val="00933F56"/>
    <w:rsid w:val="00934361"/>
    <w:rsid w:val="00934C13"/>
    <w:rsid w:val="0093515C"/>
    <w:rsid w:val="00935228"/>
    <w:rsid w:val="009355A2"/>
    <w:rsid w:val="00935F9E"/>
    <w:rsid w:val="00936D98"/>
    <w:rsid w:val="00940324"/>
    <w:rsid w:val="00941523"/>
    <w:rsid w:val="009422C4"/>
    <w:rsid w:val="00942C80"/>
    <w:rsid w:val="00943029"/>
    <w:rsid w:val="00943197"/>
    <w:rsid w:val="009435F2"/>
    <w:rsid w:val="0094400A"/>
    <w:rsid w:val="009446D2"/>
    <w:rsid w:val="00944856"/>
    <w:rsid w:val="00945180"/>
    <w:rsid w:val="0094590C"/>
    <w:rsid w:val="00946355"/>
    <w:rsid w:val="009468B7"/>
    <w:rsid w:val="00946DB4"/>
    <w:rsid w:val="0094724E"/>
    <w:rsid w:val="00947973"/>
    <w:rsid w:val="00947BE6"/>
    <w:rsid w:val="0095048D"/>
    <w:rsid w:val="00950729"/>
    <w:rsid w:val="00951300"/>
    <w:rsid w:val="00951ADB"/>
    <w:rsid w:val="00952717"/>
    <w:rsid w:val="00952D83"/>
    <w:rsid w:val="0095380C"/>
    <w:rsid w:val="00954353"/>
    <w:rsid w:val="009545E1"/>
    <w:rsid w:val="00954AD7"/>
    <w:rsid w:val="00954DF0"/>
    <w:rsid w:val="00955C0A"/>
    <w:rsid w:val="00955C4F"/>
    <w:rsid w:val="00956109"/>
    <w:rsid w:val="009575AA"/>
    <w:rsid w:val="00960CE7"/>
    <w:rsid w:val="00961A13"/>
    <w:rsid w:val="009623D0"/>
    <w:rsid w:val="00962EB2"/>
    <w:rsid w:val="00963B86"/>
    <w:rsid w:val="0096427A"/>
    <w:rsid w:val="00964777"/>
    <w:rsid w:val="009657F1"/>
    <w:rsid w:val="0096625D"/>
    <w:rsid w:val="0096648B"/>
    <w:rsid w:val="009664F5"/>
    <w:rsid w:val="0096719A"/>
    <w:rsid w:val="009709F8"/>
    <w:rsid w:val="00971518"/>
    <w:rsid w:val="0097271B"/>
    <w:rsid w:val="009728F6"/>
    <w:rsid w:val="00972929"/>
    <w:rsid w:val="00972F91"/>
    <w:rsid w:val="0097317C"/>
    <w:rsid w:val="00973827"/>
    <w:rsid w:val="009739F2"/>
    <w:rsid w:val="00973D63"/>
    <w:rsid w:val="009742D3"/>
    <w:rsid w:val="0097597B"/>
    <w:rsid w:val="0097664F"/>
    <w:rsid w:val="00976F32"/>
    <w:rsid w:val="00977AF1"/>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3C0F"/>
    <w:rsid w:val="00993CC0"/>
    <w:rsid w:val="00994871"/>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A010D"/>
    <w:rsid w:val="009A067C"/>
    <w:rsid w:val="009A0C6F"/>
    <w:rsid w:val="009A144D"/>
    <w:rsid w:val="009A14EF"/>
    <w:rsid w:val="009A1729"/>
    <w:rsid w:val="009A2DF9"/>
    <w:rsid w:val="009A3A86"/>
    <w:rsid w:val="009A4869"/>
    <w:rsid w:val="009A4F06"/>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33D"/>
    <w:rsid w:val="009C76FC"/>
    <w:rsid w:val="009D0729"/>
    <w:rsid w:val="009D0F66"/>
    <w:rsid w:val="009D1A06"/>
    <w:rsid w:val="009D1BA4"/>
    <w:rsid w:val="009D20A9"/>
    <w:rsid w:val="009D20C9"/>
    <w:rsid w:val="009D20D1"/>
    <w:rsid w:val="009D22E4"/>
    <w:rsid w:val="009D22F7"/>
    <w:rsid w:val="009D319C"/>
    <w:rsid w:val="009D45F3"/>
    <w:rsid w:val="009D4A7E"/>
    <w:rsid w:val="009D4CBF"/>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30C"/>
    <w:rsid w:val="009F5356"/>
    <w:rsid w:val="009F553C"/>
    <w:rsid w:val="009F59F8"/>
    <w:rsid w:val="009F6185"/>
    <w:rsid w:val="00A00457"/>
    <w:rsid w:val="00A005B0"/>
    <w:rsid w:val="00A01370"/>
    <w:rsid w:val="00A01373"/>
    <w:rsid w:val="00A01514"/>
    <w:rsid w:val="00A018B8"/>
    <w:rsid w:val="00A01F17"/>
    <w:rsid w:val="00A022A5"/>
    <w:rsid w:val="00A03A22"/>
    <w:rsid w:val="00A04294"/>
    <w:rsid w:val="00A04634"/>
    <w:rsid w:val="00A0497B"/>
    <w:rsid w:val="00A04D67"/>
    <w:rsid w:val="00A05672"/>
    <w:rsid w:val="00A0603E"/>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9CA"/>
    <w:rsid w:val="00A25294"/>
    <w:rsid w:val="00A254EE"/>
    <w:rsid w:val="00A25BE7"/>
    <w:rsid w:val="00A26475"/>
    <w:rsid w:val="00A26C0A"/>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568"/>
    <w:rsid w:val="00A346BA"/>
    <w:rsid w:val="00A3482F"/>
    <w:rsid w:val="00A34BC4"/>
    <w:rsid w:val="00A34C59"/>
    <w:rsid w:val="00A34C67"/>
    <w:rsid w:val="00A34D62"/>
    <w:rsid w:val="00A3611D"/>
    <w:rsid w:val="00A36339"/>
    <w:rsid w:val="00A366E4"/>
    <w:rsid w:val="00A3753B"/>
    <w:rsid w:val="00A41278"/>
    <w:rsid w:val="00A4146D"/>
    <w:rsid w:val="00A428FB"/>
    <w:rsid w:val="00A4376F"/>
    <w:rsid w:val="00A43FD0"/>
    <w:rsid w:val="00A4435B"/>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8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BDD"/>
    <w:rsid w:val="00A64E60"/>
    <w:rsid w:val="00A65911"/>
    <w:rsid w:val="00A65C0A"/>
    <w:rsid w:val="00A6643C"/>
    <w:rsid w:val="00A664E3"/>
    <w:rsid w:val="00A66538"/>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5A6"/>
    <w:rsid w:val="00A75CC1"/>
    <w:rsid w:val="00A75E88"/>
    <w:rsid w:val="00A7611B"/>
    <w:rsid w:val="00A8056E"/>
    <w:rsid w:val="00A80D17"/>
    <w:rsid w:val="00A814BC"/>
    <w:rsid w:val="00A82D58"/>
    <w:rsid w:val="00A82D93"/>
    <w:rsid w:val="00A8399D"/>
    <w:rsid w:val="00A83E3D"/>
    <w:rsid w:val="00A83E97"/>
    <w:rsid w:val="00A8443A"/>
    <w:rsid w:val="00A8479C"/>
    <w:rsid w:val="00A849EB"/>
    <w:rsid w:val="00A8557B"/>
    <w:rsid w:val="00A855A6"/>
    <w:rsid w:val="00A85A05"/>
    <w:rsid w:val="00A85D99"/>
    <w:rsid w:val="00A86799"/>
    <w:rsid w:val="00A86800"/>
    <w:rsid w:val="00A86D63"/>
    <w:rsid w:val="00A87797"/>
    <w:rsid w:val="00A90165"/>
    <w:rsid w:val="00A90E72"/>
    <w:rsid w:val="00A92286"/>
    <w:rsid w:val="00A922A2"/>
    <w:rsid w:val="00A93050"/>
    <w:rsid w:val="00A931F9"/>
    <w:rsid w:val="00A9327B"/>
    <w:rsid w:val="00A9361B"/>
    <w:rsid w:val="00A93B69"/>
    <w:rsid w:val="00A94335"/>
    <w:rsid w:val="00A94790"/>
    <w:rsid w:val="00A95C8A"/>
    <w:rsid w:val="00A963C7"/>
    <w:rsid w:val="00A96C23"/>
    <w:rsid w:val="00AA080D"/>
    <w:rsid w:val="00AA0BF5"/>
    <w:rsid w:val="00AA14DA"/>
    <w:rsid w:val="00AA1626"/>
    <w:rsid w:val="00AA1C25"/>
    <w:rsid w:val="00AA1C7A"/>
    <w:rsid w:val="00AA2133"/>
    <w:rsid w:val="00AA3DB7"/>
    <w:rsid w:val="00AA4073"/>
    <w:rsid w:val="00AA4358"/>
    <w:rsid w:val="00AA45A6"/>
    <w:rsid w:val="00AA4C0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AC1"/>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49C"/>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B9C"/>
    <w:rsid w:val="00AF3DBB"/>
    <w:rsid w:val="00AF4B8D"/>
    <w:rsid w:val="00AF5021"/>
    <w:rsid w:val="00AF5194"/>
    <w:rsid w:val="00AF53EF"/>
    <w:rsid w:val="00AF73C3"/>
    <w:rsid w:val="00AF795C"/>
    <w:rsid w:val="00AF79BE"/>
    <w:rsid w:val="00B00752"/>
    <w:rsid w:val="00B0120B"/>
    <w:rsid w:val="00B0193D"/>
    <w:rsid w:val="00B026C1"/>
    <w:rsid w:val="00B02B9C"/>
    <w:rsid w:val="00B02C89"/>
    <w:rsid w:val="00B02D41"/>
    <w:rsid w:val="00B0353B"/>
    <w:rsid w:val="00B040B2"/>
    <w:rsid w:val="00B04184"/>
    <w:rsid w:val="00B04D88"/>
    <w:rsid w:val="00B07150"/>
    <w:rsid w:val="00B10558"/>
    <w:rsid w:val="00B12EF9"/>
    <w:rsid w:val="00B1320D"/>
    <w:rsid w:val="00B143EF"/>
    <w:rsid w:val="00B14680"/>
    <w:rsid w:val="00B149F1"/>
    <w:rsid w:val="00B156A9"/>
    <w:rsid w:val="00B15F83"/>
    <w:rsid w:val="00B15FC2"/>
    <w:rsid w:val="00B160FF"/>
    <w:rsid w:val="00B16322"/>
    <w:rsid w:val="00B1662E"/>
    <w:rsid w:val="00B16A6F"/>
    <w:rsid w:val="00B16F95"/>
    <w:rsid w:val="00B176DC"/>
    <w:rsid w:val="00B204A9"/>
    <w:rsid w:val="00B22743"/>
    <w:rsid w:val="00B22B24"/>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E0B"/>
    <w:rsid w:val="00B3372A"/>
    <w:rsid w:val="00B340AA"/>
    <w:rsid w:val="00B34A9F"/>
    <w:rsid w:val="00B34B80"/>
    <w:rsid w:val="00B3501B"/>
    <w:rsid w:val="00B35CDA"/>
    <w:rsid w:val="00B36B58"/>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992"/>
    <w:rsid w:val="00B55AC2"/>
    <w:rsid w:val="00B560C9"/>
    <w:rsid w:val="00B561C6"/>
    <w:rsid w:val="00B5641C"/>
    <w:rsid w:val="00B56533"/>
    <w:rsid w:val="00B56569"/>
    <w:rsid w:val="00B56CFC"/>
    <w:rsid w:val="00B57777"/>
    <w:rsid w:val="00B57A17"/>
    <w:rsid w:val="00B60DE2"/>
    <w:rsid w:val="00B6115A"/>
    <w:rsid w:val="00B6186B"/>
    <w:rsid w:val="00B6198B"/>
    <w:rsid w:val="00B61BE2"/>
    <w:rsid w:val="00B61D4B"/>
    <w:rsid w:val="00B6232B"/>
    <w:rsid w:val="00B6266F"/>
    <w:rsid w:val="00B62907"/>
    <w:rsid w:val="00B62E0B"/>
    <w:rsid w:val="00B63C32"/>
    <w:rsid w:val="00B64434"/>
    <w:rsid w:val="00B657E1"/>
    <w:rsid w:val="00B659C5"/>
    <w:rsid w:val="00B6629B"/>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D09"/>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FCF"/>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5C07"/>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6D8D"/>
    <w:rsid w:val="00BC00EC"/>
    <w:rsid w:val="00BC01DD"/>
    <w:rsid w:val="00BC04E1"/>
    <w:rsid w:val="00BC08C5"/>
    <w:rsid w:val="00BC12FB"/>
    <w:rsid w:val="00BC13BA"/>
    <w:rsid w:val="00BC160A"/>
    <w:rsid w:val="00BC1C3C"/>
    <w:rsid w:val="00BC2642"/>
    <w:rsid w:val="00BC28A5"/>
    <w:rsid w:val="00BC307F"/>
    <w:rsid w:val="00BC3159"/>
    <w:rsid w:val="00BC3257"/>
    <w:rsid w:val="00BC39DB"/>
    <w:rsid w:val="00BC3A32"/>
    <w:rsid w:val="00BC3B07"/>
    <w:rsid w:val="00BC4343"/>
    <w:rsid w:val="00BC46EF"/>
    <w:rsid w:val="00BC4A0D"/>
    <w:rsid w:val="00BC4E27"/>
    <w:rsid w:val="00BC6BC1"/>
    <w:rsid w:val="00BC6FD6"/>
    <w:rsid w:val="00BC793D"/>
    <w:rsid w:val="00BD008E"/>
    <w:rsid w:val="00BD0444"/>
    <w:rsid w:val="00BD04BB"/>
    <w:rsid w:val="00BD051B"/>
    <w:rsid w:val="00BD0F02"/>
    <w:rsid w:val="00BD2F3B"/>
    <w:rsid w:val="00BD3038"/>
    <w:rsid w:val="00BD3372"/>
    <w:rsid w:val="00BD4708"/>
    <w:rsid w:val="00BD50AA"/>
    <w:rsid w:val="00BD5135"/>
    <w:rsid w:val="00BD596B"/>
    <w:rsid w:val="00BD5C1B"/>
    <w:rsid w:val="00BD62F3"/>
    <w:rsid w:val="00BD7291"/>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E28"/>
    <w:rsid w:val="00BE7F6A"/>
    <w:rsid w:val="00BF00E9"/>
    <w:rsid w:val="00BF0274"/>
    <w:rsid w:val="00BF0296"/>
    <w:rsid w:val="00BF056E"/>
    <w:rsid w:val="00BF08C4"/>
    <w:rsid w:val="00BF0BAF"/>
    <w:rsid w:val="00BF19CE"/>
    <w:rsid w:val="00BF1DFE"/>
    <w:rsid w:val="00BF2B6F"/>
    <w:rsid w:val="00BF313F"/>
    <w:rsid w:val="00BF351A"/>
    <w:rsid w:val="00BF3914"/>
    <w:rsid w:val="00BF49B1"/>
    <w:rsid w:val="00BF4B95"/>
    <w:rsid w:val="00BF507C"/>
    <w:rsid w:val="00BF5552"/>
    <w:rsid w:val="00BF5ABE"/>
    <w:rsid w:val="00BF5CC9"/>
    <w:rsid w:val="00BF6CBF"/>
    <w:rsid w:val="00BF73F2"/>
    <w:rsid w:val="00C00D87"/>
    <w:rsid w:val="00C0111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38B"/>
    <w:rsid w:val="00C14632"/>
    <w:rsid w:val="00C1512C"/>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2B"/>
    <w:rsid w:val="00C312BD"/>
    <w:rsid w:val="00C32217"/>
    <w:rsid w:val="00C3400F"/>
    <w:rsid w:val="00C344A0"/>
    <w:rsid w:val="00C34B64"/>
    <w:rsid w:val="00C34C36"/>
    <w:rsid w:val="00C352B3"/>
    <w:rsid w:val="00C3654C"/>
    <w:rsid w:val="00C36BF5"/>
    <w:rsid w:val="00C36C92"/>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4399"/>
    <w:rsid w:val="00C452F5"/>
    <w:rsid w:val="00C4530D"/>
    <w:rsid w:val="00C46555"/>
    <w:rsid w:val="00C46B15"/>
    <w:rsid w:val="00C46F7D"/>
    <w:rsid w:val="00C477CE"/>
    <w:rsid w:val="00C479B5"/>
    <w:rsid w:val="00C50242"/>
    <w:rsid w:val="00C5034D"/>
    <w:rsid w:val="00C5050E"/>
    <w:rsid w:val="00C50E99"/>
    <w:rsid w:val="00C516E0"/>
    <w:rsid w:val="00C51E83"/>
    <w:rsid w:val="00C52654"/>
    <w:rsid w:val="00C52744"/>
    <w:rsid w:val="00C52D67"/>
    <w:rsid w:val="00C53EB3"/>
    <w:rsid w:val="00C542D4"/>
    <w:rsid w:val="00C54D71"/>
    <w:rsid w:val="00C563F5"/>
    <w:rsid w:val="00C570F7"/>
    <w:rsid w:val="00C574BB"/>
    <w:rsid w:val="00C57EAB"/>
    <w:rsid w:val="00C60DC6"/>
    <w:rsid w:val="00C616AC"/>
    <w:rsid w:val="00C61E91"/>
    <w:rsid w:val="00C62254"/>
    <w:rsid w:val="00C62CD5"/>
    <w:rsid w:val="00C636E6"/>
    <w:rsid w:val="00C639D6"/>
    <w:rsid w:val="00C63F8E"/>
    <w:rsid w:val="00C647FB"/>
    <w:rsid w:val="00C654E0"/>
    <w:rsid w:val="00C67719"/>
    <w:rsid w:val="00C67765"/>
    <w:rsid w:val="00C67EAB"/>
    <w:rsid w:val="00C70DFF"/>
    <w:rsid w:val="00C74371"/>
    <w:rsid w:val="00C74FEE"/>
    <w:rsid w:val="00C75A6B"/>
    <w:rsid w:val="00C75E96"/>
    <w:rsid w:val="00C763B6"/>
    <w:rsid w:val="00C7644F"/>
    <w:rsid w:val="00C768F6"/>
    <w:rsid w:val="00C80073"/>
    <w:rsid w:val="00C805E7"/>
    <w:rsid w:val="00C80DEA"/>
    <w:rsid w:val="00C80ED7"/>
    <w:rsid w:val="00C832DC"/>
    <w:rsid w:val="00C8377F"/>
    <w:rsid w:val="00C83D54"/>
    <w:rsid w:val="00C84420"/>
    <w:rsid w:val="00C8518E"/>
    <w:rsid w:val="00C852A9"/>
    <w:rsid w:val="00C8646D"/>
    <w:rsid w:val="00C864DD"/>
    <w:rsid w:val="00C876BC"/>
    <w:rsid w:val="00C91DE3"/>
    <w:rsid w:val="00C9220C"/>
    <w:rsid w:val="00C92C7F"/>
    <w:rsid w:val="00C93692"/>
    <w:rsid w:val="00C9369D"/>
    <w:rsid w:val="00C9383D"/>
    <w:rsid w:val="00C940F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361C"/>
    <w:rsid w:val="00CB4793"/>
    <w:rsid w:val="00CB5B1E"/>
    <w:rsid w:val="00CB6441"/>
    <w:rsid w:val="00CB787A"/>
    <w:rsid w:val="00CC0C4A"/>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AB"/>
    <w:rsid w:val="00CD7958"/>
    <w:rsid w:val="00CE0109"/>
    <w:rsid w:val="00CE1490"/>
    <w:rsid w:val="00CE1FC5"/>
    <w:rsid w:val="00CE46E5"/>
    <w:rsid w:val="00CE485A"/>
    <w:rsid w:val="00CE5279"/>
    <w:rsid w:val="00CE5528"/>
    <w:rsid w:val="00CE5A78"/>
    <w:rsid w:val="00CE78AE"/>
    <w:rsid w:val="00CE7E62"/>
    <w:rsid w:val="00CF1558"/>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750"/>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403"/>
    <w:rsid w:val="00D14553"/>
    <w:rsid w:val="00D14DB1"/>
    <w:rsid w:val="00D15327"/>
    <w:rsid w:val="00D15F43"/>
    <w:rsid w:val="00D16326"/>
    <w:rsid w:val="00D16E87"/>
    <w:rsid w:val="00D17C6A"/>
    <w:rsid w:val="00D17FF1"/>
    <w:rsid w:val="00D20B8B"/>
    <w:rsid w:val="00D20BFE"/>
    <w:rsid w:val="00D2162C"/>
    <w:rsid w:val="00D2181B"/>
    <w:rsid w:val="00D21A3C"/>
    <w:rsid w:val="00D233F1"/>
    <w:rsid w:val="00D24765"/>
    <w:rsid w:val="00D256F8"/>
    <w:rsid w:val="00D259EB"/>
    <w:rsid w:val="00D25AA0"/>
    <w:rsid w:val="00D2685C"/>
    <w:rsid w:val="00D26A3B"/>
    <w:rsid w:val="00D302FD"/>
    <w:rsid w:val="00D3038A"/>
    <w:rsid w:val="00D30605"/>
    <w:rsid w:val="00D3098D"/>
    <w:rsid w:val="00D31A02"/>
    <w:rsid w:val="00D32786"/>
    <w:rsid w:val="00D32A09"/>
    <w:rsid w:val="00D3323C"/>
    <w:rsid w:val="00D33456"/>
    <w:rsid w:val="00D336C4"/>
    <w:rsid w:val="00D3396F"/>
    <w:rsid w:val="00D33BCC"/>
    <w:rsid w:val="00D33D4D"/>
    <w:rsid w:val="00D34A0B"/>
    <w:rsid w:val="00D36234"/>
    <w:rsid w:val="00D36371"/>
    <w:rsid w:val="00D407B5"/>
    <w:rsid w:val="00D41005"/>
    <w:rsid w:val="00D41CC4"/>
    <w:rsid w:val="00D420D0"/>
    <w:rsid w:val="00D437D8"/>
    <w:rsid w:val="00D44994"/>
    <w:rsid w:val="00D45243"/>
    <w:rsid w:val="00D455C7"/>
    <w:rsid w:val="00D45C8D"/>
    <w:rsid w:val="00D45DF3"/>
    <w:rsid w:val="00D46174"/>
    <w:rsid w:val="00D46746"/>
    <w:rsid w:val="00D47DD0"/>
    <w:rsid w:val="00D50183"/>
    <w:rsid w:val="00D51B54"/>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717"/>
    <w:rsid w:val="00DA4DE3"/>
    <w:rsid w:val="00DA5471"/>
    <w:rsid w:val="00DA615D"/>
    <w:rsid w:val="00DA6598"/>
    <w:rsid w:val="00DA6934"/>
    <w:rsid w:val="00DA6C0F"/>
    <w:rsid w:val="00DA702F"/>
    <w:rsid w:val="00DA7F8A"/>
    <w:rsid w:val="00DB0176"/>
    <w:rsid w:val="00DB0404"/>
    <w:rsid w:val="00DB069C"/>
    <w:rsid w:val="00DB08DD"/>
    <w:rsid w:val="00DB11F8"/>
    <w:rsid w:val="00DB18F8"/>
    <w:rsid w:val="00DB1BF0"/>
    <w:rsid w:val="00DB1F2A"/>
    <w:rsid w:val="00DB2175"/>
    <w:rsid w:val="00DB297F"/>
    <w:rsid w:val="00DB2C83"/>
    <w:rsid w:val="00DB3153"/>
    <w:rsid w:val="00DB317A"/>
    <w:rsid w:val="00DB3B82"/>
    <w:rsid w:val="00DB485D"/>
    <w:rsid w:val="00DB4C6E"/>
    <w:rsid w:val="00DB5293"/>
    <w:rsid w:val="00DB6ED8"/>
    <w:rsid w:val="00DC0D85"/>
    <w:rsid w:val="00DC1301"/>
    <w:rsid w:val="00DC1327"/>
    <w:rsid w:val="00DC1350"/>
    <w:rsid w:val="00DC2953"/>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AF"/>
    <w:rsid w:val="00DC7768"/>
    <w:rsid w:val="00DC7770"/>
    <w:rsid w:val="00DC7E52"/>
    <w:rsid w:val="00DC7EC8"/>
    <w:rsid w:val="00DD12C5"/>
    <w:rsid w:val="00DD2025"/>
    <w:rsid w:val="00DD219C"/>
    <w:rsid w:val="00DD22EA"/>
    <w:rsid w:val="00DD23A0"/>
    <w:rsid w:val="00DD3EF5"/>
    <w:rsid w:val="00DD4BD0"/>
    <w:rsid w:val="00DD53FA"/>
    <w:rsid w:val="00DD58C2"/>
    <w:rsid w:val="00DD593F"/>
    <w:rsid w:val="00DD5F42"/>
    <w:rsid w:val="00DD617B"/>
    <w:rsid w:val="00DD6D4E"/>
    <w:rsid w:val="00DD79A6"/>
    <w:rsid w:val="00DE0443"/>
    <w:rsid w:val="00DE068C"/>
    <w:rsid w:val="00DE0E59"/>
    <w:rsid w:val="00DE0F6C"/>
    <w:rsid w:val="00DE12F0"/>
    <w:rsid w:val="00DE219B"/>
    <w:rsid w:val="00DE3407"/>
    <w:rsid w:val="00DE3979"/>
    <w:rsid w:val="00DE4083"/>
    <w:rsid w:val="00DE51EE"/>
    <w:rsid w:val="00DE52E3"/>
    <w:rsid w:val="00DE5FDD"/>
    <w:rsid w:val="00DE70CB"/>
    <w:rsid w:val="00DE7C00"/>
    <w:rsid w:val="00DF03E9"/>
    <w:rsid w:val="00DF03ED"/>
    <w:rsid w:val="00DF04EE"/>
    <w:rsid w:val="00DF0BF4"/>
    <w:rsid w:val="00DF10B2"/>
    <w:rsid w:val="00DF179D"/>
    <w:rsid w:val="00DF1E9C"/>
    <w:rsid w:val="00DF2168"/>
    <w:rsid w:val="00DF2286"/>
    <w:rsid w:val="00DF2D2C"/>
    <w:rsid w:val="00DF4572"/>
    <w:rsid w:val="00DF4658"/>
    <w:rsid w:val="00DF56E7"/>
    <w:rsid w:val="00DF5A1C"/>
    <w:rsid w:val="00DF5C5B"/>
    <w:rsid w:val="00DF6C8B"/>
    <w:rsid w:val="00DF6F17"/>
    <w:rsid w:val="00DF6F28"/>
    <w:rsid w:val="00DF78FA"/>
    <w:rsid w:val="00DF7AE1"/>
    <w:rsid w:val="00E002F1"/>
    <w:rsid w:val="00E0082C"/>
    <w:rsid w:val="00E013C9"/>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1B3"/>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4C0"/>
    <w:rsid w:val="00E339DC"/>
    <w:rsid w:val="00E33E15"/>
    <w:rsid w:val="00E35126"/>
    <w:rsid w:val="00E353A4"/>
    <w:rsid w:val="00E361B8"/>
    <w:rsid w:val="00E36A1B"/>
    <w:rsid w:val="00E37DDE"/>
    <w:rsid w:val="00E40949"/>
    <w:rsid w:val="00E40C38"/>
    <w:rsid w:val="00E42428"/>
    <w:rsid w:val="00E429ED"/>
    <w:rsid w:val="00E43F37"/>
    <w:rsid w:val="00E441E6"/>
    <w:rsid w:val="00E44E2E"/>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80E"/>
    <w:rsid w:val="00E57AE9"/>
    <w:rsid w:val="00E57EAC"/>
    <w:rsid w:val="00E604EF"/>
    <w:rsid w:val="00E61CC0"/>
    <w:rsid w:val="00E6277B"/>
    <w:rsid w:val="00E639F7"/>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FE8"/>
    <w:rsid w:val="00E73215"/>
    <w:rsid w:val="00E741AC"/>
    <w:rsid w:val="00E747AA"/>
    <w:rsid w:val="00E74F75"/>
    <w:rsid w:val="00E75174"/>
    <w:rsid w:val="00E75EBA"/>
    <w:rsid w:val="00E761C6"/>
    <w:rsid w:val="00E76279"/>
    <w:rsid w:val="00E763B4"/>
    <w:rsid w:val="00E77530"/>
    <w:rsid w:val="00E77848"/>
    <w:rsid w:val="00E779B3"/>
    <w:rsid w:val="00E804D2"/>
    <w:rsid w:val="00E80514"/>
    <w:rsid w:val="00E80E5B"/>
    <w:rsid w:val="00E816C5"/>
    <w:rsid w:val="00E81CA5"/>
    <w:rsid w:val="00E81CE0"/>
    <w:rsid w:val="00E81E7C"/>
    <w:rsid w:val="00E82087"/>
    <w:rsid w:val="00E8224D"/>
    <w:rsid w:val="00E8225B"/>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4AC8"/>
    <w:rsid w:val="00E95BA6"/>
    <w:rsid w:val="00E97648"/>
    <w:rsid w:val="00EA07E9"/>
    <w:rsid w:val="00EA0E4A"/>
    <w:rsid w:val="00EA1A54"/>
    <w:rsid w:val="00EA2226"/>
    <w:rsid w:val="00EA2483"/>
    <w:rsid w:val="00EA26FC"/>
    <w:rsid w:val="00EA2927"/>
    <w:rsid w:val="00EA3B5A"/>
    <w:rsid w:val="00EA410E"/>
    <w:rsid w:val="00EA4FD1"/>
    <w:rsid w:val="00EA53C2"/>
    <w:rsid w:val="00EA5695"/>
    <w:rsid w:val="00EA569D"/>
    <w:rsid w:val="00EA5B0A"/>
    <w:rsid w:val="00EA5B4B"/>
    <w:rsid w:val="00EA65AD"/>
    <w:rsid w:val="00EA7FCF"/>
    <w:rsid w:val="00EB0CA3"/>
    <w:rsid w:val="00EB104F"/>
    <w:rsid w:val="00EB1B27"/>
    <w:rsid w:val="00EB1DA8"/>
    <w:rsid w:val="00EB28C3"/>
    <w:rsid w:val="00EB2D2E"/>
    <w:rsid w:val="00EB4B27"/>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3A5"/>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D34"/>
    <w:rsid w:val="00ED5FE4"/>
    <w:rsid w:val="00ED6FAD"/>
    <w:rsid w:val="00ED71C5"/>
    <w:rsid w:val="00EE16FA"/>
    <w:rsid w:val="00EE18B9"/>
    <w:rsid w:val="00EE32CE"/>
    <w:rsid w:val="00EE3C42"/>
    <w:rsid w:val="00EE3D4F"/>
    <w:rsid w:val="00EE467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EF7AC4"/>
    <w:rsid w:val="00F02651"/>
    <w:rsid w:val="00F027BA"/>
    <w:rsid w:val="00F03DF5"/>
    <w:rsid w:val="00F03E79"/>
    <w:rsid w:val="00F0628D"/>
    <w:rsid w:val="00F064F3"/>
    <w:rsid w:val="00F0661B"/>
    <w:rsid w:val="00F06651"/>
    <w:rsid w:val="00F06CC3"/>
    <w:rsid w:val="00F07027"/>
    <w:rsid w:val="00F07DE6"/>
    <w:rsid w:val="00F1056C"/>
    <w:rsid w:val="00F107F1"/>
    <w:rsid w:val="00F10FC1"/>
    <w:rsid w:val="00F1121E"/>
    <w:rsid w:val="00F112FD"/>
    <w:rsid w:val="00F133A1"/>
    <w:rsid w:val="00F13ECD"/>
    <w:rsid w:val="00F14D13"/>
    <w:rsid w:val="00F155CE"/>
    <w:rsid w:val="00F16750"/>
    <w:rsid w:val="00F16BF2"/>
    <w:rsid w:val="00F16C9E"/>
    <w:rsid w:val="00F17EAE"/>
    <w:rsid w:val="00F2117B"/>
    <w:rsid w:val="00F2135D"/>
    <w:rsid w:val="00F218D4"/>
    <w:rsid w:val="00F21E9A"/>
    <w:rsid w:val="00F2250A"/>
    <w:rsid w:val="00F22738"/>
    <w:rsid w:val="00F22840"/>
    <w:rsid w:val="00F2453C"/>
    <w:rsid w:val="00F245A3"/>
    <w:rsid w:val="00F24788"/>
    <w:rsid w:val="00F24DA7"/>
    <w:rsid w:val="00F25A20"/>
    <w:rsid w:val="00F26252"/>
    <w:rsid w:val="00F2640F"/>
    <w:rsid w:val="00F27B6A"/>
    <w:rsid w:val="00F27C34"/>
    <w:rsid w:val="00F27E46"/>
    <w:rsid w:val="00F27FD4"/>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37C27"/>
    <w:rsid w:val="00F401C0"/>
    <w:rsid w:val="00F40421"/>
    <w:rsid w:val="00F405A4"/>
    <w:rsid w:val="00F406F4"/>
    <w:rsid w:val="00F41F05"/>
    <w:rsid w:val="00F433BD"/>
    <w:rsid w:val="00F444ED"/>
    <w:rsid w:val="00F44EC5"/>
    <w:rsid w:val="00F45820"/>
    <w:rsid w:val="00F470D6"/>
    <w:rsid w:val="00F47498"/>
    <w:rsid w:val="00F512B2"/>
    <w:rsid w:val="00F5283D"/>
    <w:rsid w:val="00F52ABA"/>
    <w:rsid w:val="00F52BC7"/>
    <w:rsid w:val="00F53BF4"/>
    <w:rsid w:val="00F54266"/>
    <w:rsid w:val="00F54B93"/>
    <w:rsid w:val="00F55043"/>
    <w:rsid w:val="00F5626D"/>
    <w:rsid w:val="00F56681"/>
    <w:rsid w:val="00F56DCF"/>
    <w:rsid w:val="00F57034"/>
    <w:rsid w:val="00F57B1F"/>
    <w:rsid w:val="00F57F81"/>
    <w:rsid w:val="00F6060F"/>
    <w:rsid w:val="00F60BE9"/>
    <w:rsid w:val="00F60DFB"/>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5"/>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44E"/>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4F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39"/>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18E"/>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9B"/>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6B6150"/>
    <w:pPr>
      <w:autoSpaceDE/>
      <w:autoSpaceDN/>
      <w:adjustRightInd/>
      <w:snapToGrid/>
      <w:ind w:left="720"/>
      <w:contextualSpacing/>
      <w:jc w:val="left"/>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3"/>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3"/>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6B6150"/>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DC7768"/>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qFormat/>
    <w:rsid w:val="008A52E7"/>
    <w:rPr>
      <w:b/>
    </w:rPr>
  </w:style>
  <w:style w:type="character" w:customStyle="1" w:styleId="TAHCar">
    <w:name w:val="TAH Car"/>
    <w:link w:val="TAH"/>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link w:val="EQChar"/>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qFormat/>
    <w:rsid w:val="00AA14DA"/>
    <w:rPr>
      <w:rFonts w:eastAsia="Times New Roman"/>
      <w:lang w:val="en-GB"/>
    </w:rPr>
  </w:style>
  <w:style w:type="paragraph" w:customStyle="1" w:styleId="ZchnZchn">
    <w:name w:val="Zchn Zchn"/>
    <w:semiHidden/>
    <w:rsid w:val="00AA14DA"/>
    <w:pPr>
      <w:keepNext/>
      <w:numPr>
        <w:numId w:val="23"/>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 w:type="character" w:customStyle="1" w:styleId="NOChar">
    <w:name w:val="NO Char"/>
    <w:link w:val="NO"/>
    <w:qFormat/>
    <w:locked/>
    <w:rsid w:val="007A288B"/>
    <w:rPr>
      <w:rFonts w:eastAsia="Times New Roman"/>
    </w:rPr>
  </w:style>
  <w:style w:type="paragraph" w:customStyle="1" w:styleId="NO">
    <w:name w:val="NO"/>
    <w:basedOn w:val="Normal"/>
    <w:link w:val="NOChar"/>
    <w:rsid w:val="007A288B"/>
    <w:pPr>
      <w:keepLines/>
      <w:overflowPunct w:val="0"/>
      <w:snapToGrid/>
      <w:spacing w:after="180"/>
      <w:ind w:left="1135" w:hanging="851"/>
      <w:jc w:val="left"/>
    </w:pPr>
    <w:rPr>
      <w:rFonts w:eastAsia="Times New Roman"/>
      <w:sz w:val="20"/>
      <w:szCs w:val="20"/>
    </w:rPr>
  </w:style>
  <w:style w:type="character" w:customStyle="1" w:styleId="B3Char">
    <w:name w:val="B3 Char"/>
    <w:link w:val="B3"/>
    <w:qFormat/>
    <w:locked/>
    <w:rsid w:val="007A288B"/>
    <w:rPr>
      <w:rFonts w:eastAsia="Times New Roman"/>
    </w:rPr>
  </w:style>
  <w:style w:type="paragraph" w:customStyle="1" w:styleId="B3">
    <w:name w:val="B3"/>
    <w:basedOn w:val="List3"/>
    <w:link w:val="B3Char"/>
    <w:rsid w:val="007A288B"/>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7A288B"/>
    <w:rPr>
      <w:rFonts w:eastAsia="Times New Roman"/>
    </w:rPr>
  </w:style>
  <w:style w:type="paragraph" w:customStyle="1" w:styleId="B4">
    <w:name w:val="B4"/>
    <w:basedOn w:val="List4"/>
    <w:link w:val="B4Char"/>
    <w:rsid w:val="007A288B"/>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7A288B"/>
    <w:rPr>
      <w:rFonts w:eastAsia="Times New Roman"/>
    </w:rPr>
  </w:style>
  <w:style w:type="paragraph" w:customStyle="1" w:styleId="B5">
    <w:name w:val="B5"/>
    <w:basedOn w:val="List5"/>
    <w:link w:val="B5Char"/>
    <w:rsid w:val="007A288B"/>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7A288B"/>
    <w:rPr>
      <w:rFonts w:eastAsia="Times New Roman"/>
    </w:rPr>
  </w:style>
  <w:style w:type="paragraph" w:customStyle="1" w:styleId="B6">
    <w:name w:val="B6"/>
    <w:basedOn w:val="B5"/>
    <w:link w:val="B6Char"/>
    <w:qFormat/>
    <w:rsid w:val="007A288B"/>
    <w:pPr>
      <w:ind w:left="1985"/>
    </w:pPr>
  </w:style>
  <w:style w:type="paragraph" w:styleId="List3">
    <w:name w:val="List 3"/>
    <w:basedOn w:val="Normal"/>
    <w:semiHidden/>
    <w:unhideWhenUsed/>
    <w:rsid w:val="007A288B"/>
    <w:pPr>
      <w:ind w:left="1080" w:hanging="360"/>
      <w:contextualSpacing/>
    </w:pPr>
  </w:style>
  <w:style w:type="paragraph" w:styleId="List4">
    <w:name w:val="List 4"/>
    <w:basedOn w:val="Normal"/>
    <w:rsid w:val="007A288B"/>
    <w:pPr>
      <w:ind w:left="1440" w:hanging="360"/>
      <w:contextualSpacing/>
    </w:pPr>
  </w:style>
  <w:style w:type="paragraph" w:styleId="List5">
    <w:name w:val="List 5"/>
    <w:basedOn w:val="Normal"/>
    <w:rsid w:val="007A288B"/>
    <w:pPr>
      <w:ind w:left="1800" w:hanging="360"/>
      <w:contextualSpacing/>
    </w:pPr>
  </w:style>
  <w:style w:type="character" w:customStyle="1" w:styleId="TFChar">
    <w:name w:val="TF Char"/>
    <w:link w:val="TF"/>
    <w:qFormat/>
    <w:locked/>
    <w:rsid w:val="007A288B"/>
    <w:rPr>
      <w:rFonts w:ascii="Arial" w:eastAsia="Times New Roman" w:hAnsi="Arial" w:cs="Arial"/>
      <w:b/>
    </w:rPr>
  </w:style>
  <w:style w:type="paragraph" w:customStyle="1" w:styleId="TF">
    <w:name w:val="TF"/>
    <w:basedOn w:val="TH"/>
    <w:link w:val="TFChar"/>
    <w:rsid w:val="007A288B"/>
    <w:pPr>
      <w:keepNext w:val="0"/>
      <w:overflowPunct w:val="0"/>
      <w:autoSpaceDE w:val="0"/>
      <w:autoSpaceDN w:val="0"/>
      <w:adjustRightInd w:val="0"/>
      <w:spacing w:before="0" w:after="240"/>
    </w:pPr>
    <w:rPr>
      <w:rFonts w:eastAsia="Times New Roman" w:cs="Arial"/>
      <w:lang w:val="en-US"/>
    </w:rPr>
  </w:style>
  <w:style w:type="table" w:styleId="GridTable2">
    <w:name w:val="Grid Table 2"/>
    <w:basedOn w:val="TableNormal"/>
    <w:uiPriority w:val="47"/>
    <w:rsid w:val="00C36C9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C36C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qFormat/>
    <w:locked/>
    <w:rsid w:val="00510BAF"/>
    <w:rPr>
      <w:rFonts w:eastAsia="MS Mincho"/>
      <w:noProof/>
      <w:lang w:val="en-GB"/>
    </w:rPr>
  </w:style>
  <w:style w:type="paragraph" w:styleId="Revision">
    <w:name w:val="Revision"/>
    <w:hidden/>
    <w:uiPriority w:val="99"/>
    <w:semiHidden/>
    <w:rsid w:val="00C616A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3279">
      <w:bodyDiv w:val="1"/>
      <w:marLeft w:val="0"/>
      <w:marRight w:val="0"/>
      <w:marTop w:val="0"/>
      <w:marBottom w:val="0"/>
      <w:divBdr>
        <w:top w:val="none" w:sz="0" w:space="0" w:color="auto"/>
        <w:left w:val="none" w:sz="0" w:space="0" w:color="auto"/>
        <w:bottom w:val="none" w:sz="0" w:space="0" w:color="auto"/>
        <w:right w:val="none" w:sz="0" w:space="0" w:color="auto"/>
      </w:divBdr>
      <w:divsChild>
        <w:div w:id="1106583410">
          <w:marLeft w:val="1080"/>
          <w:marRight w:val="0"/>
          <w:marTop w:val="100"/>
          <w:marBottom w:val="0"/>
          <w:divBdr>
            <w:top w:val="none" w:sz="0" w:space="0" w:color="auto"/>
            <w:left w:val="none" w:sz="0" w:space="0" w:color="auto"/>
            <w:bottom w:val="none" w:sz="0" w:space="0" w:color="auto"/>
            <w:right w:val="none" w:sz="0" w:space="0" w:color="auto"/>
          </w:divBdr>
        </w:div>
        <w:div w:id="1243946870">
          <w:marLeft w:val="1080"/>
          <w:marRight w:val="0"/>
          <w:marTop w:val="100"/>
          <w:marBottom w:val="0"/>
          <w:divBdr>
            <w:top w:val="none" w:sz="0" w:space="0" w:color="auto"/>
            <w:left w:val="none" w:sz="0" w:space="0" w:color="auto"/>
            <w:bottom w:val="none" w:sz="0" w:space="0" w:color="auto"/>
            <w:right w:val="none" w:sz="0" w:space="0" w:color="auto"/>
          </w:divBdr>
        </w:div>
      </w:divsChild>
    </w:div>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12364309">
      <w:bodyDiv w:val="1"/>
      <w:marLeft w:val="0"/>
      <w:marRight w:val="0"/>
      <w:marTop w:val="0"/>
      <w:marBottom w:val="0"/>
      <w:divBdr>
        <w:top w:val="none" w:sz="0" w:space="0" w:color="auto"/>
        <w:left w:val="none" w:sz="0" w:space="0" w:color="auto"/>
        <w:bottom w:val="none" w:sz="0" w:space="0" w:color="auto"/>
        <w:right w:val="none" w:sz="0" w:space="0" w:color="auto"/>
      </w:divBdr>
    </w:div>
    <w:div w:id="459232409">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725465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57346302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05503">
      <w:bodyDiv w:val="1"/>
      <w:marLeft w:val="0"/>
      <w:marRight w:val="0"/>
      <w:marTop w:val="0"/>
      <w:marBottom w:val="0"/>
      <w:divBdr>
        <w:top w:val="none" w:sz="0" w:space="0" w:color="auto"/>
        <w:left w:val="none" w:sz="0" w:space="0" w:color="auto"/>
        <w:bottom w:val="none" w:sz="0" w:space="0" w:color="auto"/>
        <w:right w:val="none" w:sz="0" w:space="0" w:color="auto"/>
      </w:divBdr>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Book6"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6"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Reports</a:t>
            </a:r>
            <a:r>
              <a:rPr lang="en-US" sz="1000" baseline="0"/>
              <a:t> generated with absolute threshold</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2"/>
          <c:order val="2"/>
          <c:tx>
            <c:v>Report Abs Trigger</c:v>
          </c:tx>
          <c:spPr>
            <a:solidFill>
              <a:srgbClr val="FF0000"/>
            </a:solidFill>
            <a:ln>
              <a:noFill/>
            </a:ln>
            <a:effectLst/>
          </c:spPr>
          <c:invertIfNegative val="0"/>
          <c:val>
            <c:numRef>
              <c:f>Sheet1!$C$2:$C$34</c:f>
              <c:numCache>
                <c:formatCode>General</c:formatCode>
                <c:ptCount val="33"/>
                <c:pt idx="0">
                  <c:v>0</c:v>
                </c:pt>
                <c:pt idx="1">
                  <c:v>0</c:v>
                </c:pt>
                <c:pt idx="2">
                  <c:v>0</c:v>
                </c:pt>
                <c:pt idx="3">
                  <c:v>0</c:v>
                </c:pt>
                <c:pt idx="4">
                  <c:v>0</c:v>
                </c:pt>
                <c:pt idx="5">
                  <c:v>0</c:v>
                </c:pt>
                <c:pt idx="6">
                  <c:v>0</c:v>
                </c:pt>
                <c:pt idx="7">
                  <c:v>0</c:v>
                </c:pt>
                <c:pt idx="8">
                  <c:v>0</c:v>
                </c:pt>
                <c:pt idx="9">
                  <c:v>0</c:v>
                </c:pt>
                <c:pt idx="10">
                  <c:v>0</c:v>
                </c:pt>
                <c:pt idx="11">
                  <c:v>0</c:v>
                </c:pt>
                <c:pt idx="12">
                  <c:v>0</c:v>
                </c:pt>
                <c:pt idx="13">
                  <c:v>1</c:v>
                </c:pt>
                <c:pt idx="14">
                  <c:v>1</c:v>
                </c:pt>
                <c:pt idx="15">
                  <c:v>1</c:v>
                </c:pt>
                <c:pt idx="16">
                  <c:v>1</c:v>
                </c:pt>
                <c:pt idx="17">
                  <c:v>1</c:v>
                </c:pt>
                <c:pt idx="18">
                  <c:v>1</c:v>
                </c:pt>
                <c:pt idx="19">
                  <c:v>1</c:v>
                </c:pt>
                <c:pt idx="20">
                  <c:v>1</c:v>
                </c:pt>
                <c:pt idx="21">
                  <c:v>1</c:v>
                </c:pt>
                <c:pt idx="22">
                  <c:v>1</c:v>
                </c:pt>
                <c:pt idx="23">
                  <c:v>1</c:v>
                </c:pt>
                <c:pt idx="24">
                  <c:v>0</c:v>
                </c:pt>
                <c:pt idx="25">
                  <c:v>0</c:v>
                </c:pt>
                <c:pt idx="26">
                  <c:v>0</c:v>
                </c:pt>
                <c:pt idx="27">
                  <c:v>0</c:v>
                </c:pt>
                <c:pt idx="28">
                  <c:v>0</c:v>
                </c:pt>
                <c:pt idx="29">
                  <c:v>0</c:v>
                </c:pt>
                <c:pt idx="30">
                  <c:v>0</c:v>
                </c:pt>
                <c:pt idx="31">
                  <c:v>0</c:v>
                </c:pt>
                <c:pt idx="32">
                  <c:v>0</c:v>
                </c:pt>
              </c:numCache>
            </c:numRef>
          </c:val>
          <c:extLst>
            <c:ext xmlns:c16="http://schemas.microsoft.com/office/drawing/2014/chart" uri="{C3380CC4-5D6E-409C-BE32-E72D297353CC}">
              <c16:uniqueId val="{00000000-17B3-43AC-96ED-B97BA954A25B}"/>
            </c:ext>
          </c:extLst>
        </c:ser>
        <c:dLbls>
          <c:showLegendKey val="0"/>
          <c:showVal val="0"/>
          <c:showCatName val="0"/>
          <c:showSerName val="0"/>
          <c:showPercent val="0"/>
          <c:showBubbleSize val="0"/>
        </c:dLbls>
        <c:gapWidth val="219"/>
        <c:axId val="1292708815"/>
        <c:axId val="1296450511"/>
        <c:extLst>
          <c:ext xmlns:c15="http://schemas.microsoft.com/office/drawing/2012/chart" uri="{02D57815-91ED-43cb-92C2-25804820EDAC}">
            <c15:filteredBarSeries>
              <c15:ser>
                <c:idx val="0"/>
                <c:order val="0"/>
                <c:spPr>
                  <a:solidFill>
                    <a:schemeClr val="accent1"/>
                  </a:solidFill>
                  <a:ln>
                    <a:noFill/>
                  </a:ln>
                  <a:effectLst/>
                </c:spPr>
                <c:invertIfNegative val="0"/>
                <c:val>
                  <c:numRef>
                    <c:extLst>
                      <c:ext uri="{02D57815-91ED-43cb-92C2-25804820EDAC}">
                        <c15:formulaRef>
                          <c15:sqref>Sheet1!$A$2:$A$34</c15:sqref>
                        </c15:formulaRef>
                      </c:ext>
                    </c:extLst>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val>
                <c:extLst>
                  <c:ext xmlns:c16="http://schemas.microsoft.com/office/drawing/2014/chart" uri="{C3380CC4-5D6E-409C-BE32-E72D297353CC}">
                    <c16:uniqueId val="{00000002-17B3-43AC-96ED-B97BA954A25B}"/>
                  </c:ext>
                </c:extLst>
              </c15:ser>
            </c15:filteredBarSeries>
            <c15:filteredBarSeries>
              <c15:ser>
                <c:idx val="3"/>
                <c:order val="3"/>
                <c:tx>
                  <c:v>Report Rel. Trigger</c:v>
                </c:tx>
                <c:spPr>
                  <a:solidFill>
                    <a:srgbClr val="0070C0"/>
                  </a:solidFill>
                  <a:ln>
                    <a:noFill/>
                  </a:ln>
                  <a:effectLst/>
                </c:spPr>
                <c:invertIfNegative val="0"/>
                <c:val>
                  <c:numRef>
                    <c:extLst xmlns:c15="http://schemas.microsoft.com/office/drawing/2012/chart">
                      <c:ext xmlns:c15="http://schemas.microsoft.com/office/drawing/2012/chart" uri="{02D57815-91ED-43cb-92C2-25804820EDAC}">
                        <c15:formulaRef>
                          <c15:sqref>Sheet1!$D$2:$D$34</c15:sqref>
                        </c15:formulaRef>
                      </c:ext>
                    </c:extLst>
                    <c:numCache>
                      <c:formatCode>General</c:formatCode>
                      <c:ptCount val="33"/>
                      <c:pt idx="0">
                        <c:v>0</c:v>
                      </c:pt>
                      <c:pt idx="1">
                        <c:v>0</c:v>
                      </c:pt>
                      <c:pt idx="2">
                        <c:v>0</c:v>
                      </c:pt>
                      <c:pt idx="3">
                        <c:v>0</c:v>
                      </c:pt>
                      <c:pt idx="4">
                        <c:v>0</c:v>
                      </c:pt>
                      <c:pt idx="5">
                        <c:v>0</c:v>
                      </c:pt>
                      <c:pt idx="6">
                        <c:v>1</c:v>
                      </c:pt>
                      <c:pt idx="7">
                        <c:v>0</c:v>
                      </c:pt>
                      <c:pt idx="8">
                        <c:v>0</c:v>
                      </c:pt>
                      <c:pt idx="9">
                        <c:v>1</c:v>
                      </c:pt>
                      <c:pt idx="10">
                        <c:v>0</c:v>
                      </c:pt>
                      <c:pt idx="11">
                        <c:v>0</c:v>
                      </c:pt>
                      <c:pt idx="12">
                        <c:v>0</c:v>
                      </c:pt>
                      <c:pt idx="13">
                        <c:v>0</c:v>
                      </c:pt>
                      <c:pt idx="14">
                        <c:v>0</c:v>
                      </c:pt>
                      <c:pt idx="15">
                        <c:v>1</c:v>
                      </c:pt>
                      <c:pt idx="16">
                        <c:v>0</c:v>
                      </c:pt>
                      <c:pt idx="17">
                        <c:v>0</c:v>
                      </c:pt>
                      <c:pt idx="18">
                        <c:v>1</c:v>
                      </c:pt>
                      <c:pt idx="19">
                        <c:v>0</c:v>
                      </c:pt>
                      <c:pt idx="20">
                        <c:v>0</c:v>
                      </c:pt>
                      <c:pt idx="21">
                        <c:v>1</c:v>
                      </c:pt>
                      <c:pt idx="22">
                        <c:v>0</c:v>
                      </c:pt>
                      <c:pt idx="23">
                        <c:v>0</c:v>
                      </c:pt>
                      <c:pt idx="24">
                        <c:v>1</c:v>
                      </c:pt>
                      <c:pt idx="25">
                        <c:v>0</c:v>
                      </c:pt>
                      <c:pt idx="26">
                        <c:v>0</c:v>
                      </c:pt>
                      <c:pt idx="27">
                        <c:v>0</c:v>
                      </c:pt>
                      <c:pt idx="28">
                        <c:v>1</c:v>
                      </c:pt>
                      <c:pt idx="29">
                        <c:v>0</c:v>
                      </c:pt>
                      <c:pt idx="30">
                        <c:v>0</c:v>
                      </c:pt>
                      <c:pt idx="31">
                        <c:v>0</c:v>
                      </c:pt>
                      <c:pt idx="32">
                        <c:v>0</c:v>
                      </c:pt>
                    </c:numCache>
                  </c:numRef>
                </c:val>
                <c:extLst xmlns:c15="http://schemas.microsoft.com/office/drawing/2012/chart">
                  <c:ext xmlns:c16="http://schemas.microsoft.com/office/drawing/2014/chart" uri="{C3380CC4-5D6E-409C-BE32-E72D297353CC}">
                    <c16:uniqueId val="{00000003-17B3-43AC-96ED-B97BA954A25B}"/>
                  </c:ext>
                </c:extLst>
              </c15:ser>
            </c15:filteredBarSeries>
          </c:ext>
        </c:extLst>
      </c:barChart>
      <c:lineChart>
        <c:grouping val="standard"/>
        <c:varyColors val="0"/>
        <c:ser>
          <c:idx val="1"/>
          <c:order val="1"/>
          <c:tx>
            <c:v>P-MPR</c:v>
          </c:tx>
          <c:spPr>
            <a:ln w="28575" cap="rnd">
              <a:solidFill>
                <a:sysClr val="windowText" lastClr="000000"/>
              </a:solidFill>
              <a:round/>
            </a:ln>
            <a:effectLst/>
          </c:spPr>
          <c:marker>
            <c:symbol val="none"/>
          </c:marker>
          <c:val>
            <c:numRef>
              <c:f>Sheet1!$B$2:$B$34</c:f>
              <c:numCache>
                <c:formatCode>General</c:formatCode>
                <c:ptCount val="33"/>
                <c:pt idx="0">
                  <c:v>0</c:v>
                </c:pt>
                <c:pt idx="1">
                  <c:v>0</c:v>
                </c:pt>
                <c:pt idx="2">
                  <c:v>0</c:v>
                </c:pt>
                <c:pt idx="3">
                  <c:v>3</c:v>
                </c:pt>
                <c:pt idx="4">
                  <c:v>3</c:v>
                </c:pt>
                <c:pt idx="5">
                  <c:v>3</c:v>
                </c:pt>
                <c:pt idx="6">
                  <c:v>4</c:v>
                </c:pt>
                <c:pt idx="7">
                  <c:v>4</c:v>
                </c:pt>
                <c:pt idx="8">
                  <c:v>4</c:v>
                </c:pt>
                <c:pt idx="9">
                  <c:v>8</c:v>
                </c:pt>
                <c:pt idx="10">
                  <c:v>8</c:v>
                </c:pt>
                <c:pt idx="11">
                  <c:v>8</c:v>
                </c:pt>
                <c:pt idx="12">
                  <c:v>8</c:v>
                </c:pt>
                <c:pt idx="13">
                  <c:v>11</c:v>
                </c:pt>
                <c:pt idx="14">
                  <c:v>11</c:v>
                </c:pt>
                <c:pt idx="15">
                  <c:v>12</c:v>
                </c:pt>
                <c:pt idx="16">
                  <c:v>12</c:v>
                </c:pt>
                <c:pt idx="17">
                  <c:v>12</c:v>
                </c:pt>
                <c:pt idx="18">
                  <c:v>19</c:v>
                </c:pt>
                <c:pt idx="19">
                  <c:v>19</c:v>
                </c:pt>
                <c:pt idx="20">
                  <c:v>19</c:v>
                </c:pt>
                <c:pt idx="21">
                  <c:v>14</c:v>
                </c:pt>
                <c:pt idx="22">
                  <c:v>14</c:v>
                </c:pt>
                <c:pt idx="23">
                  <c:v>14</c:v>
                </c:pt>
                <c:pt idx="24">
                  <c:v>9</c:v>
                </c:pt>
                <c:pt idx="25">
                  <c:v>9</c:v>
                </c:pt>
                <c:pt idx="26">
                  <c:v>9</c:v>
                </c:pt>
                <c:pt idx="27">
                  <c:v>9</c:v>
                </c:pt>
                <c:pt idx="28">
                  <c:v>0</c:v>
                </c:pt>
                <c:pt idx="29">
                  <c:v>0</c:v>
                </c:pt>
                <c:pt idx="30">
                  <c:v>0</c:v>
                </c:pt>
                <c:pt idx="31">
                  <c:v>0</c:v>
                </c:pt>
                <c:pt idx="32">
                  <c:v>0</c:v>
                </c:pt>
              </c:numCache>
            </c:numRef>
          </c:val>
          <c:smooth val="0"/>
          <c:extLst>
            <c:ext xmlns:c16="http://schemas.microsoft.com/office/drawing/2014/chart" uri="{C3380CC4-5D6E-409C-BE32-E72D297353CC}">
              <c16:uniqueId val="{00000001-17B3-43AC-96ED-B97BA954A25B}"/>
            </c:ext>
          </c:extLst>
        </c:ser>
        <c:dLbls>
          <c:showLegendKey val="0"/>
          <c:showVal val="0"/>
          <c:showCatName val="0"/>
          <c:showSerName val="0"/>
          <c:showPercent val="0"/>
          <c:showBubbleSize val="0"/>
        </c:dLbls>
        <c:marker val="1"/>
        <c:smooth val="0"/>
        <c:axId val="1271962255"/>
        <c:axId val="1428911935"/>
      </c:lineChart>
      <c:catAx>
        <c:axId val="1271962255"/>
        <c:scaling>
          <c:orientation val="minMax"/>
        </c:scaling>
        <c:delete val="1"/>
        <c:axPos val="b"/>
        <c:majorTickMark val="out"/>
        <c:minorTickMark val="none"/>
        <c:tickLblPos val="nextTo"/>
        <c:crossAx val="1428911935"/>
        <c:crosses val="autoZero"/>
        <c:auto val="1"/>
        <c:lblAlgn val="ctr"/>
        <c:lblOffset val="100"/>
        <c:tickMarkSkip val="5"/>
        <c:noMultiLvlLbl val="0"/>
      </c:catAx>
      <c:valAx>
        <c:axId val="14289119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P-MPR,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71962255"/>
        <c:crosses val="autoZero"/>
        <c:crossBetween val="between"/>
      </c:valAx>
      <c:valAx>
        <c:axId val="1296450511"/>
        <c:scaling>
          <c:orientation val="minMax"/>
          <c:max val="1"/>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92708815"/>
        <c:crosses val="max"/>
        <c:crossBetween val="between"/>
        <c:majorUnit val="1"/>
      </c:valAx>
      <c:catAx>
        <c:axId val="1292708815"/>
        <c:scaling>
          <c:orientation val="minMax"/>
        </c:scaling>
        <c:delete val="1"/>
        <c:axPos val="b"/>
        <c:majorTickMark val="out"/>
        <c:minorTickMark val="none"/>
        <c:tickLblPos val="nextTo"/>
        <c:crossAx val="1296450511"/>
        <c:crosses val="autoZero"/>
        <c:auto val="1"/>
        <c:lblAlgn val="ctr"/>
        <c:lblOffset val="100"/>
        <c:noMultiLvlLbl val="0"/>
      </c:cat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a:effectLst/>
              </a:rPr>
              <a:t>Reports generated with relative threshold</a:t>
            </a:r>
            <a:endParaRPr lang="en-US" sz="1000" baseline="0">
              <a:effectLst/>
            </a:endParaRPr>
          </a:p>
        </c:rich>
      </c:tx>
      <c:layout>
        <c:manualLayout>
          <c:xMode val="edge"/>
          <c:yMode val="edge"/>
          <c:x val="0.17909045548993877"/>
          <c:y val="3.6179450072358899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3"/>
          <c:order val="3"/>
          <c:tx>
            <c:v>Report Rel. Trigger</c:v>
          </c:tx>
          <c:spPr>
            <a:solidFill>
              <a:srgbClr val="0070C0"/>
            </a:solidFill>
            <a:ln>
              <a:noFill/>
            </a:ln>
            <a:effectLst/>
          </c:spPr>
          <c:invertIfNegative val="0"/>
          <c:val>
            <c:numRef>
              <c:f>Sheet1!$D$2:$D$34</c:f>
              <c:numCache>
                <c:formatCode>General</c:formatCode>
                <c:ptCount val="33"/>
                <c:pt idx="0">
                  <c:v>0</c:v>
                </c:pt>
                <c:pt idx="1">
                  <c:v>0</c:v>
                </c:pt>
                <c:pt idx="2">
                  <c:v>0</c:v>
                </c:pt>
                <c:pt idx="3">
                  <c:v>0</c:v>
                </c:pt>
                <c:pt idx="4">
                  <c:v>0</c:v>
                </c:pt>
                <c:pt idx="5">
                  <c:v>0</c:v>
                </c:pt>
                <c:pt idx="6">
                  <c:v>1</c:v>
                </c:pt>
                <c:pt idx="7">
                  <c:v>0</c:v>
                </c:pt>
                <c:pt idx="8">
                  <c:v>0</c:v>
                </c:pt>
                <c:pt idx="9">
                  <c:v>1</c:v>
                </c:pt>
                <c:pt idx="10">
                  <c:v>0</c:v>
                </c:pt>
                <c:pt idx="11">
                  <c:v>0</c:v>
                </c:pt>
                <c:pt idx="12">
                  <c:v>0</c:v>
                </c:pt>
                <c:pt idx="13">
                  <c:v>0</c:v>
                </c:pt>
                <c:pt idx="14">
                  <c:v>0</c:v>
                </c:pt>
                <c:pt idx="15">
                  <c:v>1</c:v>
                </c:pt>
                <c:pt idx="16">
                  <c:v>0</c:v>
                </c:pt>
                <c:pt idx="17">
                  <c:v>0</c:v>
                </c:pt>
                <c:pt idx="18">
                  <c:v>1</c:v>
                </c:pt>
                <c:pt idx="19">
                  <c:v>0</c:v>
                </c:pt>
                <c:pt idx="20">
                  <c:v>0</c:v>
                </c:pt>
                <c:pt idx="21">
                  <c:v>1</c:v>
                </c:pt>
                <c:pt idx="22">
                  <c:v>0</c:v>
                </c:pt>
                <c:pt idx="23">
                  <c:v>0</c:v>
                </c:pt>
                <c:pt idx="24">
                  <c:v>1</c:v>
                </c:pt>
                <c:pt idx="25">
                  <c:v>0</c:v>
                </c:pt>
                <c:pt idx="26">
                  <c:v>0</c:v>
                </c:pt>
                <c:pt idx="27">
                  <c:v>0</c:v>
                </c:pt>
                <c:pt idx="28">
                  <c:v>1</c:v>
                </c:pt>
                <c:pt idx="29">
                  <c:v>0</c:v>
                </c:pt>
                <c:pt idx="30">
                  <c:v>0</c:v>
                </c:pt>
                <c:pt idx="31">
                  <c:v>0</c:v>
                </c:pt>
                <c:pt idx="32">
                  <c:v>0</c:v>
                </c:pt>
              </c:numCache>
            </c:numRef>
          </c:val>
          <c:extLst>
            <c:ext xmlns:c16="http://schemas.microsoft.com/office/drawing/2014/chart" uri="{C3380CC4-5D6E-409C-BE32-E72D297353CC}">
              <c16:uniqueId val="{00000000-24DD-447D-9407-630FCBC210CB}"/>
            </c:ext>
          </c:extLst>
        </c:ser>
        <c:dLbls>
          <c:showLegendKey val="0"/>
          <c:showVal val="0"/>
          <c:showCatName val="0"/>
          <c:showSerName val="0"/>
          <c:showPercent val="0"/>
          <c:showBubbleSize val="0"/>
        </c:dLbls>
        <c:gapWidth val="219"/>
        <c:axId val="1292708815"/>
        <c:axId val="1296450511"/>
        <c:extLst>
          <c:ext xmlns:c15="http://schemas.microsoft.com/office/drawing/2012/chart" uri="{02D57815-91ED-43cb-92C2-25804820EDAC}">
            <c15:filteredBarSeries>
              <c15:ser>
                <c:idx val="0"/>
                <c:order val="0"/>
                <c:spPr>
                  <a:solidFill>
                    <a:schemeClr val="accent1"/>
                  </a:solidFill>
                  <a:ln>
                    <a:noFill/>
                  </a:ln>
                  <a:effectLst/>
                </c:spPr>
                <c:invertIfNegative val="0"/>
                <c:val>
                  <c:numRef>
                    <c:extLst>
                      <c:ext uri="{02D57815-91ED-43cb-92C2-25804820EDAC}">
                        <c15:formulaRef>
                          <c15:sqref>Sheet1!$A$2:$A$34</c15:sqref>
                        </c15:formulaRef>
                      </c:ext>
                    </c:extLst>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val>
                <c:extLst>
                  <c:ext xmlns:c16="http://schemas.microsoft.com/office/drawing/2014/chart" uri="{C3380CC4-5D6E-409C-BE32-E72D297353CC}">
                    <c16:uniqueId val="{00000002-24DD-447D-9407-630FCBC210CB}"/>
                  </c:ext>
                </c:extLst>
              </c15:ser>
            </c15:filteredBarSeries>
            <c15:filteredBarSeries>
              <c15:ser>
                <c:idx val="2"/>
                <c:order val="2"/>
                <c:tx>
                  <c:v>Report Abs Trigger</c:v>
                </c:tx>
                <c:spPr>
                  <a:solidFill>
                    <a:srgbClr val="FF0000"/>
                  </a:solidFill>
                  <a:ln>
                    <a:noFill/>
                  </a:ln>
                  <a:effectLst/>
                </c:spPr>
                <c:invertIfNegative val="0"/>
                <c:val>
                  <c:numRef>
                    <c:extLst xmlns:c15="http://schemas.microsoft.com/office/drawing/2012/chart">
                      <c:ext xmlns:c15="http://schemas.microsoft.com/office/drawing/2012/chart" uri="{02D57815-91ED-43cb-92C2-25804820EDAC}">
                        <c15:formulaRef>
                          <c15:sqref>Sheet1!$C$2:$C$34</c15:sqref>
                        </c15:formulaRef>
                      </c:ext>
                    </c:extLst>
                    <c:numCache>
                      <c:formatCode>General</c:formatCode>
                      <c:ptCount val="33"/>
                      <c:pt idx="0">
                        <c:v>0</c:v>
                      </c:pt>
                      <c:pt idx="1">
                        <c:v>0</c:v>
                      </c:pt>
                      <c:pt idx="2">
                        <c:v>0</c:v>
                      </c:pt>
                      <c:pt idx="3">
                        <c:v>0</c:v>
                      </c:pt>
                      <c:pt idx="4">
                        <c:v>0</c:v>
                      </c:pt>
                      <c:pt idx="5">
                        <c:v>0</c:v>
                      </c:pt>
                      <c:pt idx="6">
                        <c:v>0</c:v>
                      </c:pt>
                      <c:pt idx="7">
                        <c:v>0</c:v>
                      </c:pt>
                      <c:pt idx="8">
                        <c:v>0</c:v>
                      </c:pt>
                      <c:pt idx="9">
                        <c:v>0</c:v>
                      </c:pt>
                      <c:pt idx="10">
                        <c:v>0</c:v>
                      </c:pt>
                      <c:pt idx="11">
                        <c:v>0</c:v>
                      </c:pt>
                      <c:pt idx="12">
                        <c:v>0</c:v>
                      </c:pt>
                      <c:pt idx="13">
                        <c:v>1</c:v>
                      </c:pt>
                      <c:pt idx="14">
                        <c:v>1</c:v>
                      </c:pt>
                      <c:pt idx="15">
                        <c:v>1</c:v>
                      </c:pt>
                      <c:pt idx="16">
                        <c:v>1</c:v>
                      </c:pt>
                      <c:pt idx="17">
                        <c:v>1</c:v>
                      </c:pt>
                      <c:pt idx="18">
                        <c:v>1</c:v>
                      </c:pt>
                      <c:pt idx="19">
                        <c:v>1</c:v>
                      </c:pt>
                      <c:pt idx="20">
                        <c:v>1</c:v>
                      </c:pt>
                      <c:pt idx="21">
                        <c:v>1</c:v>
                      </c:pt>
                      <c:pt idx="22">
                        <c:v>1</c:v>
                      </c:pt>
                      <c:pt idx="23">
                        <c:v>1</c:v>
                      </c:pt>
                      <c:pt idx="24">
                        <c:v>0</c:v>
                      </c:pt>
                      <c:pt idx="25">
                        <c:v>0</c:v>
                      </c:pt>
                      <c:pt idx="26">
                        <c:v>0</c:v>
                      </c:pt>
                      <c:pt idx="27">
                        <c:v>0</c:v>
                      </c:pt>
                      <c:pt idx="28">
                        <c:v>0</c:v>
                      </c:pt>
                      <c:pt idx="29">
                        <c:v>0</c:v>
                      </c:pt>
                      <c:pt idx="30">
                        <c:v>0</c:v>
                      </c:pt>
                      <c:pt idx="31">
                        <c:v>0</c:v>
                      </c:pt>
                      <c:pt idx="32">
                        <c:v>0</c:v>
                      </c:pt>
                    </c:numCache>
                  </c:numRef>
                </c:val>
                <c:extLst xmlns:c15="http://schemas.microsoft.com/office/drawing/2012/chart">
                  <c:ext xmlns:c16="http://schemas.microsoft.com/office/drawing/2014/chart" uri="{C3380CC4-5D6E-409C-BE32-E72D297353CC}">
                    <c16:uniqueId val="{00000003-24DD-447D-9407-630FCBC210CB}"/>
                  </c:ext>
                </c:extLst>
              </c15:ser>
            </c15:filteredBarSeries>
          </c:ext>
        </c:extLst>
      </c:barChart>
      <c:lineChart>
        <c:grouping val="standard"/>
        <c:varyColors val="0"/>
        <c:ser>
          <c:idx val="1"/>
          <c:order val="1"/>
          <c:tx>
            <c:v>P-MPR</c:v>
          </c:tx>
          <c:spPr>
            <a:ln w="28575" cap="rnd">
              <a:solidFill>
                <a:sysClr val="windowText" lastClr="000000"/>
              </a:solidFill>
              <a:round/>
            </a:ln>
            <a:effectLst/>
          </c:spPr>
          <c:marker>
            <c:symbol val="none"/>
          </c:marker>
          <c:val>
            <c:numRef>
              <c:f>Sheet1!$B$2:$B$34</c:f>
              <c:numCache>
                <c:formatCode>General</c:formatCode>
                <c:ptCount val="33"/>
                <c:pt idx="0">
                  <c:v>0</c:v>
                </c:pt>
                <c:pt idx="1">
                  <c:v>0</c:v>
                </c:pt>
                <c:pt idx="2">
                  <c:v>0</c:v>
                </c:pt>
                <c:pt idx="3">
                  <c:v>3</c:v>
                </c:pt>
                <c:pt idx="4">
                  <c:v>3</c:v>
                </c:pt>
                <c:pt idx="5">
                  <c:v>3</c:v>
                </c:pt>
                <c:pt idx="6">
                  <c:v>4</c:v>
                </c:pt>
                <c:pt idx="7">
                  <c:v>4</c:v>
                </c:pt>
                <c:pt idx="8">
                  <c:v>4</c:v>
                </c:pt>
                <c:pt idx="9">
                  <c:v>8</c:v>
                </c:pt>
                <c:pt idx="10">
                  <c:v>8</c:v>
                </c:pt>
                <c:pt idx="11">
                  <c:v>8</c:v>
                </c:pt>
                <c:pt idx="12">
                  <c:v>8</c:v>
                </c:pt>
                <c:pt idx="13">
                  <c:v>11</c:v>
                </c:pt>
                <c:pt idx="14">
                  <c:v>11</c:v>
                </c:pt>
                <c:pt idx="15">
                  <c:v>12</c:v>
                </c:pt>
                <c:pt idx="16">
                  <c:v>12</c:v>
                </c:pt>
                <c:pt idx="17">
                  <c:v>12</c:v>
                </c:pt>
                <c:pt idx="18">
                  <c:v>19</c:v>
                </c:pt>
                <c:pt idx="19">
                  <c:v>19</c:v>
                </c:pt>
                <c:pt idx="20">
                  <c:v>19</c:v>
                </c:pt>
                <c:pt idx="21">
                  <c:v>14</c:v>
                </c:pt>
                <c:pt idx="22">
                  <c:v>14</c:v>
                </c:pt>
                <c:pt idx="23">
                  <c:v>14</c:v>
                </c:pt>
                <c:pt idx="24">
                  <c:v>9</c:v>
                </c:pt>
                <c:pt idx="25">
                  <c:v>9</c:v>
                </c:pt>
                <c:pt idx="26">
                  <c:v>9</c:v>
                </c:pt>
                <c:pt idx="27">
                  <c:v>9</c:v>
                </c:pt>
                <c:pt idx="28">
                  <c:v>0</c:v>
                </c:pt>
                <c:pt idx="29">
                  <c:v>0</c:v>
                </c:pt>
                <c:pt idx="30">
                  <c:v>0</c:v>
                </c:pt>
                <c:pt idx="31">
                  <c:v>0</c:v>
                </c:pt>
                <c:pt idx="32">
                  <c:v>0</c:v>
                </c:pt>
              </c:numCache>
            </c:numRef>
          </c:val>
          <c:smooth val="0"/>
          <c:extLst>
            <c:ext xmlns:c16="http://schemas.microsoft.com/office/drawing/2014/chart" uri="{C3380CC4-5D6E-409C-BE32-E72D297353CC}">
              <c16:uniqueId val="{00000001-24DD-447D-9407-630FCBC210CB}"/>
            </c:ext>
          </c:extLst>
        </c:ser>
        <c:dLbls>
          <c:showLegendKey val="0"/>
          <c:showVal val="0"/>
          <c:showCatName val="0"/>
          <c:showSerName val="0"/>
          <c:showPercent val="0"/>
          <c:showBubbleSize val="0"/>
        </c:dLbls>
        <c:marker val="1"/>
        <c:smooth val="0"/>
        <c:axId val="1271962255"/>
        <c:axId val="1428911935"/>
      </c:lineChart>
      <c:catAx>
        <c:axId val="1271962255"/>
        <c:scaling>
          <c:orientation val="minMax"/>
        </c:scaling>
        <c:delete val="1"/>
        <c:axPos val="b"/>
        <c:majorTickMark val="out"/>
        <c:minorTickMark val="none"/>
        <c:tickLblPos val="nextTo"/>
        <c:crossAx val="1428911935"/>
        <c:crosses val="autoZero"/>
        <c:auto val="1"/>
        <c:lblAlgn val="ctr"/>
        <c:lblOffset val="100"/>
        <c:tickMarkSkip val="5"/>
        <c:noMultiLvlLbl val="0"/>
      </c:catAx>
      <c:valAx>
        <c:axId val="14289119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P-MPR,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71962255"/>
        <c:crosses val="autoZero"/>
        <c:crossBetween val="between"/>
      </c:valAx>
      <c:valAx>
        <c:axId val="1296450511"/>
        <c:scaling>
          <c:orientation val="minMax"/>
          <c:max val="1"/>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92708815"/>
        <c:crosses val="max"/>
        <c:crossBetween val="between"/>
        <c:majorUnit val="1"/>
      </c:valAx>
      <c:catAx>
        <c:axId val="1292708815"/>
        <c:scaling>
          <c:orientation val="minMax"/>
        </c:scaling>
        <c:delete val="1"/>
        <c:axPos val="b"/>
        <c:majorTickMark val="out"/>
        <c:minorTickMark val="none"/>
        <c:tickLblPos val="nextTo"/>
        <c:crossAx val="1296450511"/>
        <c:crosses val="autoZero"/>
        <c:auto val="1"/>
        <c:lblAlgn val="ctr"/>
        <c:lblOffset val="100"/>
        <c:noMultiLvlLbl val="0"/>
      </c:cat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47B80-B5C7-47D3-9790-8CCBC09A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2491</Words>
  <Characters>12608</Characters>
  <Application>Microsoft Office Word</Application>
  <DocSecurity>0</DocSecurity>
  <Lines>247</Lines>
  <Paragraphs>143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2020-05-15T17:20:00Z</dcterms:created>
  <dcterms:modified xsi:type="dcterms:W3CDTF">2020-05-15T20:10:00Z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(3)6cmswqec6XrnV1bDhCGxOP9QMWyPIJbFXkiQdsLymvrh/Phy7aztQF+dy4i5JrBs7j5D+st9
ThpaaJPOumtDksXekUgx4BZYtmSimfLeptVw81EfYXvT/qleeTv6T9Lrmo1FJVrqG7MYrfdZ
O5/9Z9RC4Ir8fHEozKnWu0qAjhwslv4uArzQbfJm36GCcDWe62BZv+i+A0gkA4m1vIN0bleM
IZGz6nZV323j1QHpyo</vt:lpwstr>
  </property>
  <property fmtid="{D5CDD505-2E9C-101B-9397-08002B2CF9AE}" pid="13" name="_2015_ms_pID_725343_00">
    <vt:lpwstr>_2015_ms_pID_725343</vt:lpwstr>
  </property>
  <property fmtid="{D5CDD505-2E9C-101B-9397-08002B2CF9AE}" pid="14" name="_2015_ms_pID_7253431">
    <vt:lpwstr>cSe0SShH/RqH/CtbVUlK4N1bhsTugb+4luj+7eyI1Ofgw4HAE8zOuE
QWvRai1UDayIAXW3qigS20vZARM3GpbRvPVJufOUB9lNtwVHuvFx4CYJ7wwXWG06I9B+4+Wd
bobsz7gdpvAX8Xd9zx0ssqqvWDzmjAz4Awinxzr8URC0IiV4iFuS6lwjK32n9DIJO+uLM2Ux
+DQNe54kkoibkMFI4ZyT0avWvKT4N2ChEpxZ</vt:lpwstr>
  </property>
  <property fmtid="{D5CDD505-2E9C-101B-9397-08002B2CF9AE}" pid="15" name="_2015_ms_pID_7253431_00">
    <vt:lpwstr>_2015_ms_pID_7253431</vt:lpwstr>
  </property>
  <property fmtid="{D5CDD505-2E9C-101B-9397-08002B2CF9AE}" pid="16" name="_2015_ms_pID_7253432">
    <vt:lpwstr>OnZp54Sr3WMKdZJHPaAJjoO0LUpEX+Z5RplG
rPy6F8lQoB5GLWEYHlZzRooLdR8ix53AyUw3GfKAW8uP4mRJIV4=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