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774C3" w14:textId="5563BC55" w:rsidR="008049E2" w:rsidRPr="008049E2" w:rsidRDefault="008049E2" w:rsidP="008049E2">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523749794"/>
      <w:bookmarkStart w:id="3" w:name="_Toc523750859"/>
      <w:bookmarkEnd w:id="0"/>
      <w:bookmarkEnd w:id="1"/>
      <w:r w:rsidRPr="008049E2">
        <w:rPr>
          <w:rFonts w:ascii="Arial" w:eastAsia="MS Mincho" w:hAnsi="Arial" w:cs="Arial"/>
          <w:b/>
          <w:sz w:val="24"/>
          <w:szCs w:val="24"/>
          <w:lang w:val="en-US"/>
        </w:rPr>
        <w:t>3GPP TSG-RAN WG4 Meeting #</w:t>
      </w:r>
      <w:r w:rsidRPr="008049E2">
        <w:rPr>
          <w:rFonts w:eastAsia="MS Mincho"/>
          <w:lang w:val="en-US"/>
        </w:rPr>
        <w:t xml:space="preserve"> </w:t>
      </w:r>
      <w:r w:rsidRPr="008049E2">
        <w:rPr>
          <w:rFonts w:ascii="Arial" w:eastAsia="MS Mincho" w:hAnsi="Arial" w:cs="Arial"/>
          <w:b/>
          <w:sz w:val="24"/>
          <w:szCs w:val="24"/>
          <w:lang w:val="en-US"/>
        </w:rPr>
        <w:t>95-e</w:t>
      </w:r>
      <w:r w:rsidRPr="008049E2" w:rsidDel="00277FAB">
        <w:rPr>
          <w:rFonts w:ascii="Arial" w:eastAsia="MS Mincho" w:hAnsi="Arial" w:cs="Arial"/>
          <w:b/>
          <w:sz w:val="24"/>
          <w:szCs w:val="24"/>
          <w:lang w:val="en-US"/>
        </w:rPr>
        <w:t xml:space="preserve"> </w:t>
      </w:r>
      <w:r w:rsidRPr="008049E2">
        <w:rPr>
          <w:rFonts w:ascii="Arial" w:eastAsia="MS Mincho" w:hAnsi="Arial" w:cs="Arial"/>
          <w:b/>
          <w:sz w:val="24"/>
          <w:szCs w:val="24"/>
          <w:lang w:val="en-US"/>
        </w:rPr>
        <w:tab/>
        <w:t>R4-20</w:t>
      </w:r>
      <w:r w:rsidR="00341B58">
        <w:rPr>
          <w:rFonts w:ascii="Arial" w:eastAsia="MS Mincho" w:hAnsi="Arial" w:cs="Arial"/>
          <w:b/>
          <w:sz w:val="24"/>
          <w:szCs w:val="24"/>
          <w:lang w:val="en-US"/>
        </w:rPr>
        <w:t>06654</w:t>
      </w:r>
    </w:p>
    <w:p w14:paraId="5B8712B6" w14:textId="77777777" w:rsidR="008049E2" w:rsidRPr="008049E2" w:rsidRDefault="008049E2" w:rsidP="008049E2">
      <w:pPr>
        <w:tabs>
          <w:tab w:val="right" w:pos="9781"/>
          <w:tab w:val="right" w:pos="13323"/>
        </w:tabs>
        <w:spacing w:after="0"/>
        <w:outlineLvl w:val="0"/>
        <w:rPr>
          <w:rFonts w:ascii="Arial" w:hAnsi="Arial"/>
          <w:b/>
          <w:sz w:val="24"/>
          <w:szCs w:val="24"/>
          <w:lang w:val="en-US" w:eastAsia="zh-CN"/>
        </w:rPr>
      </w:pPr>
      <w:r w:rsidRPr="008049E2">
        <w:rPr>
          <w:rFonts w:ascii="Arial" w:hAnsi="Arial"/>
          <w:b/>
          <w:sz w:val="24"/>
          <w:szCs w:val="24"/>
          <w:lang w:val="en-US" w:eastAsia="zh-CN"/>
        </w:rPr>
        <w:t>Electronic Meeting, 25 May</w:t>
      </w:r>
      <w:r w:rsidRPr="008049E2">
        <w:rPr>
          <w:rFonts w:ascii="Arial" w:hAnsi="Arial" w:hint="eastAsia"/>
          <w:b/>
          <w:sz w:val="24"/>
          <w:szCs w:val="24"/>
          <w:lang w:val="en-US" w:eastAsia="zh-CN"/>
        </w:rPr>
        <w:t xml:space="preserve"> </w:t>
      </w:r>
      <w:r w:rsidRPr="008049E2">
        <w:rPr>
          <w:rFonts w:ascii="Arial" w:hAnsi="Arial"/>
          <w:b/>
          <w:sz w:val="24"/>
          <w:szCs w:val="24"/>
          <w:lang w:val="en-US" w:eastAsia="zh-CN"/>
        </w:rPr>
        <w:t>–</w:t>
      </w:r>
      <w:r w:rsidRPr="008049E2">
        <w:rPr>
          <w:rFonts w:ascii="Arial" w:hAnsi="Arial" w:hint="eastAsia"/>
          <w:b/>
          <w:sz w:val="24"/>
          <w:szCs w:val="24"/>
          <w:lang w:val="en-US" w:eastAsia="zh-CN"/>
        </w:rPr>
        <w:t xml:space="preserve"> </w:t>
      </w:r>
      <w:r w:rsidRPr="008049E2">
        <w:rPr>
          <w:rFonts w:ascii="Arial" w:hAnsi="Arial"/>
          <w:b/>
          <w:sz w:val="24"/>
          <w:szCs w:val="24"/>
          <w:lang w:val="en-US" w:eastAsia="zh-CN"/>
        </w:rPr>
        <w:t>5 June, 2020</w:t>
      </w:r>
    </w:p>
    <w:p w14:paraId="29CB10D1" w14:textId="77777777" w:rsidR="000E7959" w:rsidRPr="00541B4F" w:rsidRDefault="000E7959" w:rsidP="008049E2">
      <w:pPr>
        <w:tabs>
          <w:tab w:val="left" w:pos="2820"/>
        </w:tabs>
        <w:spacing w:after="120"/>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09CD74BD"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5D0005">
        <w:rPr>
          <w:rFonts w:ascii="Arial" w:eastAsia="MS Mincho" w:hAnsi="Arial" w:cs="Arial"/>
          <w:bCs/>
          <w:lang w:val="en-US" w:eastAsia="ja-JP"/>
        </w:rPr>
        <w:t>T-Mobile USA</w:t>
      </w:r>
    </w:p>
    <w:p w14:paraId="30F0514F" w14:textId="2E3F56F0"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E531BF" w:rsidRPr="00E531BF">
        <w:rPr>
          <w:rFonts w:ascii="Arial" w:eastAsia="MS Mincho" w:hAnsi="Arial" w:cs="Arial"/>
          <w:lang w:val="en-US" w:eastAsia="ja-JP"/>
        </w:rPr>
        <w:t>UE based SAR control for Power Class 2 EN-DC FDD+TDD</w:t>
      </w:r>
    </w:p>
    <w:p w14:paraId="0E6C0112" w14:textId="2AE76101"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1B3CEC">
        <w:rPr>
          <w:rFonts w:ascii="Arial" w:eastAsia="MS Mincho" w:hAnsi="Arial" w:cs="Arial"/>
          <w:lang w:val="pt-BR"/>
        </w:rPr>
        <w:t>8.1</w:t>
      </w:r>
      <w:r w:rsidR="00BA3DEA">
        <w:rPr>
          <w:rFonts w:ascii="Arial" w:eastAsia="MS Mincho" w:hAnsi="Arial" w:cs="Arial"/>
          <w:lang w:val="pt-BR"/>
        </w:rPr>
        <w:t>5</w:t>
      </w:r>
      <w:r w:rsidR="001B3CEC">
        <w:rPr>
          <w:rFonts w:ascii="Arial" w:eastAsia="MS Mincho" w:hAnsi="Arial" w:cs="Arial"/>
          <w:lang w:val="pt-BR"/>
        </w:rPr>
        <w:t>.2</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BFC7AAD" w14:textId="1C45CFDE" w:rsidR="00275923" w:rsidRPr="00B758A7" w:rsidRDefault="00BA3DEA" w:rsidP="005B422C">
      <w:pPr>
        <w:rPr>
          <w:rFonts w:eastAsia="Times New Roman"/>
          <w:lang w:val="en-US"/>
        </w:rPr>
      </w:pPr>
      <w:r>
        <w:rPr>
          <w:rFonts w:eastAsia="Times New Roman"/>
          <w:lang w:val="en-US"/>
        </w:rPr>
        <w:t xml:space="preserve">The in the </w:t>
      </w:r>
      <w:r w:rsidR="00366D3D" w:rsidRPr="00366D3D">
        <w:rPr>
          <w:rFonts w:eastAsia="Times New Roman"/>
          <w:lang w:val="en-US"/>
        </w:rPr>
        <w:t>ENDC_UE_PC2_FDD_TDD</w:t>
      </w:r>
      <w:r w:rsidR="00366D3D">
        <w:rPr>
          <w:rFonts w:eastAsia="Times New Roman"/>
          <w:lang w:val="en-US"/>
        </w:rPr>
        <w:t xml:space="preserve"> WI discussions for managing SAR have focused primarily on Duty Cycle based approaches to managing SAR. </w:t>
      </w:r>
      <w:r w:rsidR="00231078">
        <w:rPr>
          <w:rFonts w:eastAsia="Times New Roman"/>
          <w:lang w:val="en-US"/>
        </w:rPr>
        <w:t xml:space="preserve">However, these have some downsides. As </w:t>
      </w:r>
      <w:r w:rsidR="00AE3CE4">
        <w:rPr>
          <w:rFonts w:eastAsia="Times New Roman"/>
          <w:lang w:val="en-US"/>
        </w:rPr>
        <w:t xml:space="preserve">another option, </w:t>
      </w:r>
      <w:r w:rsidR="00231078">
        <w:rPr>
          <w:rFonts w:eastAsia="Times New Roman"/>
          <w:lang w:val="en-US"/>
        </w:rPr>
        <w:t xml:space="preserve">Ericsson has proposed a </w:t>
      </w:r>
      <w:r w:rsidR="00820933">
        <w:rPr>
          <w:rFonts w:eastAsia="Times New Roman"/>
          <w:lang w:val="en-US"/>
        </w:rPr>
        <w:t xml:space="preserve">blind approach where the network can </w:t>
      </w:r>
      <w:r w:rsidR="00D00A5C">
        <w:rPr>
          <w:rFonts w:eastAsia="Times New Roman"/>
          <w:lang w:val="en-US"/>
        </w:rPr>
        <w:t xml:space="preserve">“permanently” </w:t>
      </w:r>
      <w:r w:rsidR="00D76FF5">
        <w:rPr>
          <w:rFonts w:eastAsia="Times New Roman"/>
          <w:lang w:val="en-US"/>
        </w:rPr>
        <w:t xml:space="preserve">reduce the LTE power by </w:t>
      </w:r>
      <w:r w:rsidR="00D00A5C">
        <w:rPr>
          <w:rFonts w:eastAsia="Times New Roman"/>
          <w:lang w:val="en-US"/>
        </w:rPr>
        <w:t>setting</w:t>
      </w:r>
      <w:r w:rsidR="00D54FAF">
        <w:rPr>
          <w:rFonts w:eastAsia="Times New Roman"/>
          <w:lang w:val="en-US"/>
        </w:rPr>
        <w:t xml:space="preserve"> </w:t>
      </w:r>
      <w:r w:rsidR="00D00A5C">
        <w:rPr>
          <w:rFonts w:eastAsia="Times New Roman"/>
          <w:lang w:val="en-US"/>
        </w:rPr>
        <w:t xml:space="preserve"> </w:t>
      </w:r>
      <w:r w:rsidR="00731D82">
        <w:t>P</w:t>
      </w:r>
      <w:r w:rsidR="00731D82" w:rsidRPr="006E459D">
        <w:rPr>
          <w:vertAlign w:val="subscript"/>
        </w:rPr>
        <w:t>LTE</w:t>
      </w:r>
      <w:r w:rsidR="00731D82">
        <w:t xml:space="preserve"> &lt; 23 dBm. This approach has some advantages, but also disadvantages. As a </w:t>
      </w:r>
      <w:r w:rsidR="00EB7304">
        <w:t>compliment to these two approaches, we</w:t>
      </w:r>
      <w:r w:rsidR="00731D82">
        <w:t xml:space="preserve"> would like to propose the inclusion of a “UE-based” approach to SAR management as an option.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4C18E863" w14:textId="148A9663" w:rsidR="009D0FD4" w:rsidRDefault="00731D82" w:rsidP="0046509B">
      <w:pPr>
        <w:rPr>
          <w:rFonts w:eastAsia="Times New Roman"/>
          <w:bCs/>
          <w:lang w:eastAsia="ko-KR"/>
        </w:rPr>
      </w:pPr>
      <w:r w:rsidRPr="00731D82">
        <w:rPr>
          <w:rFonts w:eastAsia="Times New Roman"/>
          <w:bCs/>
          <w:lang w:eastAsia="ko-KR"/>
        </w:rPr>
        <w:t>The duty cycle approaches</w:t>
      </w:r>
      <w:r>
        <w:rPr>
          <w:rFonts w:eastAsia="Times New Roman"/>
          <w:bCs/>
          <w:lang w:eastAsia="ko-KR"/>
        </w:rPr>
        <w:t xml:space="preserve"> </w:t>
      </w:r>
      <w:r w:rsidR="00893A6D">
        <w:rPr>
          <w:rFonts w:eastAsia="Times New Roman"/>
          <w:bCs/>
          <w:lang w:eastAsia="ko-KR"/>
        </w:rPr>
        <w:t xml:space="preserve">extend the concept of duty cycle based PC2 that has been used </w:t>
      </w:r>
      <w:r w:rsidR="00AC1334">
        <w:rPr>
          <w:rFonts w:eastAsia="Times New Roman"/>
          <w:bCs/>
          <w:lang w:eastAsia="ko-KR"/>
        </w:rPr>
        <w:t>in</w:t>
      </w:r>
      <w:r w:rsidR="00893A6D">
        <w:rPr>
          <w:rFonts w:eastAsia="Times New Roman"/>
          <w:bCs/>
          <w:lang w:eastAsia="ko-KR"/>
        </w:rPr>
        <w:t xml:space="preserve"> LTE. </w:t>
      </w:r>
      <w:r w:rsidRPr="00731D82">
        <w:rPr>
          <w:rFonts w:eastAsia="Times New Roman"/>
          <w:bCs/>
          <w:lang w:eastAsia="ko-KR"/>
        </w:rPr>
        <w:t xml:space="preserve"> </w:t>
      </w:r>
      <w:r w:rsidR="00AC1334">
        <w:rPr>
          <w:rFonts w:eastAsia="Times New Roman"/>
          <w:bCs/>
          <w:lang w:eastAsia="ko-KR"/>
        </w:rPr>
        <w:t xml:space="preserve">However, with FDD+TDD EN-DC, limiting the duty cycle on the LTE FDD uplink has the downside of increasing latency of the FDD UL. </w:t>
      </w:r>
      <w:r w:rsidR="004815E7">
        <w:rPr>
          <w:rFonts w:eastAsia="Times New Roman"/>
          <w:bCs/>
          <w:lang w:eastAsia="ko-KR"/>
        </w:rPr>
        <w:t xml:space="preserve">Since one of the advantages of FDD is low latency, increasing latency </w:t>
      </w:r>
      <w:r w:rsidR="00BD6D9D">
        <w:rPr>
          <w:rFonts w:eastAsia="Times New Roman"/>
          <w:bCs/>
          <w:lang w:eastAsia="ko-KR"/>
        </w:rPr>
        <w:t xml:space="preserve">but giving FDD a duty cycle is a </w:t>
      </w:r>
      <w:r w:rsidR="00A8404B">
        <w:rPr>
          <w:rFonts w:eastAsia="Times New Roman"/>
          <w:bCs/>
          <w:lang w:eastAsia="ko-KR"/>
        </w:rPr>
        <w:t>downside</w:t>
      </w:r>
      <w:r w:rsidR="00BD6D9D">
        <w:rPr>
          <w:rFonts w:eastAsia="Times New Roman"/>
          <w:bCs/>
          <w:lang w:eastAsia="ko-KR"/>
        </w:rPr>
        <w:t>.</w:t>
      </w:r>
      <w:r w:rsidR="00A749A9">
        <w:rPr>
          <w:rFonts w:eastAsia="Times New Roman"/>
          <w:bCs/>
          <w:lang w:eastAsia="ko-KR"/>
        </w:rPr>
        <w:t xml:space="preserve"> Also</w:t>
      </w:r>
      <w:r w:rsidR="002C598B">
        <w:rPr>
          <w:rFonts w:eastAsia="Times New Roman"/>
          <w:bCs/>
          <w:lang w:eastAsia="ko-KR"/>
        </w:rPr>
        <w:t xml:space="preserve">, for EN-DC the </w:t>
      </w:r>
      <w:proofErr w:type="spellStart"/>
      <w:r w:rsidR="002C598B">
        <w:rPr>
          <w:rFonts w:eastAsia="Times New Roman"/>
          <w:bCs/>
          <w:lang w:eastAsia="ko-KR"/>
        </w:rPr>
        <w:t>eNB</w:t>
      </w:r>
      <w:proofErr w:type="spellEnd"/>
      <w:r w:rsidR="002C598B">
        <w:rPr>
          <w:rFonts w:eastAsia="Times New Roman"/>
          <w:bCs/>
          <w:lang w:eastAsia="ko-KR"/>
        </w:rPr>
        <w:t xml:space="preserve"> and </w:t>
      </w:r>
      <w:proofErr w:type="spellStart"/>
      <w:r w:rsidR="002C598B">
        <w:rPr>
          <w:rFonts w:eastAsia="Times New Roman"/>
          <w:bCs/>
          <w:lang w:eastAsia="ko-KR"/>
        </w:rPr>
        <w:t>gNBs</w:t>
      </w:r>
      <w:proofErr w:type="spellEnd"/>
      <w:r w:rsidR="002C598B">
        <w:rPr>
          <w:rFonts w:eastAsia="Times New Roman"/>
          <w:bCs/>
          <w:lang w:eastAsia="ko-KR"/>
        </w:rPr>
        <w:t xml:space="preserve"> are not necessarily co-located as they are in CA, so </w:t>
      </w:r>
      <w:r w:rsidR="00957FCD">
        <w:rPr>
          <w:rFonts w:eastAsia="Times New Roman"/>
          <w:bCs/>
          <w:lang w:eastAsia="ko-KR"/>
        </w:rPr>
        <w:t xml:space="preserve">coordination between the FDD and TDD scheduling may not be practical. </w:t>
      </w:r>
      <w:bookmarkStart w:id="4" w:name="_GoBack"/>
      <w:bookmarkEnd w:id="4"/>
    </w:p>
    <w:p w14:paraId="3A71D551" w14:textId="1E41E2A3" w:rsidR="00BD6D9D" w:rsidRDefault="00BD6D9D" w:rsidP="0046509B">
      <w:pPr>
        <w:rPr>
          <w:rFonts w:eastAsia="Times New Roman"/>
          <w:bCs/>
          <w:lang w:eastAsia="ko-KR"/>
        </w:rPr>
      </w:pPr>
      <w:r>
        <w:rPr>
          <w:rFonts w:eastAsia="Times New Roman"/>
          <w:bCs/>
          <w:lang w:eastAsia="ko-KR"/>
        </w:rPr>
        <w:t xml:space="preserve">The Ericsson blind approach </w:t>
      </w:r>
      <w:r w:rsidR="00A8404B">
        <w:rPr>
          <w:rFonts w:eastAsia="Times New Roman"/>
          <w:bCs/>
          <w:lang w:eastAsia="ko-KR"/>
        </w:rPr>
        <w:t>has the advantage that power higher than 23 dBm can be supported even if the LTE duty cycle is 100%. This has the advantage of keeping the low latency of FDD</w:t>
      </w:r>
      <w:r w:rsidR="00C92111">
        <w:rPr>
          <w:rFonts w:eastAsia="Times New Roman"/>
          <w:bCs/>
          <w:lang w:eastAsia="ko-KR"/>
        </w:rPr>
        <w:t xml:space="preserve">, but it has the downside of limiting the uplink power on LTE, which shrinks the cell size. Usually this is not desirable. </w:t>
      </w:r>
    </w:p>
    <w:p w14:paraId="60A04780" w14:textId="0F0F89A9" w:rsidR="00C92111" w:rsidRDefault="00C92111" w:rsidP="0046509B">
      <w:pPr>
        <w:rPr>
          <w:rFonts w:eastAsia="Times New Roman"/>
          <w:bCs/>
          <w:lang w:eastAsia="ko-KR"/>
        </w:rPr>
      </w:pPr>
      <w:r>
        <w:rPr>
          <w:rFonts w:eastAsia="Times New Roman"/>
          <w:bCs/>
          <w:lang w:eastAsia="ko-KR"/>
        </w:rPr>
        <w:t xml:space="preserve">As an alternative </w:t>
      </w:r>
      <w:r w:rsidR="002450A5">
        <w:rPr>
          <w:rFonts w:eastAsia="Times New Roman"/>
          <w:bCs/>
          <w:lang w:eastAsia="ko-KR"/>
        </w:rPr>
        <w:t xml:space="preserve">which can complement the other two approaches, </w:t>
      </w:r>
      <w:r>
        <w:rPr>
          <w:rFonts w:eastAsia="Times New Roman"/>
          <w:bCs/>
          <w:lang w:eastAsia="ko-KR"/>
        </w:rPr>
        <w:t>we would like RAN4 to leav</w:t>
      </w:r>
      <w:r w:rsidR="00666B88">
        <w:rPr>
          <w:rFonts w:eastAsia="Times New Roman"/>
          <w:bCs/>
          <w:lang w:eastAsia="ko-KR"/>
        </w:rPr>
        <w:t>e</w:t>
      </w:r>
      <w:r>
        <w:rPr>
          <w:rFonts w:eastAsia="Times New Roman"/>
          <w:bCs/>
          <w:lang w:eastAsia="ko-KR"/>
        </w:rPr>
        <w:t xml:space="preserve"> an option for a UE based approach to SAR, where the UE </w:t>
      </w:r>
      <w:r w:rsidR="009200B6">
        <w:rPr>
          <w:rFonts w:eastAsia="Times New Roman"/>
          <w:bCs/>
          <w:lang w:eastAsia="ko-KR"/>
        </w:rPr>
        <w:t>w</w:t>
      </w:r>
      <w:r>
        <w:rPr>
          <w:rFonts w:eastAsia="Times New Roman"/>
          <w:bCs/>
          <w:lang w:eastAsia="ko-KR"/>
        </w:rPr>
        <w:t>ould be in charge of manag</w:t>
      </w:r>
      <w:r w:rsidR="00666B88">
        <w:rPr>
          <w:rFonts w:eastAsia="Times New Roman"/>
          <w:bCs/>
          <w:lang w:eastAsia="ko-KR"/>
        </w:rPr>
        <w:t>ing</w:t>
      </w:r>
      <w:r>
        <w:rPr>
          <w:rFonts w:eastAsia="Times New Roman"/>
          <w:bCs/>
          <w:lang w:eastAsia="ko-KR"/>
        </w:rPr>
        <w:t xml:space="preserve"> its average transmit power in order to ensure that </w:t>
      </w:r>
      <w:r w:rsidR="00CB4946">
        <w:rPr>
          <w:rFonts w:eastAsia="Times New Roman"/>
          <w:bCs/>
          <w:lang w:eastAsia="ko-KR"/>
        </w:rPr>
        <w:t>the SAR limits are not exceeded</w:t>
      </w:r>
      <w:r w:rsidR="004F2185">
        <w:rPr>
          <w:rFonts w:eastAsia="Times New Roman"/>
          <w:bCs/>
          <w:lang w:eastAsia="ko-KR"/>
        </w:rPr>
        <w:t xml:space="preserve"> without any duty cycle management or LTE power restrictions from the network</w:t>
      </w:r>
      <w:r w:rsidR="00CB4946">
        <w:rPr>
          <w:rFonts w:eastAsia="Times New Roman"/>
          <w:bCs/>
          <w:lang w:eastAsia="ko-KR"/>
        </w:rPr>
        <w:t xml:space="preserve">. </w:t>
      </w:r>
    </w:p>
    <w:p w14:paraId="560B1F40" w14:textId="480C1842" w:rsidR="00C5219D" w:rsidRDefault="00C5219D" w:rsidP="00C5219D">
      <w:pPr>
        <w:pStyle w:val="Heading3"/>
        <w:rPr>
          <w:lang w:eastAsia="ko-KR"/>
        </w:rPr>
      </w:pPr>
      <w:r>
        <w:rPr>
          <w:lang w:eastAsia="ko-KR"/>
        </w:rPr>
        <w:t>2.1 UE based approach to SAR management for PC2</w:t>
      </w:r>
    </w:p>
    <w:p w14:paraId="6AA15E9A" w14:textId="77777777" w:rsidR="00224235" w:rsidRDefault="00CA0928" w:rsidP="0046509B">
      <w:pPr>
        <w:rPr>
          <w:rFonts w:eastAsia="Times New Roman"/>
          <w:bCs/>
          <w:lang w:eastAsia="ko-KR"/>
        </w:rPr>
      </w:pPr>
      <w:r>
        <w:rPr>
          <w:rFonts w:eastAsia="Times New Roman"/>
          <w:bCs/>
          <w:lang w:eastAsia="ko-KR"/>
        </w:rPr>
        <w:t xml:space="preserve">In RAN4 specs there is </w:t>
      </w:r>
      <w:r w:rsidR="00DB03C0">
        <w:rPr>
          <w:rFonts w:eastAsia="Times New Roman"/>
          <w:bCs/>
          <w:lang w:eastAsia="ko-KR"/>
        </w:rPr>
        <w:t>never any concern about SAR for UEs that maintain 23 dBm Power Class 3 output power in FR1. So</w:t>
      </w:r>
      <w:r w:rsidR="002D1950">
        <w:rPr>
          <w:rFonts w:eastAsia="Times New Roman"/>
          <w:bCs/>
          <w:lang w:eastAsia="ko-KR"/>
        </w:rPr>
        <w:t>,</w:t>
      </w:r>
      <w:r w:rsidR="00DB03C0">
        <w:rPr>
          <w:rFonts w:eastAsia="Times New Roman"/>
          <w:bCs/>
          <w:lang w:eastAsia="ko-KR"/>
        </w:rPr>
        <w:t xml:space="preserve"> one way </w:t>
      </w:r>
      <w:r w:rsidR="00C5219D">
        <w:rPr>
          <w:rFonts w:eastAsia="Times New Roman"/>
          <w:bCs/>
          <w:lang w:eastAsia="ko-KR"/>
        </w:rPr>
        <w:t xml:space="preserve">that a </w:t>
      </w:r>
      <w:r w:rsidR="00CB4946">
        <w:rPr>
          <w:rFonts w:eastAsia="Times New Roman"/>
          <w:bCs/>
          <w:lang w:eastAsia="ko-KR"/>
        </w:rPr>
        <w:t>UE-based approach</w:t>
      </w:r>
      <w:r w:rsidR="00C5219D">
        <w:rPr>
          <w:rFonts w:eastAsia="Times New Roman"/>
          <w:bCs/>
          <w:lang w:eastAsia="ko-KR"/>
        </w:rPr>
        <w:t xml:space="preserve"> </w:t>
      </w:r>
      <w:r w:rsidR="002D1950">
        <w:rPr>
          <w:rFonts w:eastAsia="Times New Roman"/>
          <w:bCs/>
          <w:lang w:eastAsia="ko-KR"/>
        </w:rPr>
        <w:t xml:space="preserve">for FDD+TDD HPUE SAR management </w:t>
      </w:r>
      <w:r w:rsidR="00C5219D">
        <w:rPr>
          <w:rFonts w:eastAsia="Times New Roman"/>
          <w:bCs/>
          <w:lang w:eastAsia="ko-KR"/>
        </w:rPr>
        <w:t xml:space="preserve">could work </w:t>
      </w:r>
      <w:r w:rsidR="001E503A">
        <w:rPr>
          <w:rFonts w:eastAsia="Times New Roman"/>
          <w:bCs/>
          <w:lang w:eastAsia="ko-KR"/>
        </w:rPr>
        <w:t>is that a UE could manage its transmission power to ensure that the average transmit power does not exceed 23 dBm</w:t>
      </w:r>
      <w:r w:rsidR="006908FC">
        <w:rPr>
          <w:rFonts w:eastAsia="Times New Roman"/>
          <w:bCs/>
          <w:lang w:eastAsia="ko-KR"/>
        </w:rPr>
        <w:t xml:space="preserve">. </w:t>
      </w:r>
      <w:r w:rsidR="00224235">
        <w:rPr>
          <w:rFonts w:eastAsia="Times New Roman"/>
          <w:bCs/>
          <w:lang w:eastAsia="ko-KR"/>
        </w:rPr>
        <w:t>We will describe one such method that the UE could us.</w:t>
      </w:r>
    </w:p>
    <w:p w14:paraId="06C1F17B" w14:textId="5F57FB30" w:rsidR="007337CE" w:rsidRDefault="007D6750" w:rsidP="0046509B">
      <w:pPr>
        <w:rPr>
          <w:rFonts w:eastAsia="Times New Roman"/>
          <w:bCs/>
          <w:lang w:eastAsia="ko-KR"/>
        </w:rPr>
      </w:pPr>
      <w:r>
        <w:rPr>
          <w:rFonts w:eastAsia="Times New Roman"/>
          <w:bCs/>
          <w:lang w:eastAsia="ko-KR"/>
        </w:rPr>
        <w:t>In order to main</w:t>
      </w:r>
      <w:r w:rsidR="00EB5374">
        <w:rPr>
          <w:rFonts w:eastAsia="Times New Roman"/>
          <w:bCs/>
          <w:lang w:eastAsia="ko-KR"/>
        </w:rPr>
        <w:t>tain a maximum average transmit power of 23 dBm</w:t>
      </w:r>
      <w:r>
        <w:rPr>
          <w:rFonts w:eastAsia="Times New Roman"/>
          <w:bCs/>
          <w:lang w:eastAsia="ko-KR"/>
        </w:rPr>
        <w:t xml:space="preserve">, </w:t>
      </w:r>
      <w:r w:rsidR="006908FC">
        <w:rPr>
          <w:rFonts w:eastAsia="Times New Roman"/>
          <w:bCs/>
          <w:lang w:eastAsia="ko-KR"/>
        </w:rPr>
        <w:t>t</w:t>
      </w:r>
      <w:r w:rsidR="00CB4946">
        <w:rPr>
          <w:rFonts w:eastAsia="Times New Roman"/>
          <w:bCs/>
          <w:lang w:eastAsia="ko-KR"/>
        </w:rPr>
        <w:t xml:space="preserve">he UE </w:t>
      </w:r>
      <w:r>
        <w:rPr>
          <w:rFonts w:eastAsia="Times New Roman"/>
          <w:bCs/>
          <w:lang w:eastAsia="ko-KR"/>
        </w:rPr>
        <w:t>c</w:t>
      </w:r>
      <w:r w:rsidR="00CB4946">
        <w:rPr>
          <w:rFonts w:eastAsia="Times New Roman"/>
          <w:bCs/>
          <w:lang w:eastAsia="ko-KR"/>
        </w:rPr>
        <w:t xml:space="preserve">ould </w:t>
      </w:r>
      <w:r>
        <w:rPr>
          <w:rFonts w:eastAsia="Times New Roman"/>
          <w:bCs/>
          <w:lang w:eastAsia="ko-KR"/>
        </w:rPr>
        <w:t xml:space="preserve">first </w:t>
      </w:r>
      <w:r w:rsidR="00796563">
        <w:rPr>
          <w:rFonts w:eastAsia="Times New Roman"/>
          <w:bCs/>
          <w:lang w:eastAsia="ko-KR"/>
        </w:rPr>
        <w:t xml:space="preserve">calculate the average FDD LTE power in an interval. That interval could be </w:t>
      </w:r>
      <w:r w:rsidR="00E523E3">
        <w:rPr>
          <w:rFonts w:eastAsia="Times New Roman"/>
          <w:bCs/>
          <w:lang w:eastAsia="ko-KR"/>
        </w:rPr>
        <w:t xml:space="preserve">over one 10 </w:t>
      </w:r>
      <w:proofErr w:type="spellStart"/>
      <w:r w:rsidR="00E523E3">
        <w:rPr>
          <w:rFonts w:eastAsia="Times New Roman"/>
          <w:bCs/>
          <w:lang w:eastAsia="ko-KR"/>
        </w:rPr>
        <w:t>ms</w:t>
      </w:r>
      <w:proofErr w:type="spellEnd"/>
      <w:r w:rsidR="00E523E3">
        <w:rPr>
          <w:rFonts w:eastAsia="Times New Roman"/>
          <w:bCs/>
          <w:lang w:eastAsia="ko-KR"/>
        </w:rPr>
        <w:t xml:space="preserve"> </w:t>
      </w:r>
      <w:r w:rsidR="00D436B2">
        <w:rPr>
          <w:rFonts w:eastAsia="Times New Roman"/>
          <w:bCs/>
          <w:lang w:eastAsia="ko-KR"/>
        </w:rPr>
        <w:t xml:space="preserve">TDD </w:t>
      </w:r>
      <w:r w:rsidR="00E523E3">
        <w:rPr>
          <w:rFonts w:eastAsia="Times New Roman"/>
          <w:bCs/>
          <w:lang w:eastAsia="ko-KR"/>
        </w:rPr>
        <w:t>LTE radio frame</w:t>
      </w:r>
      <w:r w:rsidR="00D436B2">
        <w:rPr>
          <w:rFonts w:eastAsia="Times New Roman"/>
          <w:bCs/>
          <w:lang w:eastAsia="ko-KR"/>
        </w:rPr>
        <w:t xml:space="preserve"> time</w:t>
      </w:r>
      <w:r w:rsidR="00E523E3">
        <w:rPr>
          <w:rFonts w:eastAsia="Times New Roman"/>
          <w:bCs/>
          <w:lang w:eastAsia="ko-KR"/>
        </w:rPr>
        <w:t xml:space="preserve">, or </w:t>
      </w:r>
      <w:r w:rsidR="00EC044E">
        <w:rPr>
          <w:rFonts w:eastAsia="Times New Roman"/>
          <w:bCs/>
          <w:lang w:eastAsia="ko-KR"/>
        </w:rPr>
        <w:t xml:space="preserve">If the TDD NR carrier is aligned with </w:t>
      </w:r>
      <w:r w:rsidR="005B04A1">
        <w:rPr>
          <w:rFonts w:eastAsia="Times New Roman"/>
          <w:bCs/>
          <w:lang w:eastAsia="ko-KR"/>
        </w:rPr>
        <w:t xml:space="preserve">LTE UL/DL configurations 0, 1, 2 and 6 that have a 5 </w:t>
      </w:r>
      <w:proofErr w:type="spellStart"/>
      <w:r w:rsidR="005B04A1">
        <w:rPr>
          <w:rFonts w:eastAsia="Times New Roman"/>
          <w:bCs/>
          <w:lang w:eastAsia="ko-KR"/>
        </w:rPr>
        <w:t>ms</w:t>
      </w:r>
      <w:proofErr w:type="spellEnd"/>
      <w:r w:rsidR="005B04A1">
        <w:rPr>
          <w:rFonts w:eastAsia="Times New Roman"/>
          <w:bCs/>
          <w:lang w:eastAsia="ko-KR"/>
        </w:rPr>
        <w:t xml:space="preserve"> downlink to uplink switch point periodicity the UE could </w:t>
      </w:r>
      <w:r w:rsidR="005B679A">
        <w:rPr>
          <w:rFonts w:eastAsia="Times New Roman"/>
          <w:bCs/>
          <w:lang w:eastAsia="ko-KR"/>
        </w:rPr>
        <w:t xml:space="preserve">use a 5 </w:t>
      </w:r>
      <w:proofErr w:type="spellStart"/>
      <w:r w:rsidR="005B679A">
        <w:rPr>
          <w:rFonts w:eastAsia="Times New Roman"/>
          <w:bCs/>
          <w:lang w:eastAsia="ko-KR"/>
        </w:rPr>
        <w:t>ms</w:t>
      </w:r>
      <w:proofErr w:type="spellEnd"/>
      <w:r w:rsidR="005B679A">
        <w:rPr>
          <w:rFonts w:eastAsia="Times New Roman"/>
          <w:bCs/>
          <w:lang w:eastAsia="ko-KR"/>
        </w:rPr>
        <w:t xml:space="preserve"> interval. </w:t>
      </w:r>
      <w:r w:rsidR="00781412">
        <w:rPr>
          <w:rFonts w:eastAsia="Times New Roman"/>
          <w:bCs/>
          <w:lang w:eastAsia="ko-KR"/>
        </w:rPr>
        <w:t xml:space="preserve">After calculating the </w:t>
      </w:r>
      <w:r w:rsidR="0042655E">
        <w:rPr>
          <w:rFonts w:eastAsia="Times New Roman"/>
          <w:bCs/>
          <w:lang w:eastAsia="ko-KR"/>
        </w:rPr>
        <w:t xml:space="preserve">average FDD LTE power in interval </w:t>
      </w:r>
      <w:r w:rsidR="00093277">
        <w:rPr>
          <w:rFonts w:eastAsia="Times New Roman"/>
          <w:bCs/>
          <w:lang w:eastAsia="ko-KR"/>
        </w:rPr>
        <w:t>n</w:t>
      </w:r>
      <w:r w:rsidR="0042655E">
        <w:rPr>
          <w:rFonts w:eastAsia="Times New Roman"/>
          <w:bCs/>
          <w:lang w:eastAsia="ko-KR"/>
        </w:rPr>
        <w:t xml:space="preserve">, </w:t>
      </w:r>
      <w:r w:rsidR="00781412">
        <w:rPr>
          <w:rFonts w:eastAsia="Times New Roman"/>
          <w:bCs/>
          <w:lang w:eastAsia="ko-KR"/>
        </w:rPr>
        <w:t>the UE would linearly subtract that from 23 dBm</w:t>
      </w:r>
      <w:r w:rsidR="007D2277">
        <w:rPr>
          <w:rFonts w:eastAsia="Times New Roman"/>
          <w:bCs/>
          <w:lang w:eastAsia="ko-KR"/>
        </w:rPr>
        <w:t xml:space="preserve"> in</w:t>
      </w:r>
      <w:r w:rsidR="00781412">
        <w:rPr>
          <w:rFonts w:eastAsia="Times New Roman"/>
          <w:bCs/>
          <w:lang w:eastAsia="ko-KR"/>
        </w:rPr>
        <w:t xml:space="preserve"> order to calculate how much average power is left for </w:t>
      </w:r>
      <w:r w:rsidR="008B502C">
        <w:rPr>
          <w:rFonts w:eastAsia="Times New Roman"/>
          <w:bCs/>
          <w:lang w:eastAsia="ko-KR"/>
        </w:rPr>
        <w:t xml:space="preserve">transmission on NR. </w:t>
      </w:r>
    </w:p>
    <w:p w14:paraId="31A9B7F6" w14:textId="45C1D4C4" w:rsidR="00865BFE" w:rsidRDefault="007337CE" w:rsidP="0046509B">
      <w:pPr>
        <w:rPr>
          <w:rFonts w:eastAsia="Times New Roman"/>
          <w:bCs/>
          <w:lang w:eastAsia="ko-KR"/>
        </w:rPr>
      </w:pPr>
      <w:r>
        <w:rPr>
          <w:rFonts w:eastAsia="Times New Roman"/>
          <w:bCs/>
          <w:lang w:eastAsia="ko-KR"/>
        </w:rPr>
        <w:t xml:space="preserve">Here is an example with a 50% TDD duty cycle. </w:t>
      </w:r>
      <w:r w:rsidR="00865BFE">
        <w:rPr>
          <w:rFonts w:eastAsia="Times New Roman"/>
          <w:bCs/>
          <w:lang w:eastAsia="ko-KR"/>
        </w:rPr>
        <w:t xml:space="preserve">If the FDD side transmitted no power in interval </w:t>
      </w:r>
      <w:r w:rsidR="00272FB3">
        <w:rPr>
          <w:rFonts w:eastAsia="Times New Roman"/>
          <w:bCs/>
          <w:lang w:eastAsia="ko-KR"/>
        </w:rPr>
        <w:t>0</w:t>
      </w:r>
      <w:r w:rsidR="00865BFE">
        <w:rPr>
          <w:rFonts w:eastAsia="Times New Roman"/>
          <w:bCs/>
          <w:lang w:eastAsia="ko-KR"/>
        </w:rPr>
        <w:t xml:space="preserve">, then in interval </w:t>
      </w:r>
      <w:r w:rsidR="00272FB3">
        <w:rPr>
          <w:rFonts w:eastAsia="Times New Roman"/>
          <w:bCs/>
          <w:lang w:eastAsia="ko-KR"/>
        </w:rPr>
        <w:t>1</w:t>
      </w:r>
      <w:r w:rsidR="00865BFE">
        <w:rPr>
          <w:rFonts w:eastAsia="Times New Roman"/>
          <w:bCs/>
          <w:lang w:eastAsia="ko-KR"/>
        </w:rPr>
        <w:t xml:space="preserve"> the UE could transmit up to 26 dBm with a 50% duty cycle.</w:t>
      </w:r>
      <w:r w:rsidR="00571450">
        <w:rPr>
          <w:rFonts w:eastAsia="Times New Roman"/>
          <w:bCs/>
          <w:lang w:eastAsia="ko-KR"/>
        </w:rPr>
        <w:t xml:space="preserve"> </w:t>
      </w:r>
      <w:r w:rsidR="00E2537C">
        <w:rPr>
          <w:rFonts w:eastAsia="Times New Roman"/>
          <w:bCs/>
          <w:lang w:eastAsia="ko-KR"/>
        </w:rPr>
        <w:t xml:space="preserve">If in interval 1 the FDD LTE side used 20 dBm power, then in interval 2 the TDD side could use 20 dBm average. </w:t>
      </w:r>
      <w:r w:rsidR="007C30B2">
        <w:rPr>
          <w:rFonts w:eastAsia="Times New Roman"/>
          <w:bCs/>
          <w:lang w:eastAsia="ko-KR"/>
        </w:rPr>
        <w:t>So with a 50%</w:t>
      </w:r>
      <w:r w:rsidR="00E2537C">
        <w:rPr>
          <w:rFonts w:eastAsia="Times New Roman"/>
          <w:bCs/>
          <w:lang w:eastAsia="ko-KR"/>
        </w:rPr>
        <w:t xml:space="preserve"> TDD duty cycle the TDD side could transmit at 23 dBm for 50% of </w:t>
      </w:r>
      <w:r w:rsidR="00C4334A">
        <w:rPr>
          <w:rFonts w:eastAsia="Times New Roman"/>
          <w:bCs/>
          <w:lang w:eastAsia="ko-KR"/>
        </w:rPr>
        <w:t xml:space="preserve">interval </w:t>
      </w:r>
      <w:r w:rsidR="0046271F">
        <w:rPr>
          <w:rFonts w:eastAsia="Times New Roman"/>
          <w:bCs/>
          <w:lang w:eastAsia="ko-KR"/>
        </w:rPr>
        <w:t>2.</w:t>
      </w:r>
      <w:r w:rsidR="00E2537C">
        <w:rPr>
          <w:rFonts w:eastAsia="Times New Roman"/>
          <w:bCs/>
          <w:lang w:eastAsia="ko-KR"/>
        </w:rPr>
        <w:t xml:space="preserve"> </w:t>
      </w:r>
      <w:r w:rsidR="0046271F">
        <w:rPr>
          <w:rFonts w:eastAsia="Times New Roman"/>
          <w:bCs/>
          <w:lang w:eastAsia="ko-KR"/>
        </w:rPr>
        <w:t xml:space="preserve"> </w:t>
      </w:r>
      <w:r w:rsidR="008B502C">
        <w:rPr>
          <w:rFonts w:eastAsia="Times New Roman"/>
          <w:bCs/>
          <w:lang w:eastAsia="ko-KR"/>
        </w:rPr>
        <w:t xml:space="preserve">If in interval </w:t>
      </w:r>
      <w:r w:rsidR="0046271F">
        <w:rPr>
          <w:rFonts w:eastAsia="Times New Roman"/>
          <w:bCs/>
          <w:lang w:eastAsia="ko-KR"/>
        </w:rPr>
        <w:t>2</w:t>
      </w:r>
      <w:r w:rsidR="008B502C">
        <w:rPr>
          <w:rFonts w:eastAsia="Times New Roman"/>
          <w:bCs/>
          <w:lang w:eastAsia="ko-KR"/>
        </w:rPr>
        <w:t xml:space="preserve"> the FDD </w:t>
      </w:r>
      <w:r w:rsidR="00EC044E">
        <w:rPr>
          <w:rFonts w:eastAsia="Times New Roman"/>
          <w:bCs/>
          <w:lang w:eastAsia="ko-KR"/>
        </w:rPr>
        <w:t xml:space="preserve">LTE </w:t>
      </w:r>
      <w:r w:rsidR="008B502C">
        <w:rPr>
          <w:rFonts w:eastAsia="Times New Roman"/>
          <w:bCs/>
          <w:lang w:eastAsia="ko-KR"/>
        </w:rPr>
        <w:t xml:space="preserve">side used </w:t>
      </w:r>
      <w:r w:rsidR="005062D4">
        <w:rPr>
          <w:rFonts w:eastAsia="Times New Roman"/>
          <w:bCs/>
          <w:lang w:eastAsia="ko-KR"/>
        </w:rPr>
        <w:t xml:space="preserve">23 dBm continuously, the TDD side could use no power in interval </w:t>
      </w:r>
      <w:r w:rsidR="0046271F">
        <w:rPr>
          <w:rFonts w:eastAsia="Times New Roman"/>
          <w:bCs/>
          <w:lang w:eastAsia="ko-KR"/>
        </w:rPr>
        <w:t>3</w:t>
      </w:r>
      <w:r w:rsidR="005062D4">
        <w:rPr>
          <w:rFonts w:eastAsia="Times New Roman"/>
          <w:bCs/>
          <w:lang w:eastAsia="ko-KR"/>
        </w:rPr>
        <w:t xml:space="preserve">. </w:t>
      </w:r>
      <w:r w:rsidR="00672443">
        <w:rPr>
          <w:rFonts w:eastAsia="Times New Roman"/>
          <w:bCs/>
          <w:lang w:eastAsia="ko-KR"/>
        </w:rPr>
        <w:t xml:space="preserve">What this example does not show is that the NR power would also </w:t>
      </w:r>
      <w:r w:rsidR="001076ED">
        <w:rPr>
          <w:rFonts w:eastAsia="Times New Roman"/>
          <w:bCs/>
          <w:lang w:eastAsia="ko-KR"/>
        </w:rPr>
        <w:t xml:space="preserve">need to be reduced based on the concurrent </w:t>
      </w:r>
      <w:r w:rsidR="00221B82">
        <w:rPr>
          <w:rFonts w:eastAsia="Times New Roman"/>
          <w:bCs/>
          <w:lang w:eastAsia="ko-KR"/>
        </w:rPr>
        <w:t xml:space="preserve">instantaneous </w:t>
      </w:r>
      <w:r w:rsidR="001076ED">
        <w:rPr>
          <w:rFonts w:eastAsia="Times New Roman"/>
          <w:bCs/>
          <w:lang w:eastAsia="ko-KR"/>
        </w:rPr>
        <w:t xml:space="preserve">LTE transmission power based on </w:t>
      </w:r>
      <w:r w:rsidR="00221B82">
        <w:rPr>
          <w:rFonts w:eastAsia="Times New Roman"/>
          <w:bCs/>
          <w:lang w:eastAsia="ko-KR"/>
        </w:rPr>
        <w:t>EN-DC D</w:t>
      </w:r>
      <w:r w:rsidR="001076ED">
        <w:rPr>
          <w:rFonts w:eastAsia="Times New Roman"/>
          <w:bCs/>
          <w:lang w:eastAsia="ko-KR"/>
        </w:rPr>
        <w:t xml:space="preserve">ynamic </w:t>
      </w:r>
      <w:r w:rsidR="00221B82">
        <w:rPr>
          <w:rFonts w:eastAsia="Times New Roman"/>
          <w:bCs/>
          <w:lang w:eastAsia="ko-KR"/>
        </w:rPr>
        <w:t>P</w:t>
      </w:r>
      <w:r w:rsidR="001076ED">
        <w:rPr>
          <w:rFonts w:eastAsia="Times New Roman"/>
          <w:bCs/>
          <w:lang w:eastAsia="ko-KR"/>
        </w:rPr>
        <w:t xml:space="preserve">ower </w:t>
      </w:r>
      <w:r w:rsidR="00221B82">
        <w:rPr>
          <w:rFonts w:eastAsia="Times New Roman"/>
          <w:bCs/>
          <w:lang w:eastAsia="ko-KR"/>
        </w:rPr>
        <w:t>S</w:t>
      </w:r>
      <w:r w:rsidR="001076ED">
        <w:rPr>
          <w:rFonts w:eastAsia="Times New Roman"/>
          <w:bCs/>
          <w:lang w:eastAsia="ko-KR"/>
        </w:rPr>
        <w:t xml:space="preserve">haring in order to keep the total LTE+NR </w:t>
      </w:r>
      <w:r w:rsidR="00E5622C">
        <w:rPr>
          <w:rFonts w:eastAsia="Times New Roman"/>
          <w:bCs/>
          <w:lang w:eastAsia="ko-KR"/>
        </w:rPr>
        <w:t>transmission power at or below 26 dBm for a PC2 EN-DC UE.</w:t>
      </w:r>
      <w:r w:rsidR="00AF4A18">
        <w:rPr>
          <w:rFonts w:eastAsia="Times New Roman"/>
          <w:bCs/>
          <w:lang w:eastAsia="ko-KR"/>
        </w:rPr>
        <w:t xml:space="preserve"> For example, in interval 1 the NR power would need to be reduced </w:t>
      </w:r>
      <w:r w:rsidR="00613C5C">
        <w:rPr>
          <w:rFonts w:eastAsia="Times New Roman"/>
          <w:bCs/>
          <w:lang w:eastAsia="ko-KR"/>
        </w:rPr>
        <w:t xml:space="preserve">linearly </w:t>
      </w:r>
      <w:r w:rsidR="00967739">
        <w:rPr>
          <w:rFonts w:eastAsia="Times New Roman"/>
          <w:bCs/>
          <w:lang w:eastAsia="ko-KR"/>
        </w:rPr>
        <w:t xml:space="preserve">by 20 dBm to 24.8 dBm in </w:t>
      </w:r>
      <w:r w:rsidR="00613C5C">
        <w:rPr>
          <w:rFonts w:eastAsia="Times New Roman"/>
          <w:bCs/>
          <w:lang w:eastAsia="ko-KR"/>
        </w:rPr>
        <w:t xml:space="preserve">in order to keep the total </w:t>
      </w:r>
      <w:r w:rsidR="00645ECE">
        <w:rPr>
          <w:rFonts w:eastAsia="Times New Roman"/>
          <w:bCs/>
          <w:lang w:eastAsia="ko-KR"/>
        </w:rPr>
        <w:t xml:space="preserve">UE </w:t>
      </w:r>
      <w:r w:rsidR="00613C5C">
        <w:rPr>
          <w:rFonts w:eastAsia="Times New Roman"/>
          <w:bCs/>
          <w:lang w:eastAsia="ko-KR"/>
        </w:rPr>
        <w:t>power below 26 dBm</w:t>
      </w:r>
      <w:r w:rsidR="00645ECE">
        <w:rPr>
          <w:rFonts w:eastAsia="Times New Roman"/>
          <w:bCs/>
          <w:lang w:eastAsia="ko-KR"/>
        </w:rPr>
        <w:t xml:space="preserve"> as shown in orange in Figure 1.</w:t>
      </w:r>
    </w:p>
    <w:p w14:paraId="626F0191" w14:textId="0C02232C" w:rsidR="00A47D9B" w:rsidRDefault="003B4AA5" w:rsidP="00A47D9B">
      <w:pPr>
        <w:keepNext/>
      </w:pPr>
      <w:r>
        <w:rPr>
          <w:noProof/>
        </w:rPr>
        <w:lastRenderedPageBreak/>
        <w:drawing>
          <wp:inline distT="0" distB="0" distL="0" distR="0" wp14:anchorId="5EDCCB4F" wp14:editId="4B38D76F">
            <wp:extent cx="5951419" cy="163753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4529" cy="1657652"/>
                    </a:xfrm>
                    <a:prstGeom prst="rect">
                      <a:avLst/>
                    </a:prstGeom>
                    <a:noFill/>
                  </pic:spPr>
                </pic:pic>
              </a:graphicData>
            </a:graphic>
          </wp:inline>
        </w:drawing>
      </w:r>
    </w:p>
    <w:p w14:paraId="31C0C062" w14:textId="54DEA7C8" w:rsidR="00865BFE" w:rsidRDefault="00A47D9B" w:rsidP="00A47D9B">
      <w:pPr>
        <w:pStyle w:val="Caption"/>
        <w:rPr>
          <w:rFonts w:eastAsia="Times New Roman"/>
          <w:bCs/>
          <w:lang w:eastAsia="ko-KR"/>
        </w:rPr>
      </w:pPr>
      <w:r>
        <w:t xml:space="preserve">Figure </w:t>
      </w:r>
      <w:r>
        <w:fldChar w:fldCharType="begin"/>
      </w:r>
      <w:r>
        <w:instrText xml:space="preserve"> SEQ Figure \* ARABIC </w:instrText>
      </w:r>
      <w:r>
        <w:fldChar w:fldCharType="separate"/>
      </w:r>
      <w:r w:rsidR="005B1036">
        <w:rPr>
          <w:noProof/>
        </w:rPr>
        <w:t>1</w:t>
      </w:r>
      <w:r>
        <w:fldChar w:fldCharType="end"/>
      </w:r>
      <w:r>
        <w:t xml:space="preserve"> Example </w:t>
      </w:r>
      <w:r w:rsidR="005A2E01">
        <w:t xml:space="preserve">1 </w:t>
      </w:r>
      <w:r>
        <w:t>UE based FDD+TDD EN-DC SAR management</w:t>
      </w:r>
      <w:r w:rsidR="00CB74C2">
        <w:t xml:space="preserve"> with 50% TDD duty cycle</w:t>
      </w:r>
    </w:p>
    <w:p w14:paraId="114D34C8" w14:textId="62A41083" w:rsidR="00B3075B" w:rsidRDefault="007A02E9" w:rsidP="0046509B">
      <w:pPr>
        <w:rPr>
          <w:rFonts w:eastAsia="Times New Roman"/>
          <w:bCs/>
          <w:lang w:eastAsia="ko-KR"/>
        </w:rPr>
      </w:pPr>
      <w:r>
        <w:rPr>
          <w:rFonts w:eastAsia="Times New Roman"/>
          <w:bCs/>
          <w:lang w:eastAsia="ko-KR"/>
        </w:rPr>
        <w:t xml:space="preserve">Here is an example with a 25% TDD duty cycle. If the FDD side transmitted no power in interval 0, then in interval 1 the UE could transmit up to 26 dBm with a </w:t>
      </w:r>
      <w:r w:rsidR="00056AA8">
        <w:rPr>
          <w:rFonts w:eastAsia="Times New Roman"/>
          <w:bCs/>
          <w:lang w:eastAsia="ko-KR"/>
        </w:rPr>
        <w:t>25</w:t>
      </w:r>
      <w:r>
        <w:rPr>
          <w:rFonts w:eastAsia="Times New Roman"/>
          <w:bCs/>
          <w:lang w:eastAsia="ko-KR"/>
        </w:rPr>
        <w:t xml:space="preserve">% duty cycle. If in interval 1 the FDD LTE side used 20 dBm power, then in interval 2 the TDD side could use 20 dBm average. So with a </w:t>
      </w:r>
      <w:r w:rsidR="007D39AB">
        <w:rPr>
          <w:rFonts w:eastAsia="Times New Roman"/>
          <w:bCs/>
          <w:lang w:eastAsia="ko-KR"/>
        </w:rPr>
        <w:t>2</w:t>
      </w:r>
      <w:r>
        <w:rPr>
          <w:rFonts w:eastAsia="Times New Roman"/>
          <w:bCs/>
          <w:lang w:eastAsia="ko-KR"/>
        </w:rPr>
        <w:t>5% TDD duty cycle the TDD side could transmit at 2</w:t>
      </w:r>
      <w:r w:rsidR="007D39AB">
        <w:rPr>
          <w:rFonts w:eastAsia="Times New Roman"/>
          <w:bCs/>
          <w:lang w:eastAsia="ko-KR"/>
        </w:rPr>
        <w:t>6</w:t>
      </w:r>
      <w:r>
        <w:rPr>
          <w:rFonts w:eastAsia="Times New Roman"/>
          <w:bCs/>
          <w:lang w:eastAsia="ko-KR"/>
        </w:rPr>
        <w:t xml:space="preserve"> dBm for 50% of interval 2.  If in interval 2 the FDD LTE side used 23 dBm continuously, </w:t>
      </w:r>
      <w:r w:rsidR="005A02B1">
        <w:rPr>
          <w:rFonts w:eastAsia="Times New Roman"/>
          <w:bCs/>
          <w:lang w:eastAsia="ko-KR"/>
        </w:rPr>
        <w:t xml:space="preserve">the TDD side would be limited to 23 dBm in interval 2 and </w:t>
      </w:r>
      <w:r>
        <w:rPr>
          <w:rFonts w:eastAsia="Times New Roman"/>
          <w:bCs/>
          <w:lang w:eastAsia="ko-KR"/>
        </w:rPr>
        <w:t xml:space="preserve">the TDD side could use no power in interval 3. </w:t>
      </w:r>
      <w:r w:rsidR="00A96531">
        <w:rPr>
          <w:rFonts w:eastAsia="Times New Roman"/>
          <w:bCs/>
          <w:lang w:eastAsia="ko-KR"/>
        </w:rPr>
        <w:t>As with the previous example, this example does not show is that the NR power would also need to be reduced based on the concurrent instantaneous LTE transmission power based on EN-DC Dynamic Power Sharing in order to keep the total LTE+NR transmission power at or below 26 dBm for a PC2 EN-DC UE.</w:t>
      </w:r>
    </w:p>
    <w:p w14:paraId="75251F70" w14:textId="77777777" w:rsidR="005A2E01" w:rsidRDefault="007A02E9" w:rsidP="005A2E01">
      <w:pPr>
        <w:keepNext/>
      </w:pPr>
      <w:r>
        <w:rPr>
          <w:rFonts w:eastAsia="Times New Roman"/>
          <w:bCs/>
          <w:noProof/>
          <w:lang w:eastAsia="ko-KR"/>
        </w:rPr>
        <w:drawing>
          <wp:inline distT="0" distB="0" distL="0" distR="0" wp14:anchorId="4CDEEFA7" wp14:editId="0A20B277">
            <wp:extent cx="5870561" cy="161528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1206" cy="1637477"/>
                    </a:xfrm>
                    <a:prstGeom prst="rect">
                      <a:avLst/>
                    </a:prstGeom>
                    <a:noFill/>
                  </pic:spPr>
                </pic:pic>
              </a:graphicData>
            </a:graphic>
          </wp:inline>
        </w:drawing>
      </w:r>
    </w:p>
    <w:p w14:paraId="2EDA4882" w14:textId="65A0A4C2" w:rsidR="00B3075B" w:rsidRDefault="005A2E01" w:rsidP="005A2E01">
      <w:pPr>
        <w:pStyle w:val="Caption"/>
        <w:rPr>
          <w:rFonts w:eastAsia="Times New Roman"/>
          <w:bCs/>
          <w:lang w:eastAsia="ko-KR"/>
        </w:rPr>
      </w:pPr>
      <w:r>
        <w:t xml:space="preserve">Figure </w:t>
      </w:r>
      <w:r>
        <w:fldChar w:fldCharType="begin"/>
      </w:r>
      <w:r>
        <w:instrText xml:space="preserve"> SEQ Figure \* ARABIC </w:instrText>
      </w:r>
      <w:r>
        <w:fldChar w:fldCharType="separate"/>
      </w:r>
      <w:r w:rsidR="005B1036">
        <w:rPr>
          <w:noProof/>
        </w:rPr>
        <w:t>2</w:t>
      </w:r>
      <w:r>
        <w:fldChar w:fldCharType="end"/>
      </w:r>
      <w:r>
        <w:t xml:space="preserve"> </w:t>
      </w:r>
      <w:r w:rsidRPr="009E30B3">
        <w:t xml:space="preserve">Example </w:t>
      </w:r>
      <w:r>
        <w:t>2</w:t>
      </w:r>
      <w:r w:rsidRPr="009E30B3">
        <w:t xml:space="preserve"> UE based FDD+TDD EN-DC SAR management with </w:t>
      </w:r>
      <w:r>
        <w:t>25</w:t>
      </w:r>
      <w:r w:rsidRPr="009E30B3">
        <w:t>% TDD duty cycle</w:t>
      </w:r>
    </w:p>
    <w:p w14:paraId="48E83521" w14:textId="1198FC6A" w:rsidR="0031669B" w:rsidRPr="008F5A73" w:rsidRDefault="008F5A73" w:rsidP="0046509B">
      <w:pPr>
        <w:rPr>
          <w:rFonts w:eastAsia="Times New Roman"/>
          <w:bCs/>
          <w:lang w:eastAsia="ko-KR"/>
        </w:rPr>
      </w:pPr>
      <w:r>
        <w:rPr>
          <w:rFonts w:eastAsia="Times New Roman"/>
          <w:bCs/>
          <w:lang w:eastAsia="ko-KR"/>
        </w:rPr>
        <w:t xml:space="preserve">Now let’s consider a third example where the LTE is transmitting continuously although with </w:t>
      </w:r>
      <w:r w:rsidR="00BE25A9">
        <w:rPr>
          <w:rFonts w:eastAsia="Times New Roman"/>
          <w:bCs/>
          <w:lang w:eastAsia="ko-KR"/>
        </w:rPr>
        <w:t xml:space="preserve">very low power. </w:t>
      </w:r>
      <w:r w:rsidR="00070BB0">
        <w:rPr>
          <w:rFonts w:eastAsia="Times New Roman"/>
          <w:bCs/>
          <w:lang w:eastAsia="ko-KR"/>
        </w:rPr>
        <w:t>In this case with a 50% TDD duty cycle NR would be able to transmit at close to 26 dBm</w:t>
      </w:r>
      <w:r w:rsidR="005B1036">
        <w:rPr>
          <w:rFonts w:eastAsia="Times New Roman"/>
          <w:bCs/>
          <w:lang w:eastAsia="ko-KR"/>
        </w:rPr>
        <w:t xml:space="preserve">, despite the 100% FDD LTE duty cycle. </w:t>
      </w:r>
    </w:p>
    <w:p w14:paraId="6C4974A0" w14:textId="77777777" w:rsidR="005B1036" w:rsidRDefault="008F5A73" w:rsidP="005B1036">
      <w:pPr>
        <w:keepNext/>
      </w:pPr>
      <w:r>
        <w:rPr>
          <w:rFonts w:eastAsia="Times New Roman"/>
          <w:b/>
          <w:noProof/>
          <w:lang w:eastAsia="ko-KR"/>
        </w:rPr>
        <w:drawing>
          <wp:inline distT="0" distB="0" distL="0" distR="0" wp14:anchorId="5249BD42" wp14:editId="377B2CC4">
            <wp:extent cx="5923052" cy="1629731"/>
            <wp:effectExtent l="0" t="0" r="0" b="889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91595" cy="1648591"/>
                    </a:xfrm>
                    <a:prstGeom prst="rect">
                      <a:avLst/>
                    </a:prstGeom>
                    <a:noFill/>
                  </pic:spPr>
                </pic:pic>
              </a:graphicData>
            </a:graphic>
          </wp:inline>
        </w:drawing>
      </w:r>
    </w:p>
    <w:p w14:paraId="4ED1F1EE" w14:textId="06B5703F" w:rsidR="008F5A73" w:rsidRDefault="005B1036" w:rsidP="005B1036">
      <w:pPr>
        <w:pStyle w:val="Caption"/>
        <w:rPr>
          <w:rFonts w:eastAsia="Times New Roman"/>
          <w:b w:val="0"/>
          <w:lang w:eastAsia="ko-KR"/>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E210D3">
        <w:t xml:space="preserve">Example </w:t>
      </w:r>
      <w:r>
        <w:t>3</w:t>
      </w:r>
      <w:r w:rsidRPr="00E210D3">
        <w:t xml:space="preserve"> UE based FDD+TDD EN-DC SAR management with 5</w:t>
      </w:r>
      <w:r>
        <w:t>0</w:t>
      </w:r>
      <w:r w:rsidRPr="00E210D3">
        <w:t>% TDD duty cycle</w:t>
      </w:r>
      <w:r>
        <w:rPr>
          <w:noProof/>
        </w:rPr>
        <w:t xml:space="preserve"> and low power on LTE</w:t>
      </w:r>
    </w:p>
    <w:p w14:paraId="529D8BC5" w14:textId="52F94A18" w:rsidR="0031669B" w:rsidRPr="00AE7812" w:rsidRDefault="00835E80" w:rsidP="0046509B">
      <w:pPr>
        <w:rPr>
          <w:rFonts w:eastAsia="Times New Roman"/>
          <w:bCs/>
          <w:lang w:eastAsia="ko-KR"/>
        </w:rPr>
      </w:pPr>
      <w:r>
        <w:rPr>
          <w:rFonts w:eastAsia="Times New Roman"/>
          <w:bCs/>
          <w:lang w:eastAsia="ko-KR"/>
        </w:rPr>
        <w:t xml:space="preserve">As these examples show, it is possible for a UE based SAR management scheme to </w:t>
      </w:r>
      <w:r w:rsidR="00730EEC">
        <w:rPr>
          <w:rFonts w:eastAsia="Times New Roman"/>
          <w:bCs/>
          <w:lang w:eastAsia="ko-KR"/>
        </w:rPr>
        <w:t xml:space="preserve">enable a UR to maintain 23 dBm average transmission power in order to meet SAR emission limits. </w:t>
      </w:r>
      <w:r w:rsidR="009623B5">
        <w:rPr>
          <w:rFonts w:eastAsia="Times New Roman"/>
          <w:bCs/>
          <w:lang w:eastAsia="ko-KR"/>
        </w:rPr>
        <w:t xml:space="preserve">This approach allows for efficient usage of the uplink power without complicated scheduling </w:t>
      </w:r>
      <w:r w:rsidR="0090490F">
        <w:rPr>
          <w:rFonts w:eastAsia="Times New Roman"/>
          <w:bCs/>
          <w:lang w:eastAsia="ko-KR"/>
        </w:rPr>
        <w:t xml:space="preserve">restrictions or power limitations on the LTE uplink. </w:t>
      </w:r>
      <w:r w:rsidR="00427A93">
        <w:rPr>
          <w:rFonts w:eastAsia="Times New Roman"/>
          <w:bCs/>
          <w:lang w:eastAsia="ko-KR"/>
        </w:rPr>
        <w:t>Therefore,</w:t>
      </w:r>
      <w:r w:rsidR="00730EEC">
        <w:rPr>
          <w:rFonts w:eastAsia="Times New Roman"/>
          <w:bCs/>
          <w:lang w:eastAsia="ko-KR"/>
        </w:rPr>
        <w:t xml:space="preserve"> </w:t>
      </w:r>
      <w:r w:rsidR="00E155D4">
        <w:rPr>
          <w:rFonts w:eastAsia="Times New Roman"/>
          <w:bCs/>
          <w:lang w:eastAsia="ko-KR"/>
        </w:rPr>
        <w:t xml:space="preserve">it would be </w:t>
      </w:r>
      <w:r w:rsidR="0090490F">
        <w:rPr>
          <w:rFonts w:eastAsia="Times New Roman"/>
          <w:bCs/>
          <w:lang w:eastAsia="ko-KR"/>
        </w:rPr>
        <w:t>beneficial</w:t>
      </w:r>
      <w:r w:rsidR="00E155D4">
        <w:rPr>
          <w:rFonts w:eastAsia="Times New Roman"/>
          <w:bCs/>
          <w:lang w:eastAsia="ko-KR"/>
        </w:rPr>
        <w:t xml:space="preserve"> if RAN4 allows a UE based approach for managing SAR for power class 2 </w:t>
      </w:r>
      <w:r w:rsidR="0090490F">
        <w:rPr>
          <w:rFonts w:eastAsia="Times New Roman"/>
          <w:bCs/>
          <w:lang w:eastAsia="ko-KR"/>
        </w:rPr>
        <w:t xml:space="preserve">FDD+TDD </w:t>
      </w:r>
      <w:r w:rsidR="00AE7812">
        <w:rPr>
          <w:rFonts w:eastAsia="Times New Roman"/>
          <w:bCs/>
          <w:lang w:eastAsia="ko-KR"/>
        </w:rPr>
        <w:t xml:space="preserve">EN-DC. </w:t>
      </w:r>
    </w:p>
    <w:p w14:paraId="69E6E768" w14:textId="045882C6" w:rsidR="004815E7" w:rsidRPr="00241958" w:rsidRDefault="006C0070" w:rsidP="0046509B">
      <w:pPr>
        <w:rPr>
          <w:rFonts w:eastAsia="Times New Roman"/>
          <w:b/>
          <w:lang w:eastAsia="ko-KR"/>
        </w:rPr>
      </w:pPr>
      <w:r w:rsidRPr="00241958">
        <w:rPr>
          <w:rFonts w:eastAsia="Times New Roman"/>
          <w:b/>
          <w:lang w:eastAsia="ko-KR"/>
        </w:rPr>
        <w:lastRenderedPageBreak/>
        <w:t xml:space="preserve">Proposal 1: RAN4 should </w:t>
      </w:r>
      <w:r w:rsidR="005A2E01" w:rsidRPr="00241958">
        <w:rPr>
          <w:rFonts w:eastAsia="Times New Roman"/>
          <w:b/>
          <w:lang w:eastAsia="ko-KR"/>
        </w:rPr>
        <w:t xml:space="preserve">keep the option open for UE Based </w:t>
      </w:r>
      <w:r w:rsidR="00241958" w:rsidRPr="00241958">
        <w:rPr>
          <w:rFonts w:eastAsia="Times New Roman"/>
          <w:b/>
          <w:lang w:eastAsia="ko-KR"/>
        </w:rPr>
        <w:t xml:space="preserve">SAR management for Power Class 2 FDD+TDD inter-band EN-DC. </w:t>
      </w: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41C69755" w14:textId="77777777" w:rsidR="00241958" w:rsidRPr="00241958" w:rsidRDefault="00241958" w:rsidP="00241958">
      <w:pPr>
        <w:rPr>
          <w:rFonts w:eastAsia="Times New Roman"/>
          <w:b/>
          <w:lang w:eastAsia="ko-KR"/>
        </w:rPr>
      </w:pPr>
      <w:r w:rsidRPr="00241958">
        <w:rPr>
          <w:rFonts w:eastAsia="Times New Roman"/>
          <w:b/>
          <w:lang w:eastAsia="ko-KR"/>
        </w:rPr>
        <w:t xml:space="preserve">Proposal 1: RAN4 should keep the option open for UE Based SAR management for Power Class 2 FDD+TDD inter-band EN-DC. </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013A93E8" w14:textId="51027A88" w:rsidR="004B0133" w:rsidRDefault="005C3014" w:rsidP="00D76FF5">
      <w:pPr>
        <w:numPr>
          <w:ilvl w:val="0"/>
          <w:numId w:val="9"/>
        </w:numPr>
        <w:rPr>
          <w:rFonts w:eastAsia="Times New Roman"/>
          <w:lang w:val="en-US"/>
        </w:rPr>
      </w:pPr>
      <w:r w:rsidRPr="005C3014">
        <w:rPr>
          <w:rFonts w:eastAsia="Times New Roman"/>
          <w:lang w:val="en-US"/>
        </w:rPr>
        <w:t>R4-2001326</w:t>
      </w:r>
      <w:r>
        <w:rPr>
          <w:rFonts w:eastAsia="Times New Roman"/>
          <w:lang w:val="en-US"/>
        </w:rPr>
        <w:t xml:space="preserve">, </w:t>
      </w:r>
      <w:r w:rsidR="00642284" w:rsidRPr="00642284">
        <w:rPr>
          <w:rFonts w:eastAsia="Times New Roman"/>
          <w:lang w:val="en-US"/>
        </w:rPr>
        <w:t>“Specification of EN-DC Power Class 2 for FDD-TDD band combinations,</w:t>
      </w:r>
      <w:r w:rsidR="00642284">
        <w:rPr>
          <w:rFonts w:eastAsia="Times New Roman"/>
          <w:lang w:val="en-US"/>
        </w:rPr>
        <w:t>”</w:t>
      </w:r>
      <w:r w:rsidR="00642284" w:rsidRPr="00642284">
        <w:rPr>
          <w:rFonts w:eastAsia="Times New Roman"/>
          <w:lang w:val="en-US"/>
        </w:rPr>
        <w:t xml:space="preserve"> Ericsson</w:t>
      </w:r>
    </w:p>
    <w:p w14:paraId="67238BBF" w14:textId="1412BDD8" w:rsidR="00642284" w:rsidRPr="004B0133" w:rsidRDefault="009270C6" w:rsidP="00D76FF5">
      <w:pPr>
        <w:numPr>
          <w:ilvl w:val="0"/>
          <w:numId w:val="9"/>
        </w:numPr>
        <w:rPr>
          <w:rFonts w:eastAsia="Times New Roman"/>
          <w:lang w:val="en-US"/>
        </w:rPr>
      </w:pPr>
      <w:r w:rsidRPr="009270C6">
        <w:rPr>
          <w:rFonts w:eastAsia="Times New Roman"/>
          <w:lang w:val="en-US"/>
        </w:rPr>
        <w:t>R4-2003878</w:t>
      </w:r>
      <w:r>
        <w:rPr>
          <w:rFonts w:eastAsia="Times New Roman"/>
          <w:lang w:val="en-US"/>
        </w:rPr>
        <w:t xml:space="preserve">, </w:t>
      </w:r>
      <w:r w:rsidR="00D00A5C">
        <w:rPr>
          <w:rFonts w:eastAsia="Times New Roman"/>
          <w:lang w:val="en-US"/>
        </w:rPr>
        <w:t>“</w:t>
      </w:r>
      <w:r w:rsidR="00D00A5C" w:rsidRPr="00D00A5C">
        <w:rPr>
          <w:rFonts w:eastAsia="Times New Roman"/>
          <w:lang w:val="en-US"/>
        </w:rPr>
        <w:t>EN-DC Power Class 2 for FDD-TDD band combinations with and without tight CG coordination</w:t>
      </w:r>
      <w:r w:rsidR="00D00A5C">
        <w:rPr>
          <w:rFonts w:eastAsia="Times New Roman"/>
          <w:lang w:val="en-US"/>
        </w:rPr>
        <w:t>,” Ericsson</w:t>
      </w:r>
    </w:p>
    <w:bookmarkEnd w:id="2"/>
    <w:bookmarkEnd w:id="3"/>
    <w:p w14:paraId="33C49C94" w14:textId="2CC62069"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8F374" w14:textId="77777777" w:rsidR="009F271B" w:rsidRDefault="009F271B">
      <w:r>
        <w:separator/>
      </w:r>
    </w:p>
  </w:endnote>
  <w:endnote w:type="continuationSeparator" w:id="0">
    <w:p w14:paraId="3BC9581A" w14:textId="77777777" w:rsidR="009F271B" w:rsidRDefault="009F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43E0F" w14:textId="77777777" w:rsidR="009F271B" w:rsidRDefault="009F271B">
      <w:r>
        <w:separator/>
      </w:r>
    </w:p>
  </w:footnote>
  <w:footnote w:type="continuationSeparator" w:id="0">
    <w:p w14:paraId="166EE5AA" w14:textId="77777777" w:rsidR="009F271B" w:rsidRDefault="009F2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812175E"/>
    <w:multiLevelType w:val="hybridMultilevel"/>
    <w:tmpl w:val="54E0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9"/>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3"/>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24BB8"/>
    <w:rsid w:val="0003171D"/>
    <w:rsid w:val="00031C1D"/>
    <w:rsid w:val="00050001"/>
    <w:rsid w:val="00051009"/>
    <w:rsid w:val="00052041"/>
    <w:rsid w:val="0005326A"/>
    <w:rsid w:val="00056AA8"/>
    <w:rsid w:val="00060B11"/>
    <w:rsid w:val="0006113C"/>
    <w:rsid w:val="00065506"/>
    <w:rsid w:val="00070BB0"/>
    <w:rsid w:val="0007382E"/>
    <w:rsid w:val="000766E1"/>
    <w:rsid w:val="00077FF6"/>
    <w:rsid w:val="00080D82"/>
    <w:rsid w:val="00081692"/>
    <w:rsid w:val="00087548"/>
    <w:rsid w:val="00093277"/>
    <w:rsid w:val="00093E7E"/>
    <w:rsid w:val="000A048C"/>
    <w:rsid w:val="000A1830"/>
    <w:rsid w:val="000A4121"/>
    <w:rsid w:val="000A461E"/>
    <w:rsid w:val="000A4AA3"/>
    <w:rsid w:val="000A550E"/>
    <w:rsid w:val="000B1A55"/>
    <w:rsid w:val="000B20BB"/>
    <w:rsid w:val="000B2EF6"/>
    <w:rsid w:val="000B61B3"/>
    <w:rsid w:val="000C38C3"/>
    <w:rsid w:val="000C64DA"/>
    <w:rsid w:val="000D44FB"/>
    <w:rsid w:val="000D6CFC"/>
    <w:rsid w:val="000E537B"/>
    <w:rsid w:val="000E5E53"/>
    <w:rsid w:val="000E7858"/>
    <w:rsid w:val="000E7959"/>
    <w:rsid w:val="001076ED"/>
    <w:rsid w:val="00110E26"/>
    <w:rsid w:val="00113D68"/>
    <w:rsid w:val="00117BD6"/>
    <w:rsid w:val="00121978"/>
    <w:rsid w:val="00123422"/>
    <w:rsid w:val="00124B6A"/>
    <w:rsid w:val="001302E9"/>
    <w:rsid w:val="00133B95"/>
    <w:rsid w:val="00144F96"/>
    <w:rsid w:val="00151EAC"/>
    <w:rsid w:val="00153528"/>
    <w:rsid w:val="00154E68"/>
    <w:rsid w:val="00156BBF"/>
    <w:rsid w:val="00162548"/>
    <w:rsid w:val="001751AB"/>
    <w:rsid w:val="00175A3F"/>
    <w:rsid w:val="00183F6D"/>
    <w:rsid w:val="0018670E"/>
    <w:rsid w:val="00187481"/>
    <w:rsid w:val="001A08AA"/>
    <w:rsid w:val="001B21BE"/>
    <w:rsid w:val="001B3CEC"/>
    <w:rsid w:val="001C1409"/>
    <w:rsid w:val="001C3CC7"/>
    <w:rsid w:val="001C6177"/>
    <w:rsid w:val="001D7D94"/>
    <w:rsid w:val="001E4218"/>
    <w:rsid w:val="001E503A"/>
    <w:rsid w:val="001F0B20"/>
    <w:rsid w:val="001F7B72"/>
    <w:rsid w:val="00200A62"/>
    <w:rsid w:val="00212099"/>
    <w:rsid w:val="002138EA"/>
    <w:rsid w:val="00213F84"/>
    <w:rsid w:val="00214FBD"/>
    <w:rsid w:val="002162DF"/>
    <w:rsid w:val="00221B82"/>
    <w:rsid w:val="00222897"/>
    <w:rsid w:val="00222B0C"/>
    <w:rsid w:val="00224235"/>
    <w:rsid w:val="00231078"/>
    <w:rsid w:val="00233D8E"/>
    <w:rsid w:val="00235394"/>
    <w:rsid w:val="00235577"/>
    <w:rsid w:val="00241958"/>
    <w:rsid w:val="00242538"/>
    <w:rsid w:val="002435CA"/>
    <w:rsid w:val="002450A5"/>
    <w:rsid w:val="0025197E"/>
    <w:rsid w:val="00253CD8"/>
    <w:rsid w:val="00255C58"/>
    <w:rsid w:val="00260EC7"/>
    <w:rsid w:val="0026179F"/>
    <w:rsid w:val="00267922"/>
    <w:rsid w:val="00270DB8"/>
    <w:rsid w:val="00272FB3"/>
    <w:rsid w:val="00274E1A"/>
    <w:rsid w:val="00275923"/>
    <w:rsid w:val="002775B1"/>
    <w:rsid w:val="00281E2D"/>
    <w:rsid w:val="00282213"/>
    <w:rsid w:val="00284016"/>
    <w:rsid w:val="002858BF"/>
    <w:rsid w:val="00291CCF"/>
    <w:rsid w:val="002939AF"/>
    <w:rsid w:val="00294491"/>
    <w:rsid w:val="002A4CD0"/>
    <w:rsid w:val="002A7DA6"/>
    <w:rsid w:val="002B65C5"/>
    <w:rsid w:val="002C4B52"/>
    <w:rsid w:val="002C4BBD"/>
    <w:rsid w:val="002C598B"/>
    <w:rsid w:val="002D03E5"/>
    <w:rsid w:val="002D1950"/>
    <w:rsid w:val="002E2CE9"/>
    <w:rsid w:val="002E3BF7"/>
    <w:rsid w:val="002F158C"/>
    <w:rsid w:val="002F3DED"/>
    <w:rsid w:val="002F4093"/>
    <w:rsid w:val="002F4457"/>
    <w:rsid w:val="003022A5"/>
    <w:rsid w:val="00315867"/>
    <w:rsid w:val="0031669B"/>
    <w:rsid w:val="00330EB3"/>
    <w:rsid w:val="00341B58"/>
    <w:rsid w:val="00346A06"/>
    <w:rsid w:val="0035660F"/>
    <w:rsid w:val="003628B9"/>
    <w:rsid w:val="00362D8F"/>
    <w:rsid w:val="003648F6"/>
    <w:rsid w:val="00366D3D"/>
    <w:rsid w:val="00367724"/>
    <w:rsid w:val="003770F6"/>
    <w:rsid w:val="00381355"/>
    <w:rsid w:val="00384256"/>
    <w:rsid w:val="00393042"/>
    <w:rsid w:val="003934B9"/>
    <w:rsid w:val="003936A3"/>
    <w:rsid w:val="00394AD5"/>
    <w:rsid w:val="0039642D"/>
    <w:rsid w:val="003A2E40"/>
    <w:rsid w:val="003A2FDB"/>
    <w:rsid w:val="003A337F"/>
    <w:rsid w:val="003B1E20"/>
    <w:rsid w:val="003B266A"/>
    <w:rsid w:val="003B4AA5"/>
    <w:rsid w:val="003B66BD"/>
    <w:rsid w:val="003B755E"/>
    <w:rsid w:val="003C228E"/>
    <w:rsid w:val="003C51E7"/>
    <w:rsid w:val="003C68F7"/>
    <w:rsid w:val="003D1EFD"/>
    <w:rsid w:val="003D4215"/>
    <w:rsid w:val="003E1335"/>
    <w:rsid w:val="003F1C1B"/>
    <w:rsid w:val="00401144"/>
    <w:rsid w:val="00410314"/>
    <w:rsid w:val="00412063"/>
    <w:rsid w:val="00412EB1"/>
    <w:rsid w:val="00414118"/>
    <w:rsid w:val="00416084"/>
    <w:rsid w:val="00421218"/>
    <w:rsid w:val="00424294"/>
    <w:rsid w:val="00424F8C"/>
    <w:rsid w:val="0042655E"/>
    <w:rsid w:val="004271BA"/>
    <w:rsid w:val="00427A93"/>
    <w:rsid w:val="00434DC1"/>
    <w:rsid w:val="00450F27"/>
    <w:rsid w:val="00460591"/>
    <w:rsid w:val="00461E39"/>
    <w:rsid w:val="0046271F"/>
    <w:rsid w:val="004630F0"/>
    <w:rsid w:val="0046509B"/>
    <w:rsid w:val="0047437A"/>
    <w:rsid w:val="004815E7"/>
    <w:rsid w:val="0048543E"/>
    <w:rsid w:val="004868C1"/>
    <w:rsid w:val="0048750F"/>
    <w:rsid w:val="00491C28"/>
    <w:rsid w:val="004A495F"/>
    <w:rsid w:val="004B0133"/>
    <w:rsid w:val="004B1113"/>
    <w:rsid w:val="004B55E9"/>
    <w:rsid w:val="004B6B0F"/>
    <w:rsid w:val="004E2659"/>
    <w:rsid w:val="004E39EE"/>
    <w:rsid w:val="004E461A"/>
    <w:rsid w:val="004E56E0"/>
    <w:rsid w:val="004F2185"/>
    <w:rsid w:val="005017F7"/>
    <w:rsid w:val="0050264E"/>
    <w:rsid w:val="00505BFA"/>
    <w:rsid w:val="005062D4"/>
    <w:rsid w:val="005071B4"/>
    <w:rsid w:val="00507E25"/>
    <w:rsid w:val="00510293"/>
    <w:rsid w:val="005117A9"/>
    <w:rsid w:val="00511F57"/>
    <w:rsid w:val="00514C19"/>
    <w:rsid w:val="00515CBE"/>
    <w:rsid w:val="00522A7E"/>
    <w:rsid w:val="00522F20"/>
    <w:rsid w:val="00530A2E"/>
    <w:rsid w:val="00530FBE"/>
    <w:rsid w:val="00534B6F"/>
    <w:rsid w:val="00534C89"/>
    <w:rsid w:val="00541573"/>
    <w:rsid w:val="0054348A"/>
    <w:rsid w:val="00544C81"/>
    <w:rsid w:val="00550F6B"/>
    <w:rsid w:val="00571450"/>
    <w:rsid w:val="00574D53"/>
    <w:rsid w:val="00590E93"/>
    <w:rsid w:val="005A02B1"/>
    <w:rsid w:val="005A2E01"/>
    <w:rsid w:val="005B04A1"/>
    <w:rsid w:val="005B1036"/>
    <w:rsid w:val="005B422C"/>
    <w:rsid w:val="005B679A"/>
    <w:rsid w:val="005C1EA6"/>
    <w:rsid w:val="005C3014"/>
    <w:rsid w:val="005C7E9A"/>
    <w:rsid w:val="005D0005"/>
    <w:rsid w:val="005D7B27"/>
    <w:rsid w:val="005E010F"/>
    <w:rsid w:val="005E37FD"/>
    <w:rsid w:val="005E753C"/>
    <w:rsid w:val="005F6BC3"/>
    <w:rsid w:val="006016E1"/>
    <w:rsid w:val="006129AB"/>
    <w:rsid w:val="00613C5C"/>
    <w:rsid w:val="00616096"/>
    <w:rsid w:val="006160A2"/>
    <w:rsid w:val="006302AA"/>
    <w:rsid w:val="006363BD"/>
    <w:rsid w:val="0063652F"/>
    <w:rsid w:val="00640300"/>
    <w:rsid w:val="006412DC"/>
    <w:rsid w:val="00642284"/>
    <w:rsid w:val="00644790"/>
    <w:rsid w:val="00645ECE"/>
    <w:rsid w:val="006501AF"/>
    <w:rsid w:val="00650DDE"/>
    <w:rsid w:val="00657B4B"/>
    <w:rsid w:val="00666089"/>
    <w:rsid w:val="006666E8"/>
    <w:rsid w:val="00666B88"/>
    <w:rsid w:val="00672307"/>
    <w:rsid w:val="00672443"/>
    <w:rsid w:val="006808C6"/>
    <w:rsid w:val="00690517"/>
    <w:rsid w:val="006908FC"/>
    <w:rsid w:val="00692FF0"/>
    <w:rsid w:val="00695D85"/>
    <w:rsid w:val="006A182D"/>
    <w:rsid w:val="006A6D23"/>
    <w:rsid w:val="006A7991"/>
    <w:rsid w:val="006C0070"/>
    <w:rsid w:val="006C0A38"/>
    <w:rsid w:val="006C1C3B"/>
    <w:rsid w:val="006C4E43"/>
    <w:rsid w:val="006C643E"/>
    <w:rsid w:val="006C7FE0"/>
    <w:rsid w:val="006E0A73"/>
    <w:rsid w:val="006E0FEE"/>
    <w:rsid w:val="006E49F2"/>
    <w:rsid w:val="006E6C11"/>
    <w:rsid w:val="006F0684"/>
    <w:rsid w:val="006F7C0C"/>
    <w:rsid w:val="00700755"/>
    <w:rsid w:val="00700B75"/>
    <w:rsid w:val="0070646B"/>
    <w:rsid w:val="007130A2"/>
    <w:rsid w:val="00721200"/>
    <w:rsid w:val="007275AA"/>
    <w:rsid w:val="00730655"/>
    <w:rsid w:val="00730EEC"/>
    <w:rsid w:val="00731D77"/>
    <w:rsid w:val="00731D82"/>
    <w:rsid w:val="00732360"/>
    <w:rsid w:val="0073267C"/>
    <w:rsid w:val="007337CE"/>
    <w:rsid w:val="00736B37"/>
    <w:rsid w:val="00737955"/>
    <w:rsid w:val="00737D1D"/>
    <w:rsid w:val="00743D19"/>
    <w:rsid w:val="0074521E"/>
    <w:rsid w:val="00745AB1"/>
    <w:rsid w:val="007520B4"/>
    <w:rsid w:val="00756A59"/>
    <w:rsid w:val="00767DF7"/>
    <w:rsid w:val="007763C1"/>
    <w:rsid w:val="00777E82"/>
    <w:rsid w:val="00781412"/>
    <w:rsid w:val="007931D3"/>
    <w:rsid w:val="00796563"/>
    <w:rsid w:val="007A02E9"/>
    <w:rsid w:val="007A79FD"/>
    <w:rsid w:val="007B0B9D"/>
    <w:rsid w:val="007B0BBE"/>
    <w:rsid w:val="007B5A43"/>
    <w:rsid w:val="007B69CD"/>
    <w:rsid w:val="007B709B"/>
    <w:rsid w:val="007B78F5"/>
    <w:rsid w:val="007C1343"/>
    <w:rsid w:val="007C184B"/>
    <w:rsid w:val="007C30B2"/>
    <w:rsid w:val="007C5EF1"/>
    <w:rsid w:val="007D2277"/>
    <w:rsid w:val="007D39AB"/>
    <w:rsid w:val="007D6750"/>
    <w:rsid w:val="007D75E5"/>
    <w:rsid w:val="007D773E"/>
    <w:rsid w:val="007E066E"/>
    <w:rsid w:val="007E1356"/>
    <w:rsid w:val="007E20FC"/>
    <w:rsid w:val="007E6FD9"/>
    <w:rsid w:val="007F0E1E"/>
    <w:rsid w:val="007F29A7"/>
    <w:rsid w:val="008049E2"/>
    <w:rsid w:val="00816078"/>
    <w:rsid w:val="00820933"/>
    <w:rsid w:val="00823AA9"/>
    <w:rsid w:val="00827324"/>
    <w:rsid w:val="00835E80"/>
    <w:rsid w:val="0085066B"/>
    <w:rsid w:val="00850C75"/>
    <w:rsid w:val="00850E39"/>
    <w:rsid w:val="00855173"/>
    <w:rsid w:val="008557D9"/>
    <w:rsid w:val="008655EB"/>
    <w:rsid w:val="00865BFE"/>
    <w:rsid w:val="00874C16"/>
    <w:rsid w:val="00886D1F"/>
    <w:rsid w:val="00891EE1"/>
    <w:rsid w:val="00893987"/>
    <w:rsid w:val="00893A6D"/>
    <w:rsid w:val="008978DB"/>
    <w:rsid w:val="008A34A9"/>
    <w:rsid w:val="008B125F"/>
    <w:rsid w:val="008B502C"/>
    <w:rsid w:val="008B5AE7"/>
    <w:rsid w:val="008C1DD6"/>
    <w:rsid w:val="008C60E9"/>
    <w:rsid w:val="008D1B7C"/>
    <w:rsid w:val="008D6657"/>
    <w:rsid w:val="008D7911"/>
    <w:rsid w:val="008E1F60"/>
    <w:rsid w:val="008F4A98"/>
    <w:rsid w:val="008F5A73"/>
    <w:rsid w:val="008F6056"/>
    <w:rsid w:val="00902C07"/>
    <w:rsid w:val="0090490F"/>
    <w:rsid w:val="00905804"/>
    <w:rsid w:val="009101E2"/>
    <w:rsid w:val="00914C86"/>
    <w:rsid w:val="00916077"/>
    <w:rsid w:val="00916F18"/>
    <w:rsid w:val="009170A2"/>
    <w:rsid w:val="009200B6"/>
    <w:rsid w:val="009208A6"/>
    <w:rsid w:val="00924514"/>
    <w:rsid w:val="00924605"/>
    <w:rsid w:val="009270C6"/>
    <w:rsid w:val="00927316"/>
    <w:rsid w:val="00931C83"/>
    <w:rsid w:val="00937065"/>
    <w:rsid w:val="00940285"/>
    <w:rsid w:val="00950F4E"/>
    <w:rsid w:val="0095139A"/>
    <w:rsid w:val="009521A8"/>
    <w:rsid w:val="00953E16"/>
    <w:rsid w:val="009542AC"/>
    <w:rsid w:val="00957FCD"/>
    <w:rsid w:val="009623B5"/>
    <w:rsid w:val="009638D6"/>
    <w:rsid w:val="00967739"/>
    <w:rsid w:val="00974BB2"/>
    <w:rsid w:val="00974FA7"/>
    <w:rsid w:val="009756E5"/>
    <w:rsid w:val="00977A8C"/>
    <w:rsid w:val="00983910"/>
    <w:rsid w:val="0098641C"/>
    <w:rsid w:val="009A557E"/>
    <w:rsid w:val="009A68E6"/>
    <w:rsid w:val="009A69FF"/>
    <w:rsid w:val="009B0FB1"/>
    <w:rsid w:val="009B3D20"/>
    <w:rsid w:val="009C0727"/>
    <w:rsid w:val="009D0FD4"/>
    <w:rsid w:val="009D3385"/>
    <w:rsid w:val="009E16A9"/>
    <w:rsid w:val="009E375F"/>
    <w:rsid w:val="009E5401"/>
    <w:rsid w:val="009F271B"/>
    <w:rsid w:val="00A010CB"/>
    <w:rsid w:val="00A0145E"/>
    <w:rsid w:val="00A05626"/>
    <w:rsid w:val="00A1443B"/>
    <w:rsid w:val="00A1570A"/>
    <w:rsid w:val="00A2081D"/>
    <w:rsid w:val="00A211B4"/>
    <w:rsid w:val="00A33C58"/>
    <w:rsid w:val="00A34547"/>
    <w:rsid w:val="00A35AD2"/>
    <w:rsid w:val="00A3624C"/>
    <w:rsid w:val="00A3710B"/>
    <w:rsid w:val="00A40AC7"/>
    <w:rsid w:val="00A41BF5"/>
    <w:rsid w:val="00A454EB"/>
    <w:rsid w:val="00A469E7"/>
    <w:rsid w:val="00A47D9B"/>
    <w:rsid w:val="00A64E8A"/>
    <w:rsid w:val="00A66ADC"/>
    <w:rsid w:val="00A749A9"/>
    <w:rsid w:val="00A81B15"/>
    <w:rsid w:val="00A8404B"/>
    <w:rsid w:val="00A84DC8"/>
    <w:rsid w:val="00A85DBC"/>
    <w:rsid w:val="00A87B49"/>
    <w:rsid w:val="00A9420E"/>
    <w:rsid w:val="00A96531"/>
    <w:rsid w:val="00A97648"/>
    <w:rsid w:val="00AC1334"/>
    <w:rsid w:val="00AC1DD4"/>
    <w:rsid w:val="00AC6D6B"/>
    <w:rsid w:val="00AD7736"/>
    <w:rsid w:val="00AE08FE"/>
    <w:rsid w:val="00AE0BF8"/>
    <w:rsid w:val="00AE3CE4"/>
    <w:rsid w:val="00AE7812"/>
    <w:rsid w:val="00AE7868"/>
    <w:rsid w:val="00AF0407"/>
    <w:rsid w:val="00AF4A18"/>
    <w:rsid w:val="00B163F8"/>
    <w:rsid w:val="00B20498"/>
    <w:rsid w:val="00B2472D"/>
    <w:rsid w:val="00B2549F"/>
    <w:rsid w:val="00B3075B"/>
    <w:rsid w:val="00B57265"/>
    <w:rsid w:val="00B633AE"/>
    <w:rsid w:val="00B665D2"/>
    <w:rsid w:val="00B6737C"/>
    <w:rsid w:val="00B675EA"/>
    <w:rsid w:val="00B7214D"/>
    <w:rsid w:val="00B724AE"/>
    <w:rsid w:val="00B758A7"/>
    <w:rsid w:val="00B8095F"/>
    <w:rsid w:val="00B80B11"/>
    <w:rsid w:val="00B8446C"/>
    <w:rsid w:val="00B87725"/>
    <w:rsid w:val="00B9033C"/>
    <w:rsid w:val="00BA259A"/>
    <w:rsid w:val="00BA29D3"/>
    <w:rsid w:val="00BA307F"/>
    <w:rsid w:val="00BA3DEA"/>
    <w:rsid w:val="00BA5280"/>
    <w:rsid w:val="00BB128E"/>
    <w:rsid w:val="00BB14F1"/>
    <w:rsid w:val="00BB572E"/>
    <w:rsid w:val="00BB74FD"/>
    <w:rsid w:val="00BC5982"/>
    <w:rsid w:val="00BD3B84"/>
    <w:rsid w:val="00BD6404"/>
    <w:rsid w:val="00BD6D9D"/>
    <w:rsid w:val="00BE25A9"/>
    <w:rsid w:val="00BE33AE"/>
    <w:rsid w:val="00BF046F"/>
    <w:rsid w:val="00BF45D0"/>
    <w:rsid w:val="00C00D35"/>
    <w:rsid w:val="00C01D50"/>
    <w:rsid w:val="00C056DC"/>
    <w:rsid w:val="00C15305"/>
    <w:rsid w:val="00C31283"/>
    <w:rsid w:val="00C340E5"/>
    <w:rsid w:val="00C4334A"/>
    <w:rsid w:val="00C43DAB"/>
    <w:rsid w:val="00C454FA"/>
    <w:rsid w:val="00C5219D"/>
    <w:rsid w:val="00C563BE"/>
    <w:rsid w:val="00C5739F"/>
    <w:rsid w:val="00C57CF0"/>
    <w:rsid w:val="00C65891"/>
    <w:rsid w:val="00C724D3"/>
    <w:rsid w:val="00C77DD9"/>
    <w:rsid w:val="00C85354"/>
    <w:rsid w:val="00C92111"/>
    <w:rsid w:val="00C943F3"/>
    <w:rsid w:val="00C95A67"/>
    <w:rsid w:val="00CA0928"/>
    <w:rsid w:val="00CA2729"/>
    <w:rsid w:val="00CA3057"/>
    <w:rsid w:val="00CB4946"/>
    <w:rsid w:val="00CB74C2"/>
    <w:rsid w:val="00CC25B4"/>
    <w:rsid w:val="00CC69C8"/>
    <w:rsid w:val="00CC77A2"/>
    <w:rsid w:val="00CD6A1B"/>
    <w:rsid w:val="00CD72C0"/>
    <w:rsid w:val="00CE0A7F"/>
    <w:rsid w:val="00CE1718"/>
    <w:rsid w:val="00CE3A65"/>
    <w:rsid w:val="00CF4156"/>
    <w:rsid w:val="00D00A5C"/>
    <w:rsid w:val="00D03D00"/>
    <w:rsid w:val="00D11359"/>
    <w:rsid w:val="00D3188C"/>
    <w:rsid w:val="00D353CA"/>
    <w:rsid w:val="00D35F9B"/>
    <w:rsid w:val="00D408DD"/>
    <w:rsid w:val="00D436B2"/>
    <w:rsid w:val="00D45D72"/>
    <w:rsid w:val="00D52056"/>
    <w:rsid w:val="00D520E4"/>
    <w:rsid w:val="00D54FAF"/>
    <w:rsid w:val="00D57DFA"/>
    <w:rsid w:val="00D60E60"/>
    <w:rsid w:val="00D709CE"/>
    <w:rsid w:val="00D71F73"/>
    <w:rsid w:val="00D76FF5"/>
    <w:rsid w:val="00D81CAB"/>
    <w:rsid w:val="00D8576F"/>
    <w:rsid w:val="00D97F0C"/>
    <w:rsid w:val="00DA2824"/>
    <w:rsid w:val="00DA3A86"/>
    <w:rsid w:val="00DB03C0"/>
    <w:rsid w:val="00DC513C"/>
    <w:rsid w:val="00DC77DC"/>
    <w:rsid w:val="00DD0C2C"/>
    <w:rsid w:val="00DE3D1C"/>
    <w:rsid w:val="00DF5C25"/>
    <w:rsid w:val="00DF78FA"/>
    <w:rsid w:val="00E155D4"/>
    <w:rsid w:val="00E1713D"/>
    <w:rsid w:val="00E20A43"/>
    <w:rsid w:val="00E21D33"/>
    <w:rsid w:val="00E23898"/>
    <w:rsid w:val="00E2537C"/>
    <w:rsid w:val="00E2792A"/>
    <w:rsid w:val="00E27DC7"/>
    <w:rsid w:val="00E33CD2"/>
    <w:rsid w:val="00E40E90"/>
    <w:rsid w:val="00E523E3"/>
    <w:rsid w:val="00E531BF"/>
    <w:rsid w:val="00E531EB"/>
    <w:rsid w:val="00E54874"/>
    <w:rsid w:val="00E54B6F"/>
    <w:rsid w:val="00E55ACA"/>
    <w:rsid w:val="00E5622C"/>
    <w:rsid w:val="00E57B74"/>
    <w:rsid w:val="00E661FF"/>
    <w:rsid w:val="00E80657"/>
    <w:rsid w:val="00E80E6A"/>
    <w:rsid w:val="00E824C3"/>
    <w:rsid w:val="00E840B3"/>
    <w:rsid w:val="00E8629F"/>
    <w:rsid w:val="00EA1111"/>
    <w:rsid w:val="00EA3B4F"/>
    <w:rsid w:val="00EA3C24"/>
    <w:rsid w:val="00EA73DF"/>
    <w:rsid w:val="00EB5374"/>
    <w:rsid w:val="00EB61AE"/>
    <w:rsid w:val="00EB7304"/>
    <w:rsid w:val="00EC044E"/>
    <w:rsid w:val="00EC5F39"/>
    <w:rsid w:val="00EF2BAF"/>
    <w:rsid w:val="00F0156F"/>
    <w:rsid w:val="00F05AC8"/>
    <w:rsid w:val="00F06D02"/>
    <w:rsid w:val="00F07167"/>
    <w:rsid w:val="00F072D8"/>
    <w:rsid w:val="00F13136"/>
    <w:rsid w:val="00F13D05"/>
    <w:rsid w:val="00F1679D"/>
    <w:rsid w:val="00F1682C"/>
    <w:rsid w:val="00F24B8B"/>
    <w:rsid w:val="00F30D2E"/>
    <w:rsid w:val="00F31A2E"/>
    <w:rsid w:val="00F35790"/>
    <w:rsid w:val="00F4087F"/>
    <w:rsid w:val="00F4136D"/>
    <w:rsid w:val="00F4212E"/>
    <w:rsid w:val="00F42C20"/>
    <w:rsid w:val="00F43E34"/>
    <w:rsid w:val="00F44F67"/>
    <w:rsid w:val="00F519DD"/>
    <w:rsid w:val="00F56068"/>
    <w:rsid w:val="00F6145B"/>
    <w:rsid w:val="00F65582"/>
    <w:rsid w:val="00F66E75"/>
    <w:rsid w:val="00F77EB0"/>
    <w:rsid w:val="00F87CDD"/>
    <w:rsid w:val="00F933F0"/>
    <w:rsid w:val="00F94715"/>
    <w:rsid w:val="00F9477C"/>
    <w:rsid w:val="00FA4718"/>
    <w:rsid w:val="00FA7F3D"/>
    <w:rsid w:val="00FB0377"/>
    <w:rsid w:val="00FC051F"/>
    <w:rsid w:val="00FC101B"/>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A754-05C5-4DB7-BEA2-B6835BDBB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B8E6ED-9B3E-46B5-9966-8618E6C4903F}">
  <ds:schemaRefs>
    <ds:schemaRef ds:uri="http://purl.org/dc/elements/1.1/"/>
    <ds:schemaRef ds:uri="39f302ae-3cba-490f-b808-bc39829e1aca"/>
    <ds:schemaRef ds:uri="http://schemas.microsoft.com/office/infopath/2007/PartnerControls"/>
    <ds:schemaRef ds:uri="http://purl.org/dc/terms/"/>
    <ds:schemaRef ds:uri="c4fa469f-ce49-4478-b78d-20ea4b41f7ac"/>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01B908D-0BB7-4AE2-8290-EDC305658324}">
  <ds:schemaRefs>
    <ds:schemaRef ds:uri="http://schemas.microsoft.com/sharepoint/v3/contenttype/forms"/>
  </ds:schemaRefs>
</ds:datastoreItem>
</file>

<file path=customXml/itemProps4.xml><?xml version="1.0" encoding="utf-8"?>
<ds:datastoreItem xmlns:ds="http://schemas.openxmlformats.org/officeDocument/2006/customXml" ds:itemID="{91D121CD-AC27-480F-8338-710E6B193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757</TotalTime>
  <Pages>3</Pages>
  <Words>1116</Words>
  <Characters>5018</Characters>
  <Application>Microsoft Office Word</Application>
  <DocSecurity>0</DocSecurity>
  <Lines>41</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111</cp:revision>
  <dcterms:created xsi:type="dcterms:W3CDTF">2020-05-13T02:15:00Z</dcterms:created>
  <dcterms:modified xsi:type="dcterms:W3CDTF">2020-05-15T21:33:00Z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