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0B1273E5" w:rsidR="00841BCD" w:rsidRPr="0013167C"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r w:rsidRPr="0013167C">
        <w:rPr>
          <w:rFonts w:ascii="Arial" w:eastAsia="SimSun" w:hAnsi="Arial" w:cs="Arial"/>
          <w:b/>
          <w:bCs/>
          <w:sz w:val="24"/>
          <w:szCs w:val="20"/>
          <w:lang w:val="en-US"/>
        </w:rPr>
        <w:t>3GPP T</w:t>
      </w:r>
      <w:bookmarkStart w:id="2" w:name="_Ref452454252"/>
      <w:bookmarkEnd w:id="2"/>
      <w:r w:rsidRPr="0013167C">
        <w:rPr>
          <w:rFonts w:ascii="Arial" w:eastAsia="SimSun" w:hAnsi="Arial" w:cs="Arial"/>
          <w:b/>
          <w:bCs/>
          <w:sz w:val="24"/>
          <w:szCs w:val="20"/>
          <w:lang w:val="en-US"/>
        </w:rPr>
        <w:t xml:space="preserve">SG-RAN </w:t>
      </w:r>
      <w:r w:rsidR="00ED7600" w:rsidRPr="0013167C">
        <w:rPr>
          <w:rFonts w:ascii="Arial" w:eastAsia="SimSun" w:hAnsi="Arial" w:cs="Arial"/>
          <w:b/>
          <w:sz w:val="24"/>
          <w:szCs w:val="20"/>
          <w:lang w:val="en-US"/>
        </w:rPr>
        <w:t>WG4 Meeting #</w:t>
      </w:r>
      <w:r w:rsidR="00DE7064" w:rsidRPr="0013167C">
        <w:rPr>
          <w:rFonts w:ascii="Arial" w:eastAsia="SimSun" w:hAnsi="Arial" w:cs="Arial"/>
          <w:b/>
          <w:sz w:val="24"/>
          <w:szCs w:val="20"/>
          <w:lang w:val="en-US"/>
        </w:rPr>
        <w:t>1</w:t>
      </w:r>
      <w:r w:rsidR="00381F95" w:rsidRPr="0013167C">
        <w:rPr>
          <w:rFonts w:ascii="Arial" w:eastAsia="SimSun" w:hAnsi="Arial" w:cs="Arial"/>
          <w:b/>
          <w:sz w:val="24"/>
          <w:szCs w:val="20"/>
          <w:lang w:val="en-US"/>
        </w:rPr>
        <w:t>1</w:t>
      </w:r>
      <w:r w:rsidR="007F7AD3">
        <w:rPr>
          <w:rFonts w:ascii="Arial" w:eastAsia="SimSun" w:hAnsi="Arial" w:cs="Arial"/>
          <w:b/>
          <w:sz w:val="24"/>
          <w:szCs w:val="20"/>
          <w:lang w:val="en-US"/>
        </w:rPr>
        <w:t>4</w:t>
      </w:r>
      <w:r w:rsidRPr="0013167C">
        <w:rPr>
          <w:rFonts w:ascii="Arial" w:eastAsia="SimSun" w:hAnsi="Arial" w:cs="Arial"/>
          <w:b/>
          <w:bCs/>
          <w:sz w:val="24"/>
          <w:szCs w:val="20"/>
          <w:lang w:val="en-US"/>
        </w:rPr>
        <w:tab/>
      </w:r>
      <w:r w:rsidR="00DD6DB1" w:rsidRPr="0013167C">
        <w:rPr>
          <w:rFonts w:ascii="Arial" w:eastAsia="SimSun" w:hAnsi="Arial" w:cs="Arial"/>
          <w:b/>
          <w:bCs/>
          <w:sz w:val="24"/>
          <w:szCs w:val="20"/>
          <w:lang w:val="en-US" w:eastAsia="ja-JP"/>
        </w:rPr>
        <w:t>R4-2</w:t>
      </w:r>
      <w:r w:rsidR="003B6140" w:rsidRPr="003B6140">
        <w:rPr>
          <w:rFonts w:ascii="Arial" w:eastAsia="SimSun" w:hAnsi="Arial" w:cs="Arial"/>
          <w:b/>
          <w:bCs/>
          <w:sz w:val="24"/>
          <w:szCs w:val="20"/>
          <w:lang w:val="en-US" w:eastAsia="ja-JP"/>
        </w:rPr>
        <w:t>501694</w:t>
      </w:r>
    </w:p>
    <w:bookmarkEnd w:id="0"/>
    <w:bookmarkEnd w:id="1"/>
    <w:p w14:paraId="22B44634" w14:textId="35CB7B3A" w:rsidR="00B97A6D" w:rsidRPr="0013167C" w:rsidRDefault="007F7AD3" w:rsidP="00B97A6D">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Athens</w:t>
      </w:r>
      <w:r w:rsidR="00B97A6D" w:rsidRPr="0013167C">
        <w:rPr>
          <w:rFonts w:ascii="Arial" w:eastAsia="SimSun" w:hAnsi="Arial" w:cs="Arial"/>
          <w:b/>
          <w:sz w:val="24"/>
          <w:szCs w:val="20"/>
        </w:rPr>
        <w:t xml:space="preserve">, </w:t>
      </w:r>
      <w:r>
        <w:rPr>
          <w:rFonts w:ascii="Arial" w:eastAsia="SimSun" w:hAnsi="Arial" w:cs="Arial"/>
          <w:b/>
          <w:sz w:val="24"/>
          <w:szCs w:val="20"/>
        </w:rPr>
        <w:t>Greece</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Feb</w:t>
      </w:r>
      <w:r w:rsidR="00B97A6D" w:rsidRPr="0013167C">
        <w:rPr>
          <w:rFonts w:ascii="Arial" w:eastAsia="SimSun" w:hAnsi="Arial" w:cs="Arial"/>
          <w:b/>
          <w:sz w:val="24"/>
          <w:szCs w:val="20"/>
          <w:lang w:val="en-US"/>
        </w:rPr>
        <w:t xml:space="preserve"> </w:t>
      </w:r>
      <w:r>
        <w:rPr>
          <w:rFonts w:ascii="Arial" w:eastAsia="SimSun" w:hAnsi="Arial" w:cs="Arial"/>
          <w:b/>
          <w:sz w:val="24"/>
          <w:szCs w:val="20"/>
          <w:lang w:val="en-US"/>
        </w:rPr>
        <w:t>17</w:t>
      </w:r>
      <w:r w:rsidR="00B97A6D" w:rsidRPr="0013167C">
        <w:rPr>
          <w:rFonts w:ascii="Arial" w:eastAsia="SimSun" w:hAnsi="Arial" w:cs="Arial"/>
          <w:b/>
          <w:sz w:val="24"/>
          <w:szCs w:val="20"/>
          <w:lang w:val="en-US"/>
        </w:rPr>
        <w:t xml:space="preserve"> – </w:t>
      </w:r>
      <w:r>
        <w:rPr>
          <w:rFonts w:ascii="Arial" w:eastAsia="SimSun" w:hAnsi="Arial" w:cs="Arial"/>
          <w:b/>
          <w:sz w:val="24"/>
          <w:szCs w:val="20"/>
          <w:lang w:val="en-US"/>
        </w:rPr>
        <w:t>Feb</w:t>
      </w:r>
      <w:r w:rsidR="00B97A6D" w:rsidRPr="0013167C">
        <w:rPr>
          <w:rFonts w:ascii="Arial" w:eastAsia="SimSun" w:hAnsi="Arial" w:cs="Arial"/>
          <w:b/>
          <w:sz w:val="24"/>
          <w:szCs w:val="20"/>
          <w:lang w:val="en-US"/>
        </w:rPr>
        <w:t xml:space="preserve"> 2</w:t>
      </w:r>
      <w:r>
        <w:rPr>
          <w:rFonts w:ascii="Arial" w:eastAsia="SimSun" w:hAnsi="Arial" w:cs="Arial"/>
          <w:b/>
          <w:sz w:val="24"/>
          <w:szCs w:val="20"/>
          <w:lang w:val="en-US"/>
        </w:rPr>
        <w:t>1</w:t>
      </w:r>
      <w:r w:rsidR="00B97A6D" w:rsidRPr="0013167C">
        <w:rPr>
          <w:rFonts w:ascii="Arial" w:eastAsia="SimSun" w:hAnsi="Arial" w:cs="Arial"/>
          <w:b/>
          <w:sz w:val="24"/>
          <w:szCs w:val="20"/>
          <w:lang w:val="en-US"/>
        </w:rPr>
        <w:t>, 202</w:t>
      </w:r>
      <w:r>
        <w:rPr>
          <w:rFonts w:ascii="Arial" w:eastAsia="SimSun" w:hAnsi="Arial" w:cs="Arial"/>
          <w:b/>
          <w:sz w:val="24"/>
          <w:szCs w:val="20"/>
          <w:lang w:val="en-US"/>
        </w:rPr>
        <w:t>5</w:t>
      </w:r>
    </w:p>
    <w:p w14:paraId="10A3C6A0" w14:textId="77777777" w:rsidR="00841BCD" w:rsidRPr="0013167C"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76079215" w14:textId="2F22434E" w:rsidR="00841BCD" w:rsidRPr="0013167C" w:rsidRDefault="00841BCD" w:rsidP="00841BCD">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0D2A78B4" w:rsidR="00841BCD" w:rsidRPr="0013167C" w:rsidRDefault="00841BCD" w:rsidP="007F139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7F139A" w:rsidRPr="00317AC6">
        <w:rPr>
          <w:rFonts w:ascii="Arial" w:eastAsia="Calibri" w:hAnsi="Arial" w:cs="Arial" w:hint="eastAsia"/>
          <w:b/>
          <w:bCs/>
          <w:sz w:val="24"/>
          <w:lang w:val="en-US"/>
        </w:rPr>
        <w:t>S</w:t>
      </w:r>
      <w:r w:rsidR="007F139A" w:rsidRPr="00317AC6">
        <w:rPr>
          <w:rFonts w:ascii="Arial" w:eastAsia="Calibri" w:hAnsi="Arial" w:cs="Arial"/>
          <w:b/>
          <w:bCs/>
          <w:sz w:val="24"/>
          <w:lang w:val="en-US"/>
        </w:rPr>
        <w:t>tudy of impacts on RAN4 requirements</w:t>
      </w:r>
      <w:r w:rsidR="009A771E">
        <w:rPr>
          <w:rFonts w:ascii="Arial" w:eastAsia="Calibri" w:hAnsi="Arial" w:cs="Arial"/>
          <w:b/>
          <w:bCs/>
          <w:sz w:val="24"/>
          <w:lang w:val="en-US"/>
        </w:rPr>
        <w:t xml:space="preserve"> </w:t>
      </w:r>
      <w:r w:rsidR="009A771E" w:rsidRPr="009A771E">
        <w:rPr>
          <w:rFonts w:ascii="Arial" w:eastAsia="Calibri" w:hAnsi="Arial" w:cs="Arial"/>
          <w:b/>
          <w:bCs/>
          <w:sz w:val="24"/>
          <w:lang w:val="en-US"/>
        </w:rPr>
        <w:t>for AIML Mobility in NR</w:t>
      </w:r>
    </w:p>
    <w:p w14:paraId="04A5E2C1" w14:textId="008747C6" w:rsidR="00841BCD" w:rsidRPr="0013167C" w:rsidRDefault="00841BCD" w:rsidP="00841BCD">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B97A6D" w:rsidRPr="0013167C">
        <w:rPr>
          <w:rFonts w:ascii="Arial" w:eastAsia="MS Mincho" w:hAnsi="Arial" w:cs="Arial"/>
          <w:b/>
          <w:bCs/>
          <w:sz w:val="24"/>
          <w:szCs w:val="20"/>
          <w:lang w:val="en-US"/>
        </w:rPr>
        <w:t>7</w:t>
      </w:r>
      <w:r w:rsidR="00C164A7" w:rsidRPr="0013167C">
        <w:rPr>
          <w:rFonts w:ascii="Arial" w:eastAsia="MS Mincho" w:hAnsi="Arial" w:cs="Arial"/>
          <w:b/>
          <w:bCs/>
          <w:sz w:val="24"/>
          <w:szCs w:val="20"/>
          <w:lang w:val="en-US"/>
        </w:rPr>
        <w:t>.</w:t>
      </w:r>
      <w:r w:rsidR="0058077F">
        <w:rPr>
          <w:rFonts w:ascii="Arial" w:eastAsia="MS Mincho" w:hAnsi="Arial" w:cs="Arial"/>
          <w:b/>
          <w:bCs/>
          <w:sz w:val="24"/>
          <w:szCs w:val="20"/>
          <w:lang w:val="en-US"/>
        </w:rPr>
        <w:t>21</w:t>
      </w:r>
      <w:r w:rsidR="007F7AD3">
        <w:rPr>
          <w:rFonts w:ascii="Arial" w:eastAsia="MS Mincho" w:hAnsi="Arial" w:cs="Arial"/>
          <w:b/>
          <w:bCs/>
          <w:sz w:val="24"/>
          <w:szCs w:val="20"/>
          <w:lang w:val="en-US"/>
        </w:rPr>
        <w:t>.</w:t>
      </w:r>
      <w:r w:rsidR="0058077F">
        <w:rPr>
          <w:rFonts w:ascii="Arial" w:eastAsia="MS Mincho" w:hAnsi="Arial" w:cs="Arial"/>
          <w:b/>
          <w:bCs/>
          <w:sz w:val="24"/>
          <w:szCs w:val="20"/>
          <w:lang w:val="en-US"/>
        </w:rPr>
        <w:t>2</w:t>
      </w:r>
    </w:p>
    <w:p w14:paraId="61342077" w14:textId="11172029" w:rsidR="00DD6DB1" w:rsidRPr="0013167C" w:rsidRDefault="00841BCD" w:rsidP="00841BCD">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48935550" w14:textId="28B72ADC" w:rsidR="004D2D88" w:rsidRPr="0013167C" w:rsidRDefault="00841BCD" w:rsidP="004D2D88">
      <w:pPr>
        <w:pStyle w:val="RAN4H1"/>
        <w:rPr>
          <w:rFonts w:cs="Arial"/>
          <w:sz w:val="32"/>
          <w:szCs w:val="18"/>
          <w:lang w:val="en-US"/>
        </w:rPr>
      </w:pPr>
      <w:bookmarkStart w:id="3" w:name="_Toc116995841"/>
      <w:bookmarkStart w:id="4" w:name="_Ref176878965"/>
      <w:bookmarkStart w:id="5" w:name="_Ref176878967"/>
      <w:bookmarkStart w:id="6" w:name="_Ref176878968"/>
      <w:bookmarkStart w:id="7" w:name="_Ref176878971"/>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3"/>
      <w:bookmarkEnd w:id="4"/>
      <w:bookmarkEnd w:id="5"/>
      <w:bookmarkEnd w:id="6"/>
      <w:bookmarkEnd w:id="7"/>
      <w:r w:rsidR="00E326B1" w:rsidRPr="0013167C">
        <w:rPr>
          <w:rFonts w:cs="Arial"/>
          <w:sz w:val="32"/>
          <w:szCs w:val="18"/>
          <w:lang w:val="en-US"/>
        </w:rPr>
        <w:t xml:space="preserve"> </w:t>
      </w:r>
    </w:p>
    <w:p w14:paraId="6FC0BAF1" w14:textId="758D8D9A" w:rsidR="004D2D88" w:rsidRPr="00DD6DB1" w:rsidRDefault="004D2D88" w:rsidP="00A80B86">
      <w:pPr>
        <w:jc w:val="both"/>
        <w:rPr>
          <w:sz w:val="22"/>
          <w:szCs w:val="24"/>
        </w:rPr>
      </w:pPr>
      <w:r w:rsidRPr="00DD6DB1">
        <w:rPr>
          <w:sz w:val="22"/>
          <w:szCs w:val="24"/>
        </w:rPr>
        <w:t xml:space="preserve">The discussions on AI/ML </w:t>
      </w:r>
      <w:r w:rsidR="00917AD7">
        <w:rPr>
          <w:sz w:val="22"/>
          <w:szCs w:val="24"/>
        </w:rPr>
        <w:t xml:space="preserve">mobility in NR </w:t>
      </w:r>
      <w:r w:rsidRPr="00DD6DB1">
        <w:rPr>
          <w:sz w:val="22"/>
          <w:szCs w:val="24"/>
        </w:rPr>
        <w:t>were continued in RAN4#11</w:t>
      </w:r>
      <w:r w:rsidR="007F7AD3">
        <w:rPr>
          <w:sz w:val="22"/>
          <w:szCs w:val="24"/>
        </w:rPr>
        <w:t>3</w:t>
      </w:r>
      <w:r w:rsidRPr="00DD6DB1">
        <w:rPr>
          <w:sz w:val="22"/>
          <w:szCs w:val="24"/>
        </w:rPr>
        <w:t xml:space="preserve"> in the scope of Rel-19 WI.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w:t>
      </w:r>
    </w:p>
    <w:p w14:paraId="4FD0B586" w14:textId="235051AA" w:rsidR="004D2D88" w:rsidRPr="00DD6DB1" w:rsidRDefault="00917AD7" w:rsidP="00A80B86">
      <w:pPr>
        <w:jc w:val="both"/>
        <w:rPr>
          <w:sz w:val="22"/>
          <w:szCs w:val="24"/>
        </w:rPr>
      </w:pPr>
      <w:r>
        <w:rPr>
          <w:sz w:val="22"/>
          <w:szCs w:val="24"/>
        </w:rPr>
        <w:t>I</w:t>
      </w:r>
      <w:r w:rsidR="00A80B86" w:rsidRPr="00DD6DB1">
        <w:rPr>
          <w:sz w:val="22"/>
          <w:szCs w:val="24"/>
        </w:rPr>
        <w:t>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on issues related to</w:t>
      </w:r>
      <w:r>
        <w:rPr>
          <w:sz w:val="22"/>
          <w:szCs w:val="24"/>
        </w:rPr>
        <w:t xml:space="preserve"> factors that potentially impact RAN4 </w:t>
      </w:r>
      <w:r w:rsidR="00B63DC0">
        <w:rPr>
          <w:sz w:val="22"/>
          <w:szCs w:val="24"/>
        </w:rPr>
        <w:t>requirements</w:t>
      </w:r>
      <w:r w:rsidR="00192502" w:rsidRPr="00DD6DB1">
        <w:rPr>
          <w:sz w:val="22"/>
          <w:szCs w:val="24"/>
        </w:rPr>
        <w:t>.</w:t>
      </w:r>
    </w:p>
    <w:p w14:paraId="4813C971" w14:textId="0957B33A" w:rsidR="00341547" w:rsidRPr="00341547" w:rsidRDefault="003B659E" w:rsidP="00D3143E">
      <w:pPr>
        <w:pStyle w:val="RAN4H1"/>
        <w:rPr>
          <w:sz w:val="32"/>
          <w:szCs w:val="18"/>
          <w:lang w:val="en-US"/>
        </w:rPr>
      </w:pPr>
      <w:bookmarkStart w:id="8" w:name="_Toc116995842"/>
      <w:r w:rsidRPr="00BE01A4">
        <w:rPr>
          <w:sz w:val="32"/>
          <w:szCs w:val="18"/>
          <w:lang w:val="en-US"/>
        </w:rPr>
        <w:t>Discussion</w:t>
      </w:r>
      <w:bookmarkEnd w:id="8"/>
    </w:p>
    <w:p w14:paraId="76EEC88E" w14:textId="7BBC56B0" w:rsidR="00930CC9" w:rsidRDefault="008C3308" w:rsidP="00946C8F">
      <w:pPr>
        <w:jc w:val="both"/>
        <w:rPr>
          <w:sz w:val="22"/>
          <w:szCs w:val="24"/>
        </w:rPr>
      </w:pPr>
      <w:r w:rsidRPr="008C3308">
        <w:rPr>
          <w:sz w:val="22"/>
          <w:szCs w:val="24"/>
        </w:rPr>
        <w:t>During the RAN4 #112bis meeting, RAN4 agreed to study aspects related to NR AIML mobility requirements and prioritized the following scenarios and use cases</w:t>
      </w:r>
      <w:r>
        <w:rPr>
          <w:sz w:val="22"/>
          <w:szCs w:val="24"/>
        </w:rPr>
        <w:t>.</w:t>
      </w:r>
    </w:p>
    <w:p w14:paraId="11EA7982" w14:textId="6BB4215B" w:rsidR="00930CC9" w:rsidRPr="00042054" w:rsidRDefault="00930CC9" w:rsidP="00042054">
      <w:pPr>
        <w:pStyle w:val="RAN4H2"/>
        <w:rPr>
          <w:sz w:val="28"/>
          <w:szCs w:val="28"/>
        </w:rPr>
      </w:pPr>
      <w:r w:rsidRPr="000D3711">
        <w:rPr>
          <w:sz w:val="28"/>
          <w:szCs w:val="28"/>
        </w:rPr>
        <w:t>Performance metrics</w:t>
      </w:r>
    </w:p>
    <w:tbl>
      <w:tblPr>
        <w:tblStyle w:val="TableGrid"/>
        <w:tblW w:w="0" w:type="auto"/>
        <w:tblLook w:val="04A0" w:firstRow="1" w:lastRow="0" w:firstColumn="1" w:lastColumn="0" w:noHBand="0" w:noVBand="1"/>
      </w:tblPr>
      <w:tblGrid>
        <w:gridCol w:w="9617"/>
      </w:tblGrid>
      <w:tr w:rsidR="002D395A" w14:paraId="05DDE16C" w14:textId="77777777" w:rsidTr="00B0027E">
        <w:tc>
          <w:tcPr>
            <w:tcW w:w="9617" w:type="dxa"/>
          </w:tcPr>
          <w:p w14:paraId="63E0D155" w14:textId="77777777" w:rsidR="002D395A" w:rsidRPr="008C3308" w:rsidRDefault="002D395A" w:rsidP="002D395A">
            <w:pPr>
              <w:tabs>
                <w:tab w:val="left" w:pos="1440"/>
              </w:tabs>
              <w:spacing w:afterLines="50" w:after="120"/>
              <w:jc w:val="both"/>
              <w:textAlignment w:val="baseline"/>
              <w:rPr>
                <w:color w:val="000000" w:themeColor="text1"/>
                <w:lang w:val="en-US"/>
              </w:rPr>
            </w:pPr>
            <w:bookmarkStart w:id="9" w:name="_Hlk189514320"/>
            <w:r w:rsidRPr="008C3308">
              <w:rPr>
                <w:b/>
                <w:color w:val="000000" w:themeColor="text1"/>
                <w:lang w:val="en-US"/>
              </w:rPr>
              <w:t>RRM measurement prediction</w:t>
            </w:r>
            <w:r w:rsidRPr="008C3308">
              <w:rPr>
                <w:color w:val="000000" w:themeColor="text1"/>
                <w:lang w:val="en-US"/>
              </w:rPr>
              <w:t xml:space="preserve"> including intra and inter-frequency (UE sided and NW sided model)</w:t>
            </w:r>
            <w:r>
              <w:rPr>
                <w:color w:val="000000" w:themeColor="text1"/>
                <w:lang w:val="en-US"/>
              </w:rPr>
              <w:t xml:space="preserve"> </w:t>
            </w:r>
            <w:r w:rsidRPr="008C3308">
              <w:rPr>
                <w:color w:val="000000" w:themeColor="text1"/>
                <w:lang w:val="en-US"/>
              </w:rPr>
              <w:t>At RAN2#125bis, the following sub-use cases were agreed for RRM measurement prediction:</w:t>
            </w:r>
          </w:p>
          <w:p w14:paraId="42CB8DE9" w14:textId="77777777" w:rsidR="002D395A" w:rsidRPr="00A51223" w:rsidRDefault="002D395A" w:rsidP="002D395A">
            <w:pPr>
              <w:pStyle w:val="ListParagraph"/>
              <w:numPr>
                <w:ilvl w:val="1"/>
                <w:numId w:val="19"/>
              </w:numPr>
              <w:tabs>
                <w:tab w:val="left" w:pos="1440"/>
              </w:tabs>
              <w:spacing w:afterLines="50" w:after="120"/>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160FE9EE" w14:textId="77777777" w:rsidR="002D395A" w:rsidRPr="00A51223" w:rsidRDefault="002D395A" w:rsidP="002D395A">
            <w:pPr>
              <w:pStyle w:val="ListParagraph"/>
              <w:numPr>
                <w:ilvl w:val="1"/>
                <w:numId w:val="19"/>
              </w:numPr>
              <w:tabs>
                <w:tab w:val="left" w:pos="1440"/>
              </w:tabs>
              <w:spacing w:afterLines="50" w:after="120"/>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7B8E1178" w14:textId="77777777" w:rsidR="002D395A" w:rsidRPr="008C3308" w:rsidRDefault="002D395A" w:rsidP="002D395A">
            <w:pPr>
              <w:pStyle w:val="ListParagraph"/>
              <w:numPr>
                <w:ilvl w:val="1"/>
                <w:numId w:val="19"/>
              </w:numPr>
              <w:tabs>
                <w:tab w:val="left" w:pos="1440"/>
              </w:tabs>
              <w:spacing w:afterLines="50" w:after="120"/>
              <w:jc w:val="both"/>
              <w:textAlignment w:val="baseline"/>
              <w:rPr>
                <w:lang w:val="en-US"/>
              </w:rPr>
            </w:pPr>
            <w:r w:rsidRPr="00A51223">
              <w:rPr>
                <w:i/>
                <w:iCs/>
                <w:lang w:val="en-US"/>
              </w:rPr>
              <w:t>Sub-use case 3</w:t>
            </w:r>
            <w:r w:rsidRPr="00A51223">
              <w:rPr>
                <w:lang w:val="en-US"/>
              </w:rPr>
              <w:t>: L3 Cell-level measurement result(s) is predicted based on actual L1 beam-level measurement result(s)</w:t>
            </w:r>
          </w:p>
          <w:p w14:paraId="144129C6" w14:textId="77777777" w:rsidR="002D395A" w:rsidRDefault="002D395A" w:rsidP="002D395A">
            <w:pPr>
              <w:shd w:val="clear" w:color="auto" w:fill="FFFFFF"/>
              <w:spacing w:before="240" w:after="180"/>
              <w:jc w:val="both"/>
              <w:rPr>
                <w:lang w:eastAsia="zh-CN"/>
              </w:rPr>
            </w:pPr>
            <w:r>
              <w:rPr>
                <w:lang w:eastAsia="zh-CN"/>
              </w:rPr>
              <w:t>The study of the use cases is driven mainly by two study goals:</w:t>
            </w:r>
          </w:p>
          <w:p w14:paraId="22EC4A1A" w14:textId="77777777" w:rsidR="002D395A" w:rsidRDefault="002D395A" w:rsidP="002D395A">
            <w:pPr>
              <w:pStyle w:val="ListParagraph"/>
              <w:numPr>
                <w:ilvl w:val="0"/>
                <w:numId w:val="20"/>
              </w:numPr>
              <w:shd w:val="clear" w:color="auto" w:fill="FFFFFF"/>
              <w:spacing w:before="240" w:after="180"/>
              <w:jc w:val="both"/>
            </w:pPr>
            <w:r w:rsidRPr="00855814">
              <w:rPr>
                <w:b/>
                <w:bCs/>
                <w:lang w:eastAsia="zh-CN"/>
              </w:rPr>
              <w:t>The 1</w:t>
            </w:r>
            <w:r w:rsidRPr="00855814">
              <w:rPr>
                <w:b/>
                <w:bCs/>
                <w:vertAlign w:val="superscript"/>
                <w:lang w:eastAsia="zh-CN"/>
              </w:rPr>
              <w:t>st</w:t>
            </w:r>
            <w:r w:rsidRPr="00855814">
              <w:rPr>
                <w:b/>
                <w:bCs/>
                <w:lang w:eastAsia="zh-CN"/>
              </w:rPr>
              <w:t xml:space="preserve"> study goal</w:t>
            </w:r>
            <w:r>
              <w:rPr>
                <w:lang w:eastAsia="zh-CN"/>
              </w:rPr>
              <w:t xml:space="preserve"> is to reduce measurement efforts in temporal, spatial or frequency domain by using predicted measurements.</w:t>
            </w:r>
            <w:r>
              <w:rPr>
                <w:lang w:eastAsia="zh-CN"/>
              </w:rPr>
              <w:br/>
              <w:t>The following metrics are considered:</w:t>
            </w:r>
          </w:p>
          <w:p w14:paraId="5DE3919F" w14:textId="77777777" w:rsidR="002D395A" w:rsidRDefault="002D395A" w:rsidP="002D395A">
            <w:pPr>
              <w:pStyle w:val="ListParagraph"/>
              <w:numPr>
                <w:ilvl w:val="1"/>
                <w:numId w:val="20"/>
              </w:numPr>
              <w:shd w:val="clear" w:color="auto" w:fill="FFFFFF"/>
              <w:spacing w:before="240" w:after="180"/>
              <w:jc w:val="both"/>
            </w:pPr>
            <w:r>
              <w:t>MRRS</w:t>
            </w:r>
            <w:r>
              <w:tab/>
              <w:t>Measurement reduction rate in spatial domain</w:t>
            </w:r>
          </w:p>
          <w:p w14:paraId="7E567A38" w14:textId="77777777" w:rsidR="002D395A" w:rsidRDefault="002D395A" w:rsidP="002D395A">
            <w:pPr>
              <w:pStyle w:val="ListParagraph"/>
              <w:numPr>
                <w:ilvl w:val="1"/>
                <w:numId w:val="20"/>
              </w:numPr>
              <w:shd w:val="clear" w:color="auto" w:fill="FFFFFF"/>
              <w:spacing w:before="240" w:after="180"/>
              <w:jc w:val="both"/>
            </w:pPr>
            <w:r>
              <w:t>MRRT</w:t>
            </w:r>
            <w:r>
              <w:tab/>
              <w:t>Measurement reduction rate in temporal domain</w:t>
            </w:r>
          </w:p>
          <w:p w14:paraId="569BA10A" w14:textId="77777777" w:rsidR="002D395A" w:rsidRDefault="002D395A" w:rsidP="002D395A">
            <w:pPr>
              <w:pStyle w:val="ListParagraph"/>
              <w:numPr>
                <w:ilvl w:val="0"/>
                <w:numId w:val="20"/>
              </w:numPr>
              <w:shd w:val="clear" w:color="auto" w:fill="FFFFFF"/>
              <w:spacing w:before="240" w:after="180"/>
              <w:jc w:val="both"/>
            </w:pPr>
            <w:r w:rsidRPr="00855814">
              <w:rPr>
                <w:b/>
                <w:bCs/>
                <w:lang w:eastAsia="zh-CN"/>
              </w:rPr>
              <w:t>The 2</w:t>
            </w:r>
            <w:r w:rsidRPr="00855814">
              <w:rPr>
                <w:b/>
                <w:bCs/>
                <w:vertAlign w:val="superscript"/>
                <w:lang w:eastAsia="zh-CN"/>
              </w:rPr>
              <w:t>nd</w:t>
            </w:r>
            <w:r w:rsidRPr="00855814">
              <w:rPr>
                <w:b/>
                <w:bCs/>
                <w:lang w:eastAsia="zh-CN"/>
              </w:rPr>
              <w:t xml:space="preserve"> study goal</w:t>
            </w:r>
            <w:r>
              <w:rPr>
                <w:lang w:eastAsia="zh-CN"/>
              </w:rPr>
              <w:t xml:space="preserve"> is to improve the 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2B7DEFA6" w14:textId="77777777" w:rsidR="002D395A" w:rsidRPr="008C3308" w:rsidRDefault="002D395A" w:rsidP="002D395A">
            <w:pPr>
              <w:tabs>
                <w:tab w:val="left" w:pos="1440"/>
              </w:tabs>
              <w:spacing w:afterLines="50" w:after="120"/>
              <w:jc w:val="both"/>
              <w:textAlignment w:val="baseline"/>
              <w:rPr>
                <w:lang w:val="en-US"/>
              </w:rPr>
            </w:pPr>
          </w:p>
          <w:p w14:paraId="195F862E" w14:textId="77777777" w:rsidR="002D395A" w:rsidRDefault="002D395A" w:rsidP="002D395A">
            <w:pPr>
              <w:pStyle w:val="Caption"/>
              <w:keepNext/>
            </w:pPr>
            <w:r>
              <w:t xml:space="preserve">Table </w:t>
            </w:r>
            <w:r>
              <w:fldChar w:fldCharType="begin"/>
            </w:r>
            <w:r>
              <w:instrText xml:space="preserve"> SEQ Table \* ARABIC </w:instrText>
            </w:r>
            <w:r>
              <w:fldChar w:fldCharType="separate"/>
            </w:r>
            <w:r>
              <w:rPr>
                <w:noProof/>
              </w:rPr>
              <w:t>2</w:t>
            </w:r>
            <w:r>
              <w:fldChar w:fldCharType="end"/>
            </w:r>
            <w:r>
              <w:t>: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2D395A" w:rsidRPr="004F2CB1" w14:paraId="4A9A5BC4" w14:textId="77777777" w:rsidTr="00B0027E">
              <w:trPr>
                <w:jc w:val="center"/>
              </w:trPr>
              <w:tc>
                <w:tcPr>
                  <w:tcW w:w="1148" w:type="dxa"/>
                  <w:tcBorders>
                    <w:top w:val="single" w:sz="4" w:space="0" w:color="auto"/>
                    <w:left w:val="single" w:sz="4" w:space="0" w:color="auto"/>
                    <w:bottom w:val="single" w:sz="4" w:space="0" w:color="auto"/>
                    <w:right w:val="single" w:sz="4" w:space="0" w:color="auto"/>
                  </w:tcBorders>
                  <w:hideMark/>
                </w:tcPr>
                <w:p w14:paraId="00AB4225" w14:textId="77777777" w:rsidR="002D395A" w:rsidRPr="00AE436A" w:rsidRDefault="002D395A" w:rsidP="002D395A">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45153818" w14:textId="77777777" w:rsidR="002D395A" w:rsidRPr="00AE436A" w:rsidRDefault="002D395A" w:rsidP="002D395A">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5A15C277" w14:textId="77777777" w:rsidR="002D395A" w:rsidRPr="00AE436A" w:rsidRDefault="002D395A" w:rsidP="002D395A">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0FD23B0E" w14:textId="77777777" w:rsidR="002D395A" w:rsidRPr="00AE436A" w:rsidRDefault="002D395A" w:rsidP="002D395A">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0F304A2D" w14:textId="77777777" w:rsidR="002D395A" w:rsidRPr="00AE436A" w:rsidRDefault="002D395A" w:rsidP="002D395A">
                  <w:pPr>
                    <w:spacing w:after="160" w:line="259" w:lineRule="auto"/>
                    <w:rPr>
                      <w:b/>
                      <w:bCs/>
                    </w:rPr>
                  </w:pPr>
                  <w:r w:rsidRPr="00AE436A">
                    <w:rPr>
                      <w:b/>
                      <w:bCs/>
                    </w:rPr>
                    <w:t>Methodology</w:t>
                  </w:r>
                </w:p>
              </w:tc>
            </w:tr>
            <w:tr w:rsidR="002D395A" w:rsidRPr="004F2CB1" w14:paraId="0037383A" w14:textId="77777777" w:rsidTr="00B0027E">
              <w:trPr>
                <w:jc w:val="center"/>
              </w:trPr>
              <w:tc>
                <w:tcPr>
                  <w:tcW w:w="1148" w:type="dxa"/>
                  <w:tcBorders>
                    <w:top w:val="single" w:sz="4" w:space="0" w:color="auto"/>
                    <w:left w:val="single" w:sz="4" w:space="0" w:color="auto"/>
                    <w:bottom w:val="single" w:sz="4" w:space="0" w:color="auto"/>
                    <w:right w:val="single" w:sz="4" w:space="0" w:color="auto"/>
                  </w:tcBorders>
                  <w:hideMark/>
                </w:tcPr>
                <w:p w14:paraId="1EBF499E" w14:textId="77777777" w:rsidR="002D395A" w:rsidRPr="004F2CB1" w:rsidRDefault="002D395A" w:rsidP="002D395A">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2B77FCF4" w14:textId="77777777" w:rsidR="002D395A" w:rsidRPr="004F2CB1" w:rsidRDefault="002D395A" w:rsidP="002D395A">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352FEC37" w14:textId="77777777" w:rsidR="002D395A" w:rsidRPr="004F2CB1" w:rsidRDefault="002D395A" w:rsidP="002D395A">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0A85D014" w14:textId="77777777" w:rsidR="002D395A" w:rsidRPr="004F2CB1" w:rsidRDefault="002D395A" w:rsidP="002D395A">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4A8C376D" w14:textId="77777777" w:rsidR="002D395A" w:rsidRPr="004F2CB1" w:rsidRDefault="002D395A" w:rsidP="002D395A">
                  <w:pPr>
                    <w:spacing w:after="160" w:line="259" w:lineRule="auto"/>
                  </w:pPr>
                  <w:r w:rsidRPr="00921D61">
                    <w:t>TBD</w:t>
                  </w:r>
                </w:p>
              </w:tc>
            </w:tr>
            <w:tr w:rsidR="002D395A" w:rsidRPr="004F2CB1" w14:paraId="40077089" w14:textId="77777777" w:rsidTr="00B0027E">
              <w:trPr>
                <w:jc w:val="center"/>
              </w:trPr>
              <w:tc>
                <w:tcPr>
                  <w:tcW w:w="1148" w:type="dxa"/>
                  <w:tcBorders>
                    <w:top w:val="single" w:sz="4" w:space="0" w:color="auto"/>
                    <w:left w:val="single" w:sz="4" w:space="0" w:color="auto"/>
                    <w:bottom w:val="single" w:sz="4" w:space="0" w:color="auto"/>
                    <w:right w:val="single" w:sz="4" w:space="0" w:color="auto"/>
                  </w:tcBorders>
                  <w:hideMark/>
                </w:tcPr>
                <w:p w14:paraId="6174C490" w14:textId="77777777" w:rsidR="002D395A" w:rsidRPr="004F2CB1" w:rsidRDefault="002D395A" w:rsidP="002D395A">
                  <w:pPr>
                    <w:spacing w:after="160" w:line="259" w:lineRule="auto"/>
                  </w:pPr>
                  <w:r w:rsidRPr="004F2CB1">
                    <w:t>2</w:t>
                  </w:r>
                </w:p>
              </w:tc>
              <w:tc>
                <w:tcPr>
                  <w:tcW w:w="1283" w:type="dxa"/>
                  <w:tcBorders>
                    <w:top w:val="single" w:sz="4" w:space="0" w:color="auto"/>
                    <w:left w:val="single" w:sz="4" w:space="0" w:color="auto"/>
                    <w:bottom w:val="single" w:sz="4" w:space="0" w:color="auto"/>
                    <w:right w:val="single" w:sz="4" w:space="0" w:color="auto"/>
                  </w:tcBorders>
                  <w:hideMark/>
                </w:tcPr>
                <w:p w14:paraId="57A5AAB2" w14:textId="77777777" w:rsidR="002D395A" w:rsidRPr="004F2CB1" w:rsidRDefault="002D395A" w:rsidP="002D395A">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0992437D" w14:textId="77777777" w:rsidR="002D395A" w:rsidRPr="004F2CB1" w:rsidRDefault="002D395A" w:rsidP="002D395A">
                  <w:pPr>
                    <w:spacing w:after="160" w:line="259" w:lineRule="auto"/>
                  </w:pPr>
                  <w:r w:rsidRPr="004F2CB1">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4B33B733" w14:textId="77777777" w:rsidR="002D395A" w:rsidRPr="004F2CB1" w:rsidRDefault="002D395A" w:rsidP="002D395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1A08007D" w14:textId="77777777" w:rsidR="002D395A" w:rsidRPr="004F2CB1" w:rsidRDefault="002D395A" w:rsidP="002D395A">
                  <w:pPr>
                    <w:spacing w:after="160" w:line="259" w:lineRule="auto"/>
                    <w:rPr>
                      <w:vertAlign w:val="superscript"/>
                    </w:rPr>
                  </w:pPr>
                  <w:r w:rsidRPr="004F2CB1">
                    <w:t>Intra-cell</w:t>
                  </w:r>
                </w:p>
              </w:tc>
            </w:tr>
            <w:tr w:rsidR="002D395A" w:rsidRPr="004F2CB1" w14:paraId="0DA92005" w14:textId="77777777" w:rsidTr="00B0027E">
              <w:trPr>
                <w:jc w:val="center"/>
              </w:trPr>
              <w:tc>
                <w:tcPr>
                  <w:tcW w:w="1148" w:type="dxa"/>
                  <w:tcBorders>
                    <w:top w:val="single" w:sz="4" w:space="0" w:color="auto"/>
                    <w:left w:val="single" w:sz="4" w:space="0" w:color="auto"/>
                    <w:bottom w:val="single" w:sz="4" w:space="0" w:color="auto"/>
                    <w:right w:val="single" w:sz="4" w:space="0" w:color="auto"/>
                  </w:tcBorders>
                  <w:hideMark/>
                </w:tcPr>
                <w:p w14:paraId="7875094A" w14:textId="77777777" w:rsidR="002D395A" w:rsidRPr="004F2CB1" w:rsidRDefault="002D395A" w:rsidP="002D395A">
                  <w:pPr>
                    <w:spacing w:after="160" w:line="259" w:lineRule="auto"/>
                  </w:pPr>
                  <w:r w:rsidRPr="004F2CB1">
                    <w:lastRenderedPageBreak/>
                    <w:t>3</w:t>
                  </w:r>
                </w:p>
              </w:tc>
              <w:tc>
                <w:tcPr>
                  <w:tcW w:w="1283" w:type="dxa"/>
                  <w:tcBorders>
                    <w:top w:val="single" w:sz="4" w:space="0" w:color="auto"/>
                    <w:left w:val="single" w:sz="4" w:space="0" w:color="auto"/>
                    <w:bottom w:val="single" w:sz="4" w:space="0" w:color="auto"/>
                    <w:right w:val="single" w:sz="4" w:space="0" w:color="auto"/>
                  </w:tcBorders>
                  <w:hideMark/>
                </w:tcPr>
                <w:p w14:paraId="3CF24DB3" w14:textId="77777777" w:rsidR="002D395A" w:rsidRPr="004F2CB1" w:rsidRDefault="002D395A" w:rsidP="002D395A">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369BA292" w14:textId="77777777" w:rsidR="002D395A" w:rsidRPr="004F2CB1" w:rsidRDefault="002D395A" w:rsidP="002D395A">
                  <w:pPr>
                    <w:spacing w:after="160" w:line="259" w:lineRule="auto"/>
                  </w:pPr>
                  <w:r w:rsidRPr="004F2CB1">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0BB88D04" w14:textId="77777777" w:rsidR="002D395A" w:rsidRPr="004F2CB1" w:rsidRDefault="002D395A" w:rsidP="002D395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42067AFD" w14:textId="77777777" w:rsidR="002D395A" w:rsidRPr="004F2CB1" w:rsidRDefault="002D395A" w:rsidP="002D395A">
                  <w:pPr>
                    <w:spacing w:after="160" w:line="259" w:lineRule="auto"/>
                  </w:pPr>
                  <w:r w:rsidRPr="004F2CB1">
                    <w:t xml:space="preserve">Inter-cell </w:t>
                  </w:r>
                </w:p>
              </w:tc>
            </w:tr>
            <w:tr w:rsidR="002D395A" w:rsidRPr="004F2CB1" w14:paraId="0DDCFD3C" w14:textId="77777777" w:rsidTr="00B0027E">
              <w:trPr>
                <w:jc w:val="center"/>
              </w:trPr>
              <w:tc>
                <w:tcPr>
                  <w:tcW w:w="1148" w:type="dxa"/>
                  <w:tcBorders>
                    <w:top w:val="single" w:sz="4" w:space="0" w:color="auto"/>
                    <w:left w:val="single" w:sz="4" w:space="0" w:color="auto"/>
                    <w:bottom w:val="single" w:sz="4" w:space="0" w:color="auto"/>
                    <w:right w:val="single" w:sz="4" w:space="0" w:color="auto"/>
                  </w:tcBorders>
                  <w:hideMark/>
                </w:tcPr>
                <w:p w14:paraId="2C3E06B5" w14:textId="77777777" w:rsidR="002D395A" w:rsidRPr="004F2CB1" w:rsidRDefault="002D395A" w:rsidP="002D395A">
                  <w:pPr>
                    <w:spacing w:after="160" w:line="259" w:lineRule="auto"/>
                  </w:pPr>
                  <w:r w:rsidRPr="004F2CB1">
                    <w:t>4</w:t>
                  </w:r>
                </w:p>
              </w:tc>
              <w:tc>
                <w:tcPr>
                  <w:tcW w:w="1283" w:type="dxa"/>
                  <w:tcBorders>
                    <w:top w:val="single" w:sz="4" w:space="0" w:color="auto"/>
                    <w:left w:val="single" w:sz="4" w:space="0" w:color="auto"/>
                    <w:bottom w:val="single" w:sz="4" w:space="0" w:color="auto"/>
                    <w:right w:val="single" w:sz="4" w:space="0" w:color="auto"/>
                  </w:tcBorders>
                  <w:hideMark/>
                </w:tcPr>
                <w:p w14:paraId="62940BA5" w14:textId="77777777" w:rsidR="002D395A" w:rsidRPr="004F2CB1" w:rsidRDefault="002D395A" w:rsidP="002D395A">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648F9421" w14:textId="77777777" w:rsidR="002D395A" w:rsidRPr="004F2CB1" w:rsidRDefault="002D395A" w:rsidP="002D395A">
                  <w:pPr>
                    <w:spacing w:after="160" w:line="259" w:lineRule="auto"/>
                  </w:pPr>
                  <w:r w:rsidRPr="004F2CB1">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733291FF" w14:textId="77777777" w:rsidR="002D395A" w:rsidRPr="004F2CB1" w:rsidRDefault="002D395A" w:rsidP="002D395A">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7617E5EF" w14:textId="77777777" w:rsidR="002D395A" w:rsidRPr="004F2CB1" w:rsidRDefault="002D395A" w:rsidP="002D395A">
                  <w:pPr>
                    <w:spacing w:after="160" w:line="259" w:lineRule="auto"/>
                  </w:pPr>
                  <w:r w:rsidRPr="004F2CB1">
                    <w:t>Intra-cell</w:t>
                  </w:r>
                </w:p>
              </w:tc>
            </w:tr>
            <w:tr w:rsidR="002D395A" w:rsidRPr="004F2CB1" w14:paraId="31C62E3F" w14:textId="77777777" w:rsidTr="00B0027E">
              <w:trPr>
                <w:jc w:val="center"/>
              </w:trPr>
              <w:tc>
                <w:tcPr>
                  <w:tcW w:w="1148" w:type="dxa"/>
                  <w:tcBorders>
                    <w:top w:val="single" w:sz="4" w:space="0" w:color="auto"/>
                    <w:left w:val="single" w:sz="4" w:space="0" w:color="auto"/>
                    <w:bottom w:val="single" w:sz="4" w:space="0" w:color="auto"/>
                    <w:right w:val="single" w:sz="4" w:space="0" w:color="auto"/>
                  </w:tcBorders>
                  <w:hideMark/>
                </w:tcPr>
                <w:p w14:paraId="71EBA090" w14:textId="77777777" w:rsidR="002D395A" w:rsidRPr="004F2CB1" w:rsidRDefault="002D395A" w:rsidP="002D395A">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777BB63C" w14:textId="77777777" w:rsidR="002D395A" w:rsidRPr="004F2CB1" w:rsidRDefault="002D395A" w:rsidP="002D395A">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600B1ACC" w14:textId="77777777" w:rsidR="002D395A" w:rsidRPr="004F2CB1" w:rsidRDefault="002D395A" w:rsidP="002D395A">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250FFFD1" w14:textId="77777777" w:rsidR="002D395A" w:rsidRPr="004F2CB1" w:rsidRDefault="002D395A" w:rsidP="002D395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71D5CA7E" w14:textId="77777777" w:rsidR="002D395A" w:rsidRPr="004F2CB1" w:rsidRDefault="002D395A" w:rsidP="002D395A">
                  <w:pPr>
                    <w:spacing w:after="160" w:line="259" w:lineRule="auto"/>
                  </w:pPr>
                  <w:r w:rsidRPr="004F2CB1">
                    <w:t>TBD</w:t>
                  </w:r>
                </w:p>
              </w:tc>
            </w:tr>
            <w:tr w:rsidR="002D395A" w:rsidRPr="004F2CB1" w14:paraId="7177CBD0" w14:textId="77777777" w:rsidTr="00B0027E">
              <w:trPr>
                <w:jc w:val="center"/>
              </w:trPr>
              <w:tc>
                <w:tcPr>
                  <w:tcW w:w="1148" w:type="dxa"/>
                  <w:tcBorders>
                    <w:top w:val="single" w:sz="4" w:space="0" w:color="auto"/>
                    <w:left w:val="single" w:sz="4" w:space="0" w:color="auto"/>
                    <w:bottom w:val="single" w:sz="4" w:space="0" w:color="auto"/>
                    <w:right w:val="single" w:sz="4" w:space="0" w:color="auto"/>
                  </w:tcBorders>
                  <w:hideMark/>
                </w:tcPr>
                <w:p w14:paraId="1AE90513" w14:textId="77777777" w:rsidR="002D395A" w:rsidRPr="004F2CB1" w:rsidRDefault="002D395A" w:rsidP="002D395A">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787469BD" w14:textId="77777777" w:rsidR="002D395A" w:rsidRPr="004F2CB1" w:rsidRDefault="002D395A" w:rsidP="002D395A">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25096E93" w14:textId="77777777" w:rsidR="002D395A" w:rsidRPr="004F2CB1" w:rsidRDefault="002D395A" w:rsidP="002D395A">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75E3BB11" w14:textId="77777777" w:rsidR="002D395A" w:rsidRPr="004F2CB1" w:rsidRDefault="002D395A" w:rsidP="002D395A">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C8C67D3" w14:textId="77777777" w:rsidR="002D395A" w:rsidRPr="004F2CB1" w:rsidRDefault="002D395A" w:rsidP="002D395A">
                  <w:pPr>
                    <w:spacing w:after="160" w:line="259" w:lineRule="auto"/>
                  </w:pPr>
                  <w:r w:rsidRPr="004F2CB1">
                    <w:t>Intra-cell</w:t>
                  </w:r>
                </w:p>
              </w:tc>
            </w:tr>
          </w:tbl>
          <w:p w14:paraId="11F1D750" w14:textId="7011546D" w:rsidR="002D395A" w:rsidRPr="00F13025" w:rsidRDefault="002D395A" w:rsidP="00F13025">
            <w:pPr>
              <w:spacing w:after="120"/>
              <w:ind w:left="2016"/>
              <w:rPr>
                <w:rFonts w:eastAsia="SimSun"/>
                <w:szCs w:val="24"/>
                <w:lang w:eastAsia="zh-CN"/>
              </w:rPr>
            </w:pPr>
          </w:p>
        </w:tc>
      </w:tr>
      <w:bookmarkEnd w:id="9"/>
    </w:tbl>
    <w:p w14:paraId="71A26029" w14:textId="77777777" w:rsidR="008C3308" w:rsidRPr="008C3308" w:rsidRDefault="008C3308" w:rsidP="00D3143E">
      <w:pPr>
        <w:rPr>
          <w:sz w:val="24"/>
          <w:szCs w:val="28"/>
        </w:rPr>
      </w:pPr>
    </w:p>
    <w:p w14:paraId="18BD83DC" w14:textId="4031EF22" w:rsidR="00A8283B" w:rsidRDefault="00D74935" w:rsidP="00D74935">
      <w:pPr>
        <w:pStyle w:val="RAN4H3"/>
        <w:numPr>
          <w:ilvl w:val="0"/>
          <w:numId w:val="0"/>
        </w:numPr>
        <w:jc w:val="both"/>
        <w:rPr>
          <w:rFonts w:ascii="Times New Roman" w:hAnsi="Times New Roman" w:cs="Times New Roman"/>
          <w:sz w:val="22"/>
          <w:szCs w:val="20"/>
        </w:rPr>
      </w:pPr>
      <w:bookmarkStart w:id="10" w:name="_Hlk181605013"/>
      <w:r>
        <w:rPr>
          <w:rFonts w:ascii="Times New Roman" w:hAnsi="Times New Roman" w:cs="Times New Roman"/>
          <w:sz w:val="22"/>
          <w:szCs w:val="20"/>
        </w:rPr>
        <w:t>S</w:t>
      </w:r>
      <w:r w:rsidR="00A8283B" w:rsidRPr="00A8283B">
        <w:rPr>
          <w:rFonts w:ascii="Times New Roman" w:hAnsi="Times New Roman" w:cs="Times New Roman"/>
          <w:sz w:val="22"/>
          <w:szCs w:val="20"/>
        </w:rPr>
        <w:t xml:space="preserve">ub-use case </w:t>
      </w:r>
      <w:r w:rsidR="00A8283B">
        <w:rPr>
          <w:rFonts w:ascii="Times New Roman" w:hAnsi="Times New Roman" w:cs="Times New Roman"/>
          <w:sz w:val="22"/>
          <w:szCs w:val="20"/>
        </w:rPr>
        <w:t>1</w:t>
      </w:r>
      <w:r w:rsidR="00960F49">
        <w:rPr>
          <w:rFonts w:ascii="Times New Roman" w:hAnsi="Times New Roman" w:cs="Times New Roman"/>
          <w:sz w:val="22"/>
          <w:szCs w:val="20"/>
        </w:rPr>
        <w:t xml:space="preserve"> explores</w:t>
      </w:r>
      <w:r w:rsidR="00A8283B" w:rsidRPr="00A8283B">
        <w:rPr>
          <w:rFonts w:ascii="Times New Roman" w:hAnsi="Times New Roman" w:cs="Times New Roman"/>
          <w:sz w:val="22"/>
          <w:szCs w:val="20"/>
        </w:rPr>
        <w:t xml:space="preserve"> L1 beam-level measurements </w:t>
      </w:r>
      <w:r w:rsidR="00960F49">
        <w:rPr>
          <w:rFonts w:ascii="Times New Roman" w:hAnsi="Times New Roman" w:cs="Times New Roman"/>
          <w:sz w:val="22"/>
          <w:szCs w:val="20"/>
        </w:rPr>
        <w:t xml:space="preserve">prediction </w:t>
      </w:r>
      <w:r w:rsidR="00A8283B" w:rsidRPr="00A8283B">
        <w:rPr>
          <w:rFonts w:ascii="Times New Roman" w:hAnsi="Times New Roman" w:cs="Times New Roman"/>
          <w:sz w:val="22"/>
          <w:szCs w:val="20"/>
        </w:rPr>
        <w:t xml:space="preserve">based on actual L1 </w:t>
      </w:r>
      <w:r w:rsidR="00960F49">
        <w:rPr>
          <w:rFonts w:ascii="Times New Roman" w:hAnsi="Times New Roman" w:cs="Times New Roman"/>
          <w:sz w:val="22"/>
          <w:szCs w:val="20"/>
        </w:rPr>
        <w:t>actual measurements</w:t>
      </w:r>
      <w:r w:rsidR="00A8283B" w:rsidRPr="00A8283B">
        <w:rPr>
          <w:rFonts w:ascii="Times New Roman" w:hAnsi="Times New Roman" w:cs="Times New Roman"/>
          <w:sz w:val="22"/>
          <w:szCs w:val="20"/>
        </w:rPr>
        <w:t xml:space="preserve"> to generate L3 cell-level results, reducing the number of required L1 measurements (Goal 1). By leveraging predictions, fewer direct L1 measurements are needed, optimizing resource utilization and reducing overhead. However, prediction errors at the L1 level could affect L3 accuracy, potentially degrading handover performance (Goal 2). </w:t>
      </w:r>
      <w:r w:rsidR="00A8283B">
        <w:rPr>
          <w:rFonts w:ascii="Times New Roman" w:hAnsi="Times New Roman" w:cs="Times New Roman"/>
          <w:sz w:val="22"/>
          <w:szCs w:val="20"/>
        </w:rPr>
        <w:t>Furthermore, i</w:t>
      </w:r>
      <w:r w:rsidR="00A8283B" w:rsidRPr="00A8283B">
        <w:rPr>
          <w:rFonts w:ascii="Times New Roman" w:hAnsi="Times New Roman" w:cs="Times New Roman"/>
          <w:sz w:val="22"/>
          <w:szCs w:val="20"/>
        </w:rPr>
        <w:t>naccurate predictions may lead to suboptimal handover decisions, impacting network reliability and user experience. While it effectively reduces measurement overhead, careful handling of prediction errors is essential to maintain handover quality.</w:t>
      </w:r>
    </w:p>
    <w:p w14:paraId="72AB3E12" w14:textId="0B1F85FE" w:rsidR="00960F49" w:rsidRPr="002356D6" w:rsidRDefault="00960F49" w:rsidP="00D74935">
      <w:pPr>
        <w:pStyle w:val="RAN4H3"/>
        <w:numPr>
          <w:ilvl w:val="0"/>
          <w:numId w:val="0"/>
        </w:numPr>
        <w:jc w:val="both"/>
        <w:rPr>
          <w:rFonts w:ascii="Times New Roman" w:hAnsi="Times New Roman" w:cs="Times New Roman"/>
          <w:b/>
          <w:bCs/>
          <w:sz w:val="22"/>
        </w:rPr>
      </w:pPr>
      <w:r w:rsidRPr="00960F49">
        <w:rPr>
          <w:rFonts w:ascii="Times New Roman" w:hAnsi="Times New Roman" w:cs="Times New Roman"/>
          <w:b/>
          <w:bCs/>
          <w:sz w:val="22"/>
        </w:rPr>
        <w:t>Observation 1: Sub-use Case 1 helps reduce measurements, but prediction inaccuracies may degrade the generated L3 cell-level measurements and handover performance.</w:t>
      </w:r>
    </w:p>
    <w:bookmarkEnd w:id="10"/>
    <w:p w14:paraId="262672D6" w14:textId="28A25641" w:rsidR="00D74935" w:rsidRDefault="00D74935" w:rsidP="000D3711">
      <w:pPr>
        <w:pStyle w:val="RAN4H3"/>
        <w:numPr>
          <w:ilvl w:val="0"/>
          <w:numId w:val="0"/>
        </w:numPr>
        <w:jc w:val="both"/>
        <w:rPr>
          <w:rFonts w:ascii="Times New Roman" w:hAnsi="Times New Roman" w:cs="Times New Roman"/>
          <w:sz w:val="22"/>
        </w:rPr>
      </w:pPr>
      <w:r w:rsidRPr="00D74935">
        <w:rPr>
          <w:rFonts w:ascii="Times New Roman" w:hAnsi="Times New Roman" w:cs="Times New Roman"/>
          <w:sz w:val="22"/>
        </w:rPr>
        <w:t xml:space="preserve">In Sub-use Case 2, L3 cell-level measurement results are predicted based on actual L3 </w:t>
      </w:r>
      <w:r w:rsidR="00960F49">
        <w:rPr>
          <w:rFonts w:ascii="Times New Roman" w:hAnsi="Times New Roman" w:cs="Times New Roman"/>
          <w:sz w:val="22"/>
        </w:rPr>
        <w:t>cell level measurement results</w:t>
      </w:r>
      <w:r w:rsidRPr="00D74935">
        <w:rPr>
          <w:rFonts w:ascii="Times New Roman" w:hAnsi="Times New Roman" w:cs="Times New Roman"/>
          <w:sz w:val="22"/>
        </w:rPr>
        <w:t xml:space="preserve">, primarily supporting Goal 2 by improving handover performance through </w:t>
      </w:r>
      <w:r w:rsidR="00ED2108">
        <w:rPr>
          <w:rFonts w:ascii="Times New Roman" w:hAnsi="Times New Roman" w:cs="Times New Roman"/>
          <w:sz w:val="22"/>
        </w:rPr>
        <w:t>better</w:t>
      </w:r>
      <w:r w:rsidRPr="00D74935">
        <w:rPr>
          <w:rFonts w:ascii="Times New Roman" w:hAnsi="Times New Roman" w:cs="Times New Roman"/>
          <w:sz w:val="22"/>
        </w:rPr>
        <w:t xml:space="preserve"> predictions. However, since real-time L3 measurements are still required for prediction, this approach does not inherently reduce the number of measurements (Goal 1). Similarly, in Sub-use Case 3, L3 cell-level results are predicted from actual L1 beam-level measurements, which also relies on real-time L1 </w:t>
      </w:r>
      <w:r w:rsidR="00B547E5">
        <w:rPr>
          <w:rFonts w:ascii="Times New Roman" w:hAnsi="Times New Roman" w:cs="Times New Roman"/>
          <w:sz w:val="22"/>
        </w:rPr>
        <w:t>measurements</w:t>
      </w:r>
      <w:r w:rsidRPr="00D74935">
        <w:rPr>
          <w:rFonts w:ascii="Times New Roman" w:hAnsi="Times New Roman" w:cs="Times New Roman"/>
          <w:sz w:val="22"/>
        </w:rPr>
        <w:t xml:space="preserve">. While this approach enhances handover </w:t>
      </w:r>
      <w:r w:rsidR="00ED2108">
        <w:rPr>
          <w:rFonts w:ascii="Times New Roman" w:hAnsi="Times New Roman" w:cs="Times New Roman"/>
          <w:sz w:val="22"/>
        </w:rPr>
        <w:t>performance</w:t>
      </w:r>
      <w:r w:rsidRPr="00D74935">
        <w:rPr>
          <w:rFonts w:ascii="Times New Roman" w:hAnsi="Times New Roman" w:cs="Times New Roman"/>
          <w:sz w:val="22"/>
        </w:rPr>
        <w:t xml:space="preserve"> (Goal 2) by leveraging </w:t>
      </w:r>
      <w:r w:rsidR="00B547E5">
        <w:rPr>
          <w:rFonts w:ascii="Times New Roman" w:hAnsi="Times New Roman" w:cs="Times New Roman"/>
          <w:sz w:val="22"/>
        </w:rPr>
        <w:t>actual</w:t>
      </w:r>
      <w:r w:rsidRPr="00D74935">
        <w:rPr>
          <w:rFonts w:ascii="Times New Roman" w:hAnsi="Times New Roman" w:cs="Times New Roman"/>
          <w:sz w:val="22"/>
        </w:rPr>
        <w:t xml:space="preserve"> measurements, it does not reduce the number of measurements, as real-time L1 </w:t>
      </w:r>
      <w:r w:rsidR="00B547E5">
        <w:rPr>
          <w:rFonts w:ascii="Times New Roman" w:hAnsi="Times New Roman" w:cs="Times New Roman"/>
          <w:sz w:val="22"/>
        </w:rPr>
        <w:t>measurements</w:t>
      </w:r>
      <w:r w:rsidRPr="00D74935">
        <w:rPr>
          <w:rFonts w:ascii="Times New Roman" w:hAnsi="Times New Roman" w:cs="Times New Roman"/>
          <w:sz w:val="22"/>
        </w:rPr>
        <w:t xml:space="preserve"> collection remains necessary. Both sub-use cases highlight the importance of </w:t>
      </w:r>
      <w:r w:rsidR="00ED2108">
        <w:rPr>
          <w:rFonts w:ascii="Times New Roman" w:hAnsi="Times New Roman" w:cs="Times New Roman"/>
          <w:sz w:val="22"/>
        </w:rPr>
        <w:t xml:space="preserve">reliable </w:t>
      </w:r>
      <w:r w:rsidRPr="00D74935">
        <w:rPr>
          <w:rFonts w:ascii="Times New Roman" w:hAnsi="Times New Roman" w:cs="Times New Roman"/>
          <w:sz w:val="22"/>
        </w:rPr>
        <w:t>prediction models for improving handover performance but do not directly contribute to measurement reduction without additional strategies.</w:t>
      </w:r>
    </w:p>
    <w:p w14:paraId="7210CF78" w14:textId="2992504F" w:rsidR="00D74935" w:rsidRPr="00B547E5" w:rsidRDefault="00E12D9D" w:rsidP="000D3711">
      <w:pPr>
        <w:pStyle w:val="RAN4H3"/>
        <w:numPr>
          <w:ilvl w:val="0"/>
          <w:numId w:val="0"/>
        </w:numPr>
        <w:jc w:val="both"/>
        <w:rPr>
          <w:rFonts w:ascii="Times New Roman" w:hAnsi="Times New Roman" w:cs="Times New Roman"/>
          <w:b/>
          <w:bCs/>
          <w:sz w:val="22"/>
        </w:rPr>
      </w:pPr>
      <w:r w:rsidRPr="00B547E5">
        <w:rPr>
          <w:rFonts w:ascii="Times New Roman" w:hAnsi="Times New Roman" w:cs="Times New Roman"/>
          <w:b/>
          <w:bCs/>
          <w:sz w:val="22"/>
        </w:rPr>
        <w:t>Observation 2: Sub-use Case 2 and 3 help improve handover performance through reliable predictions.</w:t>
      </w:r>
    </w:p>
    <w:p w14:paraId="418B1486" w14:textId="44FCCD3C" w:rsidR="000D3711" w:rsidRDefault="002356D6" w:rsidP="000D3711">
      <w:pPr>
        <w:pStyle w:val="RAN4H3"/>
        <w:numPr>
          <w:ilvl w:val="0"/>
          <w:numId w:val="0"/>
        </w:numPr>
        <w:jc w:val="both"/>
        <w:rPr>
          <w:rFonts w:ascii="Times New Roman" w:hAnsi="Times New Roman" w:cs="Times New Roman"/>
          <w:b/>
          <w:bCs/>
          <w:sz w:val="22"/>
        </w:rPr>
      </w:pPr>
      <w:r w:rsidRPr="002356D6">
        <w:rPr>
          <w:rFonts w:ascii="Times New Roman" w:hAnsi="Times New Roman" w:cs="Times New Roman"/>
          <w:b/>
          <w:bCs/>
          <w:sz w:val="22"/>
        </w:rPr>
        <w:t>Proposal 1</w:t>
      </w:r>
      <w:r>
        <w:rPr>
          <w:rFonts w:ascii="Times New Roman" w:hAnsi="Times New Roman" w:cs="Times New Roman"/>
          <w:b/>
          <w:bCs/>
          <w:sz w:val="22"/>
        </w:rPr>
        <w:t xml:space="preserve">: </w:t>
      </w:r>
      <w:r w:rsidR="006F357B">
        <w:rPr>
          <w:rFonts w:ascii="Times New Roman" w:hAnsi="Times New Roman" w:cs="Times New Roman"/>
          <w:b/>
          <w:bCs/>
          <w:sz w:val="22"/>
        </w:rPr>
        <w:t>RAN4 should prioritize the study and performance evaluation of Sub-use case 2.</w:t>
      </w:r>
    </w:p>
    <w:p w14:paraId="7865F562" w14:textId="77777777" w:rsidR="002356D6" w:rsidRPr="002356D6" w:rsidRDefault="002356D6" w:rsidP="000D3711">
      <w:pPr>
        <w:pStyle w:val="RAN4H3"/>
        <w:numPr>
          <w:ilvl w:val="0"/>
          <w:numId w:val="0"/>
        </w:numPr>
        <w:jc w:val="both"/>
        <w:rPr>
          <w:rFonts w:ascii="Times New Roman" w:hAnsi="Times New Roman" w:cs="Times New Roman"/>
          <w:b/>
          <w:bCs/>
          <w:sz w:val="22"/>
        </w:rPr>
      </w:pPr>
    </w:p>
    <w:p w14:paraId="083D6DDC" w14:textId="62C1DFBA" w:rsidR="000D3711" w:rsidRPr="00341547" w:rsidRDefault="0023409D" w:rsidP="000D3711">
      <w:pPr>
        <w:pStyle w:val="RAN4H2"/>
        <w:rPr>
          <w:sz w:val="28"/>
          <w:szCs w:val="28"/>
        </w:rPr>
      </w:pPr>
      <w:r>
        <w:rPr>
          <w:sz w:val="28"/>
          <w:szCs w:val="28"/>
        </w:rPr>
        <w:t>RRM Measurement prediction</w:t>
      </w:r>
    </w:p>
    <w:p w14:paraId="2B13C597" w14:textId="082C1035" w:rsidR="0059448E" w:rsidRDefault="00F11C5B" w:rsidP="00341547">
      <w:pPr>
        <w:pStyle w:val="RAN4H3"/>
        <w:numPr>
          <w:ilvl w:val="0"/>
          <w:numId w:val="0"/>
        </w:numPr>
        <w:rPr>
          <w:rFonts w:ascii="Times New Roman" w:hAnsi="Times New Roman" w:cs="Times New Roman"/>
          <w:sz w:val="22"/>
        </w:rPr>
      </w:pPr>
      <w:r>
        <w:rPr>
          <w:rFonts w:ascii="Times New Roman" w:hAnsi="Times New Roman" w:cs="Times New Roman"/>
          <w:sz w:val="22"/>
        </w:rPr>
        <w:t>Following three domains have been identified for the AIML-based mobility enhancements:</w:t>
      </w:r>
    </w:p>
    <w:p w14:paraId="1D76776E" w14:textId="3F7F2A8D" w:rsidR="00F11C5B" w:rsidRDefault="00F11C5B" w:rsidP="00F11C5B">
      <w:pPr>
        <w:pStyle w:val="RAN4H3"/>
        <w:numPr>
          <w:ilvl w:val="0"/>
          <w:numId w:val="21"/>
        </w:numPr>
        <w:rPr>
          <w:rFonts w:ascii="Times New Roman" w:hAnsi="Times New Roman" w:cs="Times New Roman"/>
          <w:sz w:val="22"/>
        </w:rPr>
      </w:pPr>
      <w:r>
        <w:rPr>
          <w:rFonts w:ascii="Times New Roman" w:hAnsi="Times New Roman" w:cs="Times New Roman"/>
          <w:sz w:val="22"/>
        </w:rPr>
        <w:t>Temporal domain: Predicting future measurements values based on real time actual measurements. Two cases (Case A and Case B) are under discussion to evaluate for the 1</w:t>
      </w:r>
      <w:r w:rsidRPr="00F11C5B">
        <w:rPr>
          <w:rFonts w:ascii="Times New Roman" w:hAnsi="Times New Roman" w:cs="Times New Roman"/>
          <w:sz w:val="22"/>
          <w:vertAlign w:val="superscript"/>
        </w:rPr>
        <w:t>st</w:t>
      </w:r>
      <w:r>
        <w:rPr>
          <w:rFonts w:ascii="Times New Roman" w:hAnsi="Times New Roman" w:cs="Times New Roman"/>
          <w:sz w:val="22"/>
        </w:rPr>
        <w:t xml:space="preserve"> and 2</w:t>
      </w:r>
      <w:r w:rsidRPr="00F11C5B">
        <w:rPr>
          <w:rFonts w:ascii="Times New Roman" w:hAnsi="Times New Roman" w:cs="Times New Roman"/>
          <w:sz w:val="22"/>
          <w:vertAlign w:val="superscript"/>
        </w:rPr>
        <w:t>nd</w:t>
      </w:r>
      <w:r>
        <w:rPr>
          <w:rFonts w:ascii="Times New Roman" w:hAnsi="Times New Roman" w:cs="Times New Roman"/>
          <w:sz w:val="22"/>
        </w:rPr>
        <w:t xml:space="preserve"> study goals.</w:t>
      </w:r>
    </w:p>
    <w:p w14:paraId="69841D46" w14:textId="77777777" w:rsidR="00655CC5" w:rsidRDefault="00F11C5B" w:rsidP="00F11C5B">
      <w:pPr>
        <w:pStyle w:val="RAN4H3"/>
        <w:numPr>
          <w:ilvl w:val="0"/>
          <w:numId w:val="21"/>
        </w:numPr>
        <w:rPr>
          <w:rFonts w:ascii="Times New Roman" w:hAnsi="Times New Roman" w:cs="Times New Roman"/>
          <w:sz w:val="22"/>
        </w:rPr>
      </w:pPr>
      <w:r>
        <w:rPr>
          <w:rFonts w:ascii="Times New Roman" w:hAnsi="Times New Roman" w:cs="Times New Roman"/>
          <w:sz w:val="22"/>
        </w:rPr>
        <w:t xml:space="preserve">Frequency domain: </w:t>
      </w:r>
      <w:r w:rsidR="00655CC5">
        <w:rPr>
          <w:rFonts w:ascii="Times New Roman" w:hAnsi="Times New Roman" w:cs="Times New Roman"/>
          <w:sz w:val="22"/>
        </w:rPr>
        <w:t>Measuring the serving cell and predicting unmeasured frequencies using the measured frequency as a reference or input.</w:t>
      </w:r>
    </w:p>
    <w:p w14:paraId="0C9031AD" w14:textId="3BEAA499" w:rsidR="00F11C5B" w:rsidRDefault="00655CC5" w:rsidP="00F11C5B">
      <w:pPr>
        <w:pStyle w:val="RAN4H3"/>
        <w:numPr>
          <w:ilvl w:val="0"/>
          <w:numId w:val="21"/>
        </w:numPr>
        <w:rPr>
          <w:rFonts w:ascii="Times New Roman" w:hAnsi="Times New Roman" w:cs="Times New Roman"/>
          <w:sz w:val="22"/>
        </w:rPr>
      </w:pPr>
      <w:r>
        <w:rPr>
          <w:rFonts w:ascii="Times New Roman" w:hAnsi="Times New Roman" w:cs="Times New Roman"/>
          <w:sz w:val="22"/>
        </w:rPr>
        <w:t xml:space="preserve">Spatial domain: Predicts the measurements in different directions based on the serving cell measurements. </w:t>
      </w:r>
    </w:p>
    <w:p w14:paraId="0C3FD9D4" w14:textId="1275C893" w:rsidR="006D22A4" w:rsidRDefault="006D22A4" w:rsidP="00341547">
      <w:pPr>
        <w:pStyle w:val="RAN4H3"/>
        <w:numPr>
          <w:ilvl w:val="0"/>
          <w:numId w:val="0"/>
        </w:numPr>
        <w:rPr>
          <w:rFonts w:ascii="Times New Roman" w:hAnsi="Times New Roman" w:cs="Times New Roman"/>
          <w:sz w:val="22"/>
        </w:rPr>
      </w:pPr>
    </w:p>
    <w:p w14:paraId="2A0EFB75" w14:textId="64ABFB99" w:rsidR="00E758FE" w:rsidRDefault="00E758FE" w:rsidP="00341547">
      <w:pPr>
        <w:pStyle w:val="RAN4H3"/>
        <w:numPr>
          <w:ilvl w:val="0"/>
          <w:numId w:val="0"/>
        </w:numPr>
        <w:rPr>
          <w:rFonts w:ascii="Times New Roman" w:hAnsi="Times New Roman" w:cs="Times New Roman"/>
          <w:sz w:val="22"/>
        </w:rPr>
      </w:pPr>
      <w:r>
        <w:rPr>
          <w:rFonts w:ascii="Times New Roman" w:hAnsi="Times New Roman" w:cs="Times New Roman"/>
          <w:sz w:val="22"/>
        </w:rPr>
        <w:t>In the case of intra frequency temporal domain, among the two cases under discussion, Case B prediction is evaluated for the 1</w:t>
      </w:r>
      <w:r w:rsidRPr="00E758FE">
        <w:rPr>
          <w:rFonts w:ascii="Times New Roman" w:hAnsi="Times New Roman" w:cs="Times New Roman"/>
          <w:sz w:val="22"/>
          <w:vertAlign w:val="superscript"/>
        </w:rPr>
        <w:t>st</w:t>
      </w:r>
      <w:r>
        <w:rPr>
          <w:rFonts w:ascii="Times New Roman" w:hAnsi="Times New Roman" w:cs="Times New Roman"/>
          <w:sz w:val="22"/>
        </w:rPr>
        <w:t xml:space="preserve"> study goal, while Case A is given lower priority. Below are two implementation examples of Case b, both of which help achieve substantial measurement reduction.  </w:t>
      </w:r>
    </w:p>
    <w:p w14:paraId="34E00B54" w14:textId="77777777" w:rsidR="00A30475" w:rsidRDefault="00A30475" w:rsidP="00341547">
      <w:pPr>
        <w:pStyle w:val="RAN4H3"/>
        <w:numPr>
          <w:ilvl w:val="0"/>
          <w:numId w:val="0"/>
        </w:numPr>
        <w:rPr>
          <w:rFonts w:ascii="Times New Roman" w:hAnsi="Times New Roman" w:cs="Times New Roman"/>
          <w:sz w:val="22"/>
        </w:rPr>
      </w:pPr>
    </w:p>
    <w:p w14:paraId="24C9FF26" w14:textId="77777777" w:rsidR="00622379" w:rsidRDefault="00E758FE" w:rsidP="00622379">
      <w:pPr>
        <w:pStyle w:val="RAN4H3"/>
        <w:keepNext/>
        <w:numPr>
          <w:ilvl w:val="0"/>
          <w:numId w:val="0"/>
        </w:numPr>
        <w:jc w:val="center"/>
      </w:pPr>
      <w:r w:rsidRPr="00AC1A17">
        <w:rPr>
          <w:rFonts w:ascii="Times New Roman" w:eastAsia="DengXian" w:hAnsi="Times New Roman" w:cs="Times New Roman"/>
        </w:rPr>
        <w:object w:dxaOrig="4200" w:dyaOrig="2085" w14:anchorId="58FEA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5pt;height:75.85pt" o:ole="">
            <v:imagedata r:id="rId13" o:title=""/>
          </v:shape>
          <o:OLEObject Type="Embed" ProgID="Visio.Drawing.15" ShapeID="_x0000_i1025" DrawAspect="Content" ObjectID="_1800460268" r:id="rId14"/>
        </w:object>
      </w:r>
    </w:p>
    <w:p w14:paraId="26FAD7A2" w14:textId="22EAC94B" w:rsidR="00622379" w:rsidRPr="00622379" w:rsidRDefault="00622379" w:rsidP="00A30475">
      <w:pPr>
        <w:pStyle w:val="Caption"/>
      </w:pPr>
      <w:r>
        <w:t xml:space="preserve">Figure </w:t>
      </w:r>
      <w:r>
        <w:fldChar w:fldCharType="begin"/>
      </w:r>
      <w:r>
        <w:instrText xml:space="preserve"> SEQ Figure \* ARABIC </w:instrText>
      </w:r>
      <w:r>
        <w:fldChar w:fldCharType="separate"/>
      </w:r>
      <w:r w:rsidR="00A30475">
        <w:rPr>
          <w:noProof/>
        </w:rPr>
        <w:t>1</w:t>
      </w:r>
      <w:r>
        <w:fldChar w:fldCharType="end"/>
      </w:r>
      <w:r>
        <w:t xml:space="preserve">: </w:t>
      </w:r>
      <w:r w:rsidRPr="00622379">
        <w:t xml:space="preserve">Example 1 of </w:t>
      </w:r>
      <w:r w:rsidRPr="007516E6">
        <w:t>Intra-frequency temporal domain case B</w:t>
      </w:r>
    </w:p>
    <w:p w14:paraId="1F48576C" w14:textId="77777777" w:rsidR="00622379" w:rsidRDefault="00E758FE" w:rsidP="00622379">
      <w:pPr>
        <w:pStyle w:val="RAN4H3"/>
        <w:keepNext/>
        <w:numPr>
          <w:ilvl w:val="0"/>
          <w:numId w:val="0"/>
        </w:numPr>
        <w:jc w:val="center"/>
      </w:pPr>
      <w:r w:rsidRPr="00AC1A17">
        <w:rPr>
          <w:rFonts w:ascii="Times New Roman" w:eastAsia="DengXian" w:hAnsi="Times New Roman" w:cs="Times New Roman"/>
        </w:rPr>
        <w:object w:dxaOrig="4200" w:dyaOrig="2026" w14:anchorId="28B02D25">
          <v:shape id="_x0000_i1026" type="#_x0000_t75" style="width:157.7pt;height:75.85pt" o:ole="">
            <v:imagedata r:id="rId15" o:title=""/>
          </v:shape>
          <o:OLEObject Type="Embed" ProgID="Visio.Drawing.15" ShapeID="_x0000_i1026" DrawAspect="Content" ObjectID="_1800460269" r:id="rId16"/>
        </w:object>
      </w:r>
    </w:p>
    <w:p w14:paraId="4685B4FB" w14:textId="5E0B62B1" w:rsidR="00E758FE" w:rsidRDefault="00622379" w:rsidP="00622379">
      <w:pPr>
        <w:pStyle w:val="Caption"/>
      </w:pPr>
      <w:r>
        <w:t xml:space="preserve">Figure </w:t>
      </w:r>
      <w:r>
        <w:fldChar w:fldCharType="begin"/>
      </w:r>
      <w:r>
        <w:instrText xml:space="preserve"> SEQ Figure \* ARABIC </w:instrText>
      </w:r>
      <w:r>
        <w:fldChar w:fldCharType="separate"/>
      </w:r>
      <w:r w:rsidR="00A30475">
        <w:rPr>
          <w:noProof/>
        </w:rPr>
        <w:t>2</w:t>
      </w:r>
      <w:r>
        <w:fldChar w:fldCharType="end"/>
      </w:r>
      <w:r>
        <w:t xml:space="preserve">: Example 2 of </w:t>
      </w:r>
      <w:r w:rsidRPr="002001B5">
        <w:t>Intra-frequency temporal domain case B</w:t>
      </w:r>
    </w:p>
    <w:p w14:paraId="75D5FCE9" w14:textId="77777777" w:rsidR="004F2242" w:rsidRPr="004F2242" w:rsidRDefault="004F2242" w:rsidP="004F2242"/>
    <w:p w14:paraId="008CA27D" w14:textId="0EC8A1D3" w:rsidR="00E758FE" w:rsidRDefault="004F2242" w:rsidP="004F2242">
      <w:pPr>
        <w:pStyle w:val="RAN4H3"/>
        <w:numPr>
          <w:ilvl w:val="0"/>
          <w:numId w:val="0"/>
        </w:numPr>
        <w:jc w:val="both"/>
        <w:rPr>
          <w:rFonts w:ascii="Times New Roman" w:hAnsi="Times New Roman" w:cs="Times New Roman"/>
          <w:sz w:val="22"/>
        </w:rPr>
      </w:pPr>
      <w:r>
        <w:rPr>
          <w:rFonts w:ascii="Times New Roman" w:hAnsi="Times New Roman" w:cs="Times New Roman"/>
          <w:sz w:val="22"/>
        </w:rPr>
        <w:t xml:space="preserve">Unlike example 2, where the prediction and observation window may overlap, example 1 has larger gap between consecutive observation windows because the prediction window does not overlap with the observation window. This can make it challenging to accurately assess the measurement prediction performance, especially in dynamic channel conditions. In, particular rapid channel variations can impact reliability of the predicted values, making performance evaluation more complex. </w:t>
      </w:r>
    </w:p>
    <w:p w14:paraId="41F4D067" w14:textId="0F98B78F" w:rsidR="004F2242" w:rsidRPr="006B1DA5" w:rsidRDefault="006B1DA5" w:rsidP="00341547">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t xml:space="preserve">Observation 3: </w:t>
      </w:r>
      <w:r w:rsidR="00D82467" w:rsidRPr="00D82467">
        <w:rPr>
          <w:rFonts w:ascii="Times New Roman" w:hAnsi="Times New Roman" w:cs="Times New Roman"/>
          <w:b/>
          <w:bCs/>
          <w:sz w:val="22"/>
        </w:rPr>
        <w:t>Intra-frequency temporal domain Case A has been categorized as low priority</w:t>
      </w:r>
      <w:r w:rsidR="00D82467">
        <w:rPr>
          <w:rFonts w:ascii="Times New Roman" w:hAnsi="Times New Roman" w:cs="Times New Roman"/>
          <w:b/>
          <w:bCs/>
          <w:sz w:val="22"/>
        </w:rPr>
        <w:t>.</w:t>
      </w:r>
    </w:p>
    <w:p w14:paraId="5CA664F1" w14:textId="624EC1DD" w:rsidR="006B1DA5" w:rsidRDefault="006B1DA5" w:rsidP="00341547">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t xml:space="preserve">Observation 4: </w:t>
      </w:r>
      <w:r w:rsidR="00D82467" w:rsidRPr="00D82467">
        <w:rPr>
          <w:rFonts w:ascii="Times New Roman" w:hAnsi="Times New Roman" w:cs="Times New Roman"/>
          <w:b/>
          <w:bCs/>
          <w:sz w:val="22"/>
        </w:rPr>
        <w:t>larger gap between consecutive observation windows and the absence of overlap between the prediction and observation windows make Intra-frequency temporal domain Case B, Example 1, prediction less reliable.</w:t>
      </w:r>
    </w:p>
    <w:p w14:paraId="57EC2B2A" w14:textId="28E9232C" w:rsidR="00A30475" w:rsidRPr="007C5F20" w:rsidRDefault="00B070FC" w:rsidP="00341547">
      <w:pPr>
        <w:pStyle w:val="RAN4H3"/>
        <w:numPr>
          <w:ilvl w:val="0"/>
          <w:numId w:val="0"/>
        </w:numPr>
        <w:rPr>
          <w:rFonts w:ascii="Times New Roman" w:hAnsi="Times New Roman" w:cs="Times New Roman"/>
          <w:b/>
          <w:bCs/>
          <w:sz w:val="22"/>
        </w:rPr>
      </w:pPr>
      <w:r>
        <w:rPr>
          <w:rFonts w:ascii="Times New Roman" w:hAnsi="Times New Roman" w:cs="Times New Roman"/>
          <w:b/>
          <w:bCs/>
          <w:sz w:val="22"/>
        </w:rPr>
        <w:t xml:space="preserve">Proposal </w:t>
      </w:r>
      <w:r w:rsidR="002356D6">
        <w:rPr>
          <w:rFonts w:ascii="Times New Roman" w:hAnsi="Times New Roman" w:cs="Times New Roman"/>
          <w:b/>
          <w:bCs/>
          <w:sz w:val="22"/>
        </w:rPr>
        <w:t>2</w:t>
      </w:r>
      <w:r>
        <w:rPr>
          <w:rFonts w:ascii="Times New Roman" w:hAnsi="Times New Roman" w:cs="Times New Roman"/>
          <w:b/>
          <w:bCs/>
          <w:sz w:val="22"/>
        </w:rPr>
        <w:t xml:space="preserve">: Prioritize intra frequency temporal domain Case B example 2, for study and performance evaluation. </w:t>
      </w:r>
    </w:p>
    <w:p w14:paraId="4037FB09" w14:textId="76E24D1E" w:rsidR="00E758FE" w:rsidRDefault="007C5F20" w:rsidP="007C5F20">
      <w:pPr>
        <w:pStyle w:val="RAN4H3"/>
        <w:numPr>
          <w:ilvl w:val="0"/>
          <w:numId w:val="0"/>
        </w:numPr>
        <w:jc w:val="both"/>
        <w:rPr>
          <w:rFonts w:ascii="Times New Roman" w:hAnsi="Times New Roman" w:cs="Times New Roman"/>
          <w:sz w:val="22"/>
        </w:rPr>
      </w:pPr>
      <w:r w:rsidRPr="007C5F20">
        <w:rPr>
          <w:rFonts w:ascii="Times New Roman" w:hAnsi="Times New Roman" w:cs="Times New Roman"/>
          <w:sz w:val="22"/>
        </w:rPr>
        <w:t>Figure 3 illustrates RRM measurements prediction in the frequency domain. Predicting measurements for unmeasured frequencies can be challenging due to varying channel conditions across frequency bands. Interference patterns also differ, which can lead to inaccurate predictions if not properly accounted for. Additionally, in scenarios with carrier aggregation or frequency hopping, managing multiple carriers or changing patterns can further reduce the reliability of predictions.</w:t>
      </w:r>
    </w:p>
    <w:p w14:paraId="0E63C117" w14:textId="77777777" w:rsidR="00E758FE" w:rsidRDefault="00E758FE" w:rsidP="00341547">
      <w:pPr>
        <w:pStyle w:val="RAN4H3"/>
        <w:numPr>
          <w:ilvl w:val="0"/>
          <w:numId w:val="0"/>
        </w:numPr>
        <w:rPr>
          <w:rFonts w:ascii="Times New Roman" w:hAnsi="Times New Roman" w:cs="Times New Roman"/>
          <w:sz w:val="22"/>
        </w:rPr>
      </w:pPr>
    </w:p>
    <w:p w14:paraId="4F3D3C1C" w14:textId="77777777" w:rsidR="00A30475" w:rsidRDefault="00655CC5" w:rsidP="00A30475">
      <w:pPr>
        <w:pStyle w:val="RAN4H3"/>
        <w:keepNext/>
        <w:numPr>
          <w:ilvl w:val="0"/>
          <w:numId w:val="0"/>
        </w:numPr>
        <w:jc w:val="center"/>
      </w:pPr>
      <w:r>
        <w:rPr>
          <w:noProof/>
          <w:sz w:val="22"/>
        </w:rPr>
        <w:drawing>
          <wp:inline distT="0" distB="0" distL="0" distR="0" wp14:anchorId="26419DF0" wp14:editId="4F2638EE">
            <wp:extent cx="3018692" cy="1724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4363" cy="1727304"/>
                    </a:xfrm>
                    <a:prstGeom prst="rect">
                      <a:avLst/>
                    </a:prstGeom>
                    <a:noFill/>
                  </pic:spPr>
                </pic:pic>
              </a:graphicData>
            </a:graphic>
          </wp:inline>
        </w:drawing>
      </w:r>
    </w:p>
    <w:p w14:paraId="6568B8C5" w14:textId="633298C7" w:rsidR="00655CC5" w:rsidRDefault="00A30475" w:rsidP="00A30475">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832BA7">
        <w:t>Inter frequency measurement prediction</w:t>
      </w:r>
    </w:p>
    <w:p w14:paraId="72052E3F" w14:textId="46ED1C40" w:rsidR="000C2234" w:rsidRPr="000C2234" w:rsidRDefault="000C2234" w:rsidP="0093448E">
      <w:pPr>
        <w:jc w:val="both"/>
        <w:rPr>
          <w:b/>
          <w:bCs/>
          <w:sz w:val="22"/>
          <w:szCs w:val="24"/>
        </w:rPr>
      </w:pPr>
      <w:r w:rsidRPr="00BC3590">
        <w:rPr>
          <w:b/>
          <w:bCs/>
          <w:sz w:val="22"/>
          <w:szCs w:val="24"/>
        </w:rPr>
        <w:lastRenderedPageBreak/>
        <w:t xml:space="preserve">Observation 5: </w:t>
      </w:r>
      <w:r w:rsidRPr="000C2234">
        <w:rPr>
          <w:b/>
          <w:bCs/>
          <w:sz w:val="22"/>
          <w:szCs w:val="24"/>
        </w:rPr>
        <w:t>Predicting multiple inter-frequency measurements can be challenging due to varying channel conditions across different frequencies</w:t>
      </w:r>
    </w:p>
    <w:p w14:paraId="271C0421" w14:textId="7DF66ECA" w:rsidR="007C5F20" w:rsidRDefault="0093448E" w:rsidP="0093448E">
      <w:pPr>
        <w:jc w:val="both"/>
        <w:rPr>
          <w:sz w:val="22"/>
          <w:szCs w:val="24"/>
        </w:rPr>
      </w:pPr>
      <w:r w:rsidRPr="0093448E">
        <w:rPr>
          <w:sz w:val="22"/>
          <w:szCs w:val="24"/>
        </w:rPr>
        <w:t>In scenarios where measurements are limited to the serving frequency, it can be beneficial to consider monitoring neighbouring frequencies for short durations</w:t>
      </w:r>
      <w:r>
        <w:rPr>
          <w:sz w:val="22"/>
          <w:szCs w:val="24"/>
        </w:rPr>
        <w:t xml:space="preserve">. </w:t>
      </w:r>
      <w:r w:rsidRPr="0093448E">
        <w:rPr>
          <w:sz w:val="22"/>
          <w:szCs w:val="24"/>
        </w:rPr>
        <w:t>By incorporating measurements from inter-frequency neighbours and combining them with predictions based on temporal trends, the accuracy of these predictions can be improved. Temporal domain prediction, which relies on past measurement trends over time, can be enhanced by the additional context provided by inter-frequency measurements</w:t>
      </w:r>
      <w:r>
        <w:rPr>
          <w:sz w:val="22"/>
          <w:szCs w:val="24"/>
        </w:rPr>
        <w:t xml:space="preserve">. </w:t>
      </w:r>
      <w:r w:rsidRPr="0093448E">
        <w:rPr>
          <w:sz w:val="22"/>
          <w:szCs w:val="24"/>
        </w:rPr>
        <w:t>This integration could provide a more comprehensive understanding of the network, potentially leading to more accurate predictions without significantly increasing measurement overhead</w:t>
      </w:r>
      <w:r>
        <w:rPr>
          <w:sz w:val="22"/>
          <w:szCs w:val="24"/>
        </w:rPr>
        <w:t xml:space="preserve">. </w:t>
      </w:r>
    </w:p>
    <w:p w14:paraId="11887DCC" w14:textId="5B48411A" w:rsidR="00BC3590" w:rsidRDefault="0093448E" w:rsidP="0093448E">
      <w:pPr>
        <w:jc w:val="both"/>
        <w:rPr>
          <w:sz w:val="22"/>
          <w:szCs w:val="24"/>
        </w:rPr>
      </w:pPr>
      <w:r w:rsidRPr="0093448E">
        <w:rPr>
          <w:sz w:val="22"/>
          <w:szCs w:val="24"/>
        </w:rPr>
        <w:t>Similarly, the same concept can be applied to the spatial domain. By integrating spatial predictions with temporal trends, a more robust and accurate prediction can be made, as spatial variations (such as differences in signal strength across locations) are taken into account alongside time-based changes. This integration helps account for the dynamic nature of the environment, where both spatial and temporal factors influence performance.</w:t>
      </w:r>
    </w:p>
    <w:p w14:paraId="3E1F1876" w14:textId="2B20724B" w:rsidR="006F1286" w:rsidRDefault="00CE48D6" w:rsidP="00946C8F">
      <w:pPr>
        <w:jc w:val="both"/>
        <w:rPr>
          <w:b/>
          <w:bCs/>
          <w:sz w:val="22"/>
          <w:szCs w:val="24"/>
        </w:rPr>
      </w:pPr>
      <w:r>
        <w:rPr>
          <w:b/>
          <w:bCs/>
          <w:sz w:val="22"/>
          <w:szCs w:val="24"/>
        </w:rPr>
        <w:t xml:space="preserve">Proposal </w:t>
      </w:r>
      <w:r w:rsidR="002356D6">
        <w:rPr>
          <w:b/>
          <w:bCs/>
          <w:sz w:val="22"/>
          <w:szCs w:val="24"/>
        </w:rPr>
        <w:t>3</w:t>
      </w:r>
      <w:r w:rsidR="00BC3590" w:rsidRPr="00BC3590">
        <w:rPr>
          <w:b/>
          <w:bCs/>
          <w:sz w:val="22"/>
          <w:szCs w:val="24"/>
        </w:rPr>
        <w:t xml:space="preserve">: </w:t>
      </w:r>
      <w:r w:rsidRPr="00CE48D6">
        <w:rPr>
          <w:b/>
          <w:bCs/>
          <w:sz w:val="22"/>
          <w:szCs w:val="24"/>
        </w:rPr>
        <w:t>RAN4 should explore potential enhancements in inter-frequency and spatial domain measurement prediction by combining them with temporal domain prediction.</w:t>
      </w:r>
    </w:p>
    <w:p w14:paraId="16CD812A" w14:textId="77777777" w:rsidR="00946C8F" w:rsidRPr="00946C8F" w:rsidRDefault="00946C8F" w:rsidP="00946C8F">
      <w:pPr>
        <w:jc w:val="both"/>
        <w:rPr>
          <w:b/>
          <w:bCs/>
          <w:sz w:val="22"/>
          <w:szCs w:val="24"/>
        </w:rPr>
      </w:pPr>
    </w:p>
    <w:p w14:paraId="39056998" w14:textId="254550A4" w:rsidR="0052782E" w:rsidRPr="006F1286" w:rsidRDefault="00B83B8F" w:rsidP="006F1286">
      <w:pPr>
        <w:pStyle w:val="RAN4H2"/>
        <w:rPr>
          <w:sz w:val="28"/>
          <w:szCs w:val="28"/>
        </w:rPr>
      </w:pPr>
      <w:r>
        <w:rPr>
          <w:sz w:val="28"/>
          <w:szCs w:val="28"/>
        </w:rPr>
        <w:t>Absolute and relative p</w:t>
      </w:r>
      <w:r w:rsidR="006F1286" w:rsidRPr="006F1286">
        <w:rPr>
          <w:sz w:val="28"/>
          <w:szCs w:val="28"/>
        </w:rPr>
        <w:t>rediction accuracy</w:t>
      </w:r>
      <w:r w:rsidR="004E06EF">
        <w:rPr>
          <w:sz w:val="28"/>
          <w:szCs w:val="28"/>
        </w:rPr>
        <w:t xml:space="preserve"> </w:t>
      </w:r>
      <w:r w:rsidR="006F1286" w:rsidRPr="006F1286">
        <w:rPr>
          <w:sz w:val="28"/>
          <w:szCs w:val="28"/>
        </w:rPr>
        <w:t xml:space="preserve"> </w:t>
      </w:r>
    </w:p>
    <w:p w14:paraId="1FC23ABD" w14:textId="6CA45AE8" w:rsidR="006F1286" w:rsidRDefault="006F1286" w:rsidP="00A6276C">
      <w:pPr>
        <w:autoSpaceDN w:val="0"/>
        <w:spacing w:after="120"/>
        <w:rPr>
          <w:szCs w:val="20"/>
          <w:highlight w:val="green"/>
        </w:rPr>
      </w:pPr>
    </w:p>
    <w:tbl>
      <w:tblPr>
        <w:tblStyle w:val="TableGrid"/>
        <w:tblW w:w="0" w:type="auto"/>
        <w:tblLook w:val="04A0" w:firstRow="1" w:lastRow="0" w:firstColumn="1" w:lastColumn="0" w:noHBand="0" w:noVBand="1"/>
      </w:tblPr>
      <w:tblGrid>
        <w:gridCol w:w="9617"/>
      </w:tblGrid>
      <w:tr w:rsidR="00A6276C" w14:paraId="7589FBC5" w14:textId="77777777" w:rsidTr="00B0027E">
        <w:tc>
          <w:tcPr>
            <w:tcW w:w="9617" w:type="dxa"/>
          </w:tcPr>
          <w:p w14:paraId="6D44BA4E" w14:textId="77777777" w:rsidR="00A6276C" w:rsidRDefault="00A6276C" w:rsidP="00A6276C">
            <w:pPr>
              <w:spacing w:after="120"/>
              <w:rPr>
                <w:color w:val="000000" w:themeColor="text1"/>
                <w:szCs w:val="24"/>
                <w:lang w:eastAsia="zh-CN"/>
              </w:rPr>
            </w:pPr>
            <w:r w:rsidRPr="00A6276C">
              <w:rPr>
                <w:color w:val="000000" w:themeColor="text1"/>
                <w:szCs w:val="24"/>
                <w:lang w:eastAsia="zh-CN"/>
              </w:rPr>
              <w:t>Agreement:</w:t>
            </w:r>
          </w:p>
          <w:p w14:paraId="00AC33A2" w14:textId="77777777" w:rsidR="00A6276C" w:rsidRDefault="00A6276C" w:rsidP="00A6276C">
            <w:pPr>
              <w:pStyle w:val="ListParagraph"/>
              <w:numPr>
                <w:ilvl w:val="0"/>
                <w:numId w:val="16"/>
              </w:numPr>
              <w:overflowPunct w:val="0"/>
              <w:autoSpaceDE w:val="0"/>
              <w:autoSpaceDN w:val="0"/>
              <w:adjustRightInd w:val="0"/>
              <w:spacing w:before="120" w:after="120"/>
              <w:contextualSpacing w:val="0"/>
              <w:textAlignment w:val="baseline"/>
              <w:rPr>
                <w:rFonts w:eastAsia="Yu Mincho"/>
              </w:rPr>
            </w:pPr>
            <w:r>
              <w:rPr>
                <w:rFonts w:eastAsia="Yu Mincho"/>
              </w:rPr>
              <w:t xml:space="preserve">For testing, </w:t>
            </w:r>
            <w:r w:rsidRPr="00414114">
              <w:rPr>
                <w:rFonts w:eastAsia="Yu Mincho"/>
              </w:rPr>
              <w:t xml:space="preserve">Absolute </w:t>
            </w:r>
            <w:r w:rsidRPr="004F6ED8">
              <w:rPr>
                <w:rFonts w:eastAsia="Yu Mincho"/>
              </w:rPr>
              <w:t>L3</w:t>
            </w:r>
            <w:r>
              <w:rPr>
                <w:rFonts w:eastAsia="Yu Mincho"/>
              </w:rPr>
              <w:t xml:space="preserve"> Predicted </w:t>
            </w:r>
            <w:r w:rsidRPr="00414114">
              <w:rPr>
                <w:rFonts w:eastAsia="Yu Mincho"/>
              </w:rPr>
              <w:t xml:space="preserve">RSRP Accuracy = </w:t>
            </w:r>
            <w:r>
              <w:rPr>
                <w:rFonts w:eastAsia="Yu Mincho"/>
              </w:rPr>
              <w:t xml:space="preserve">reported </w:t>
            </w:r>
            <w:r w:rsidRPr="00414114">
              <w:rPr>
                <w:rFonts w:eastAsia="Yu Mincho"/>
              </w:rPr>
              <w:t xml:space="preserve">predicted </w:t>
            </w:r>
            <w:r w:rsidRPr="004F6ED8">
              <w:rPr>
                <w:rFonts w:eastAsia="Yu Mincho"/>
              </w:rPr>
              <w:t>L3-RSRP</w:t>
            </w:r>
            <w:r w:rsidRPr="00414114">
              <w:rPr>
                <w:rFonts w:eastAsia="Yu Mincho"/>
              </w:rPr>
              <w:t> </w:t>
            </w:r>
            <w:r>
              <w:rPr>
                <w:rFonts w:eastAsia="Yu Mincho"/>
              </w:rPr>
              <w:t>–</w:t>
            </w:r>
            <w:r w:rsidRPr="00414114">
              <w:rPr>
                <w:rFonts w:eastAsia="Yu Mincho"/>
              </w:rPr>
              <w:t xml:space="preserve"> </w:t>
            </w:r>
            <w:r>
              <w:rPr>
                <w:rFonts w:eastAsia="Yu Mincho"/>
              </w:rPr>
              <w:t>ground truth of</w:t>
            </w:r>
            <w:r w:rsidRPr="00414114">
              <w:rPr>
                <w:rFonts w:eastAsia="Yu Mincho"/>
              </w:rPr>
              <w:t xml:space="preserve"> </w:t>
            </w:r>
            <w:r w:rsidRPr="004F6ED8">
              <w:rPr>
                <w:rFonts w:eastAsia="Yu Mincho"/>
              </w:rPr>
              <w:t>L3-RSRP</w:t>
            </w:r>
          </w:p>
          <w:p w14:paraId="6945738A" w14:textId="77777777" w:rsidR="00A6276C" w:rsidRPr="004F6ED8" w:rsidRDefault="00A6276C" w:rsidP="00A6276C">
            <w:pPr>
              <w:pStyle w:val="ListParagraph"/>
              <w:numPr>
                <w:ilvl w:val="1"/>
                <w:numId w:val="16"/>
              </w:numPr>
              <w:overflowPunct w:val="0"/>
              <w:autoSpaceDE w:val="0"/>
              <w:autoSpaceDN w:val="0"/>
              <w:adjustRightInd w:val="0"/>
              <w:spacing w:before="120" w:after="120"/>
              <w:contextualSpacing w:val="0"/>
              <w:textAlignment w:val="baseline"/>
              <w:rPr>
                <w:rFonts w:eastAsia="Yu Mincho"/>
              </w:rPr>
            </w:pPr>
            <w:r>
              <w:rPr>
                <w:rFonts w:eastAsia="Yu Mincho"/>
              </w:rPr>
              <w:t>FFS Ground truth definition of L3-RSRP for FR1 and FR2</w:t>
            </w:r>
          </w:p>
          <w:p w14:paraId="0F34BED7" w14:textId="77777777" w:rsidR="00A6276C" w:rsidRPr="00F13025" w:rsidRDefault="00A6276C" w:rsidP="00A6276C">
            <w:pPr>
              <w:tabs>
                <w:tab w:val="left" w:pos="1440"/>
              </w:tabs>
              <w:spacing w:afterLines="50" w:after="120"/>
              <w:jc w:val="both"/>
              <w:textAlignment w:val="baseline"/>
              <w:rPr>
                <w:rFonts w:eastAsia="SimSun"/>
                <w:szCs w:val="24"/>
                <w:lang w:eastAsia="zh-CN"/>
              </w:rPr>
            </w:pPr>
          </w:p>
        </w:tc>
      </w:tr>
    </w:tbl>
    <w:p w14:paraId="5E61E53E" w14:textId="77777777" w:rsidR="00A6276C" w:rsidRPr="00A6276C" w:rsidRDefault="00A6276C" w:rsidP="00A6276C">
      <w:pPr>
        <w:autoSpaceDN w:val="0"/>
        <w:spacing w:after="120"/>
        <w:rPr>
          <w:szCs w:val="20"/>
          <w:highlight w:val="green"/>
        </w:rPr>
      </w:pPr>
    </w:p>
    <w:p w14:paraId="2001B3D3" w14:textId="43CF2A2B" w:rsidR="006F1286" w:rsidRDefault="004E06EF" w:rsidP="0052782E">
      <w:pPr>
        <w:pStyle w:val="RAN4H3"/>
        <w:numPr>
          <w:ilvl w:val="0"/>
          <w:numId w:val="0"/>
        </w:numPr>
        <w:rPr>
          <w:rFonts w:ascii="Times New Roman" w:hAnsi="Times New Roman" w:cs="Times New Roman"/>
          <w:sz w:val="22"/>
          <w:szCs w:val="20"/>
        </w:rPr>
      </w:pPr>
      <w:r>
        <w:rPr>
          <w:rFonts w:ascii="Times New Roman" w:hAnsi="Times New Roman" w:cs="Times New Roman"/>
          <w:sz w:val="22"/>
          <w:szCs w:val="20"/>
        </w:rPr>
        <w:t>The proposed definition of L3 cell level predicted RSRP is:</w:t>
      </w:r>
    </w:p>
    <w:p w14:paraId="7D919865" w14:textId="2C991711" w:rsidR="004E06EF" w:rsidRDefault="004E06EF" w:rsidP="0052782E">
      <w:pPr>
        <w:pStyle w:val="RAN4H3"/>
        <w:numPr>
          <w:ilvl w:val="0"/>
          <w:numId w:val="0"/>
        </w:numPr>
        <w:rPr>
          <w:rFonts w:ascii="Times New Roman" w:hAnsi="Times New Roman" w:cs="Times New Roman"/>
          <w:sz w:val="22"/>
          <w:szCs w:val="20"/>
        </w:rPr>
      </w:pPr>
      <w:r>
        <w:rPr>
          <w:rFonts w:ascii="Times New Roman" w:hAnsi="Times New Roman" w:cs="Times New Roman"/>
          <w:sz w:val="22"/>
          <w:szCs w:val="20"/>
        </w:rPr>
        <w:t>L3 cell level RSRP accuracy = L3 cell level reported predicted RSRP – Ground truth of L3 cell level RSRP</w:t>
      </w:r>
    </w:p>
    <w:p w14:paraId="4DAC655A" w14:textId="513375E3" w:rsidR="00904608" w:rsidRDefault="00193CE4" w:rsidP="00193CE4">
      <w:pPr>
        <w:pStyle w:val="RAN4H3"/>
        <w:numPr>
          <w:ilvl w:val="0"/>
          <w:numId w:val="0"/>
        </w:numPr>
        <w:jc w:val="both"/>
        <w:rPr>
          <w:rFonts w:ascii="Times New Roman" w:hAnsi="Times New Roman" w:cs="Times New Roman"/>
          <w:sz w:val="22"/>
          <w:szCs w:val="20"/>
        </w:rPr>
      </w:pPr>
      <w:r w:rsidRPr="00193CE4">
        <w:rPr>
          <w:rFonts w:ascii="Times New Roman" w:hAnsi="Times New Roman" w:cs="Times New Roman"/>
          <w:sz w:val="22"/>
          <w:szCs w:val="20"/>
        </w:rPr>
        <w:t>FR1 is a conducted test and has lower uncertainty due to the controlled and predictable nature of the test. In this case, the ground truth can be accurately estimated using the test equipment. Additionally, relying on reported measurements may not always provide the most accurate results, as they can be influenced by factors at the UE, such as signal quality or interference.</w:t>
      </w:r>
    </w:p>
    <w:p w14:paraId="60CDD653" w14:textId="53A41614" w:rsidR="009956D2" w:rsidRDefault="00457F2B" w:rsidP="00193CE4">
      <w:pPr>
        <w:pStyle w:val="RAN4H3"/>
        <w:numPr>
          <w:ilvl w:val="0"/>
          <w:numId w:val="0"/>
        </w:numPr>
        <w:jc w:val="both"/>
        <w:rPr>
          <w:rFonts w:ascii="Times New Roman" w:hAnsi="Times New Roman" w:cs="Times New Roman"/>
          <w:sz w:val="22"/>
          <w:szCs w:val="20"/>
        </w:rPr>
      </w:pPr>
      <w:r w:rsidRPr="00457F2B">
        <w:rPr>
          <w:rFonts w:ascii="Times New Roman" w:hAnsi="Times New Roman" w:cs="Times New Roman"/>
          <w:sz w:val="22"/>
          <w:szCs w:val="20"/>
        </w:rPr>
        <w:t>Since FR2 involves a radiated test setup, extracting the ground truth RSRP is challenging. Relying on reported L3 cell measurement results bring up concerns due to the unknown Rx beamforming gain, which needs to be addressed. Maintaining a high SNR environment can be considered to ensure accurate reporting</w:t>
      </w:r>
      <w:r>
        <w:rPr>
          <w:rFonts w:ascii="Times New Roman" w:hAnsi="Times New Roman" w:cs="Times New Roman"/>
          <w:sz w:val="22"/>
          <w:szCs w:val="20"/>
        </w:rPr>
        <w:t>.</w:t>
      </w:r>
    </w:p>
    <w:p w14:paraId="7534F323" w14:textId="787BC888" w:rsidR="00193CE4" w:rsidRPr="00011DBB" w:rsidRDefault="00193CE4" w:rsidP="00193CE4">
      <w:pPr>
        <w:pStyle w:val="RAN4H3"/>
        <w:numPr>
          <w:ilvl w:val="0"/>
          <w:numId w:val="0"/>
        </w:numPr>
        <w:jc w:val="both"/>
        <w:rPr>
          <w:rFonts w:ascii="Times New Roman" w:hAnsi="Times New Roman" w:cs="Times New Roman"/>
          <w:b/>
          <w:bCs/>
          <w:sz w:val="22"/>
          <w:szCs w:val="20"/>
        </w:rPr>
      </w:pPr>
      <w:r w:rsidRPr="00011DBB">
        <w:rPr>
          <w:rFonts w:ascii="Times New Roman" w:hAnsi="Times New Roman" w:cs="Times New Roman"/>
          <w:b/>
          <w:bCs/>
          <w:sz w:val="22"/>
          <w:szCs w:val="20"/>
        </w:rPr>
        <w:t xml:space="preserve">Proposal 4: </w:t>
      </w:r>
      <w:r w:rsidR="00011DBB" w:rsidRPr="00011DBB">
        <w:rPr>
          <w:rFonts w:ascii="Times New Roman" w:hAnsi="Times New Roman" w:cs="Times New Roman"/>
          <w:b/>
          <w:bCs/>
          <w:sz w:val="22"/>
          <w:szCs w:val="20"/>
        </w:rPr>
        <w:t>For FR1 conducted tests, the ground truth should be derived from the test equipment.</w:t>
      </w:r>
    </w:p>
    <w:p w14:paraId="03F94274" w14:textId="4EA75D31" w:rsidR="00DD4CB8" w:rsidRDefault="00DD4CB8" w:rsidP="009E7431">
      <w:pPr>
        <w:pStyle w:val="RAN4H3"/>
        <w:numPr>
          <w:ilvl w:val="0"/>
          <w:numId w:val="0"/>
        </w:numPr>
        <w:rPr>
          <w:rFonts w:ascii="Times New Roman" w:hAnsi="Times New Roman" w:cs="Times New Roman"/>
          <w:sz w:val="22"/>
          <w:szCs w:val="20"/>
        </w:rPr>
      </w:pPr>
      <w:r>
        <w:rPr>
          <w:rFonts w:ascii="Times New Roman" w:hAnsi="Times New Roman" w:cs="Times New Roman"/>
          <w:sz w:val="22"/>
          <w:szCs w:val="20"/>
        </w:rPr>
        <w:t xml:space="preserve">Relative RSRP accuracy provides a better understanding of how accurately the predictions are made relative to the best prediction. </w:t>
      </w:r>
    </w:p>
    <w:p w14:paraId="3DF2D2B5" w14:textId="53217954" w:rsidR="004864E6" w:rsidRPr="00CB54CD" w:rsidRDefault="00DD4CB8" w:rsidP="009E7431">
      <w:pPr>
        <w:pStyle w:val="RAN4H3"/>
        <w:numPr>
          <w:ilvl w:val="0"/>
          <w:numId w:val="0"/>
        </w:numPr>
        <w:rPr>
          <w:rFonts w:ascii="Times New Roman" w:hAnsi="Times New Roman" w:cs="Times New Roman"/>
          <w:b/>
          <w:bCs/>
          <w:sz w:val="22"/>
          <w:szCs w:val="20"/>
        </w:rPr>
      </w:pPr>
      <w:r w:rsidRPr="00DD4CB8">
        <w:rPr>
          <w:rFonts w:ascii="Times New Roman" w:hAnsi="Times New Roman" w:cs="Times New Roman"/>
          <w:b/>
          <w:bCs/>
          <w:sz w:val="22"/>
          <w:szCs w:val="20"/>
        </w:rPr>
        <w:t xml:space="preserve">Proposal 5: </w:t>
      </w:r>
      <w:r w:rsidR="00904608" w:rsidRPr="00DD4CB8">
        <w:rPr>
          <w:rFonts w:ascii="Times New Roman" w:hAnsi="Times New Roman" w:cs="Times New Roman"/>
          <w:b/>
          <w:bCs/>
          <w:sz w:val="22"/>
          <w:szCs w:val="20"/>
        </w:rPr>
        <w:t xml:space="preserve">RAN4 to </w:t>
      </w:r>
      <w:r w:rsidRPr="00DD4CB8">
        <w:rPr>
          <w:rFonts w:ascii="Times New Roman" w:hAnsi="Times New Roman" w:cs="Times New Roman"/>
          <w:b/>
          <w:bCs/>
          <w:sz w:val="22"/>
          <w:szCs w:val="20"/>
        </w:rPr>
        <w:t>consider</w:t>
      </w:r>
      <w:r w:rsidR="00904608" w:rsidRPr="00DD4CB8">
        <w:rPr>
          <w:rFonts w:ascii="Times New Roman" w:hAnsi="Times New Roman" w:cs="Times New Roman"/>
          <w:b/>
          <w:bCs/>
          <w:sz w:val="22"/>
          <w:szCs w:val="20"/>
        </w:rPr>
        <w:t xml:space="preserve"> both absolute and relative RSRP accuracy requirements</w:t>
      </w:r>
      <w:r w:rsidRPr="00DD4CB8">
        <w:rPr>
          <w:rFonts w:ascii="Times New Roman" w:hAnsi="Times New Roman" w:cs="Times New Roman"/>
          <w:b/>
          <w:bCs/>
          <w:sz w:val="22"/>
          <w:szCs w:val="20"/>
        </w:rPr>
        <w:t xml:space="preserve"> for study</w:t>
      </w:r>
      <w:r w:rsidR="00904608" w:rsidRPr="00DD4CB8">
        <w:rPr>
          <w:rFonts w:ascii="Times New Roman" w:hAnsi="Times New Roman" w:cs="Times New Roman"/>
          <w:b/>
          <w:bCs/>
          <w:sz w:val="22"/>
          <w:szCs w:val="20"/>
        </w:rPr>
        <w:t xml:space="preserve">. </w:t>
      </w:r>
    </w:p>
    <w:p w14:paraId="1B35217A" w14:textId="12F4F966" w:rsidR="00847264" w:rsidRPr="0013167C" w:rsidRDefault="00CD7492" w:rsidP="008C39F7">
      <w:pPr>
        <w:pStyle w:val="RAN4H1"/>
        <w:rPr>
          <w:sz w:val="32"/>
          <w:szCs w:val="18"/>
          <w:lang w:val="en-US"/>
        </w:rPr>
      </w:pPr>
      <w:bookmarkStart w:id="11" w:name="_Toc116995848"/>
      <w:r w:rsidRPr="0013167C">
        <w:rPr>
          <w:sz w:val="32"/>
          <w:szCs w:val="18"/>
          <w:lang w:val="en-US"/>
        </w:rPr>
        <w:t>Conclusion</w:t>
      </w:r>
      <w:bookmarkStart w:id="12" w:name="_Toc116995849"/>
      <w:bookmarkEnd w:id="11"/>
    </w:p>
    <w:p w14:paraId="5B1067F0" w14:textId="1213C9C5" w:rsidR="00CC7F40" w:rsidRDefault="00CC7F40" w:rsidP="006130A2">
      <w:pPr>
        <w:jc w:val="both"/>
        <w:rPr>
          <w:sz w:val="22"/>
          <w:szCs w:val="24"/>
          <w:lang w:val="en-US"/>
        </w:rPr>
      </w:pPr>
      <w:bookmarkStart w:id="13" w:name="_Hlk181955750"/>
      <w:r>
        <w:rPr>
          <w:sz w:val="22"/>
          <w:szCs w:val="24"/>
          <w:lang w:val="en-US"/>
        </w:rPr>
        <w:t xml:space="preserve">This section summarizes our discussion by listing all the observations and proposals discussed in this contribution. </w:t>
      </w:r>
    </w:p>
    <w:p w14:paraId="0F1B6DBA" w14:textId="77777777" w:rsidR="009D4199" w:rsidRPr="002356D6" w:rsidRDefault="009D4199" w:rsidP="009D4199">
      <w:pPr>
        <w:pStyle w:val="RAN4H3"/>
        <w:numPr>
          <w:ilvl w:val="0"/>
          <w:numId w:val="0"/>
        </w:numPr>
        <w:jc w:val="both"/>
        <w:rPr>
          <w:rFonts w:ascii="Times New Roman" w:hAnsi="Times New Roman" w:cs="Times New Roman"/>
          <w:b/>
          <w:bCs/>
          <w:sz w:val="22"/>
        </w:rPr>
      </w:pPr>
      <w:r w:rsidRPr="00960F49">
        <w:rPr>
          <w:rFonts w:ascii="Times New Roman" w:hAnsi="Times New Roman" w:cs="Times New Roman"/>
          <w:b/>
          <w:bCs/>
          <w:sz w:val="22"/>
        </w:rPr>
        <w:lastRenderedPageBreak/>
        <w:t>Observation 1: Sub-use Case 1 helps reduce measurements, but prediction inaccuracies may degrade the generated L3 cell-level measurements and handover performance.</w:t>
      </w:r>
    </w:p>
    <w:p w14:paraId="6D9CBA28" w14:textId="77777777" w:rsidR="009D4199" w:rsidRPr="00B547E5" w:rsidRDefault="009D4199" w:rsidP="009D4199">
      <w:pPr>
        <w:pStyle w:val="RAN4H3"/>
        <w:numPr>
          <w:ilvl w:val="0"/>
          <w:numId w:val="0"/>
        </w:numPr>
        <w:jc w:val="both"/>
        <w:rPr>
          <w:rFonts w:ascii="Times New Roman" w:hAnsi="Times New Roman" w:cs="Times New Roman"/>
          <w:b/>
          <w:bCs/>
          <w:sz w:val="22"/>
        </w:rPr>
      </w:pPr>
      <w:r w:rsidRPr="00B547E5">
        <w:rPr>
          <w:rFonts w:ascii="Times New Roman" w:hAnsi="Times New Roman" w:cs="Times New Roman"/>
          <w:b/>
          <w:bCs/>
          <w:sz w:val="22"/>
        </w:rPr>
        <w:t>Observation 2: Sub-use Case 2 and 3 help improve handover performance through reliable predictions.</w:t>
      </w:r>
    </w:p>
    <w:p w14:paraId="56ED4120" w14:textId="77777777" w:rsidR="009D4199" w:rsidRPr="006B1DA5" w:rsidRDefault="009D4199" w:rsidP="009D4199">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t xml:space="preserve">Observation 3: </w:t>
      </w:r>
      <w:r w:rsidRPr="00D82467">
        <w:rPr>
          <w:rFonts w:ascii="Times New Roman" w:hAnsi="Times New Roman" w:cs="Times New Roman"/>
          <w:b/>
          <w:bCs/>
          <w:sz w:val="22"/>
        </w:rPr>
        <w:t>Intra-frequency temporal domain Case A has been categorized as low priority</w:t>
      </w:r>
      <w:r>
        <w:rPr>
          <w:rFonts w:ascii="Times New Roman" w:hAnsi="Times New Roman" w:cs="Times New Roman"/>
          <w:b/>
          <w:bCs/>
          <w:sz w:val="22"/>
        </w:rPr>
        <w:t>.</w:t>
      </w:r>
    </w:p>
    <w:p w14:paraId="66E84935" w14:textId="77777777" w:rsidR="009D4199" w:rsidRDefault="009D4199" w:rsidP="009D4199">
      <w:pPr>
        <w:pStyle w:val="RAN4H3"/>
        <w:numPr>
          <w:ilvl w:val="0"/>
          <w:numId w:val="0"/>
        </w:numPr>
        <w:rPr>
          <w:rFonts w:ascii="Times New Roman" w:hAnsi="Times New Roman" w:cs="Times New Roman"/>
          <w:b/>
          <w:bCs/>
          <w:sz w:val="22"/>
        </w:rPr>
      </w:pPr>
      <w:r w:rsidRPr="006B1DA5">
        <w:rPr>
          <w:rFonts w:ascii="Times New Roman" w:hAnsi="Times New Roman" w:cs="Times New Roman"/>
          <w:b/>
          <w:bCs/>
          <w:sz w:val="22"/>
        </w:rPr>
        <w:t xml:space="preserve">Observation 4: </w:t>
      </w:r>
      <w:r w:rsidRPr="00D82467">
        <w:rPr>
          <w:rFonts w:ascii="Times New Roman" w:hAnsi="Times New Roman" w:cs="Times New Roman"/>
          <w:b/>
          <w:bCs/>
          <w:sz w:val="22"/>
        </w:rPr>
        <w:t>larger gap between consecutive observation windows and the absence of overlap between the prediction and observation windows make Intra-frequency temporal domain Case B, Example 1, prediction less reliable.</w:t>
      </w:r>
    </w:p>
    <w:p w14:paraId="49CCD178" w14:textId="77777777" w:rsidR="009D4199" w:rsidRPr="000C2234" w:rsidRDefault="009D4199" w:rsidP="009D4199">
      <w:pPr>
        <w:jc w:val="both"/>
        <w:rPr>
          <w:b/>
          <w:bCs/>
          <w:sz w:val="22"/>
          <w:szCs w:val="24"/>
        </w:rPr>
      </w:pPr>
      <w:r w:rsidRPr="00BC3590">
        <w:rPr>
          <w:b/>
          <w:bCs/>
          <w:sz w:val="22"/>
          <w:szCs w:val="24"/>
        </w:rPr>
        <w:t xml:space="preserve">Observation 5: </w:t>
      </w:r>
      <w:r w:rsidRPr="000C2234">
        <w:rPr>
          <w:b/>
          <w:bCs/>
          <w:sz w:val="22"/>
          <w:szCs w:val="24"/>
        </w:rPr>
        <w:t>Predicting multiple inter-frequency measurements can be challenging due to varying channel conditions across different frequencies</w:t>
      </w:r>
    </w:p>
    <w:p w14:paraId="1D9F09EF" w14:textId="77777777" w:rsidR="009D4199" w:rsidRDefault="009D4199" w:rsidP="009D4199">
      <w:pPr>
        <w:pStyle w:val="RAN4H3"/>
        <w:numPr>
          <w:ilvl w:val="0"/>
          <w:numId w:val="0"/>
        </w:numPr>
        <w:jc w:val="both"/>
        <w:rPr>
          <w:rFonts w:ascii="Times New Roman" w:hAnsi="Times New Roman" w:cs="Times New Roman"/>
          <w:b/>
          <w:bCs/>
          <w:sz w:val="22"/>
        </w:rPr>
      </w:pPr>
      <w:r w:rsidRPr="002356D6">
        <w:rPr>
          <w:rFonts w:ascii="Times New Roman" w:hAnsi="Times New Roman" w:cs="Times New Roman"/>
          <w:b/>
          <w:bCs/>
          <w:sz w:val="22"/>
        </w:rPr>
        <w:t>Proposal 1</w:t>
      </w:r>
      <w:r>
        <w:rPr>
          <w:rFonts w:ascii="Times New Roman" w:hAnsi="Times New Roman" w:cs="Times New Roman"/>
          <w:b/>
          <w:bCs/>
          <w:sz w:val="22"/>
        </w:rPr>
        <w:t>: RAN4 should prioritize the study and performance evaluation of Sub-use case 2.</w:t>
      </w:r>
    </w:p>
    <w:p w14:paraId="12ED13F9" w14:textId="77777777" w:rsidR="009D4199" w:rsidRPr="007C5F20" w:rsidRDefault="009D4199" w:rsidP="009D4199">
      <w:pPr>
        <w:pStyle w:val="RAN4H3"/>
        <w:numPr>
          <w:ilvl w:val="0"/>
          <w:numId w:val="0"/>
        </w:numPr>
        <w:rPr>
          <w:rFonts w:ascii="Times New Roman" w:hAnsi="Times New Roman" w:cs="Times New Roman"/>
          <w:b/>
          <w:bCs/>
          <w:sz w:val="22"/>
        </w:rPr>
      </w:pPr>
      <w:r>
        <w:rPr>
          <w:rFonts w:ascii="Times New Roman" w:hAnsi="Times New Roman" w:cs="Times New Roman"/>
          <w:b/>
          <w:bCs/>
          <w:sz w:val="22"/>
        </w:rPr>
        <w:t xml:space="preserve">Proposal 2: Prioritize intra frequency temporal domain Case B example 2, for study and performance evaluation. </w:t>
      </w:r>
    </w:p>
    <w:p w14:paraId="7B9F05F9" w14:textId="77777777" w:rsidR="009D4199" w:rsidRDefault="009D4199" w:rsidP="009D4199">
      <w:pPr>
        <w:jc w:val="both"/>
        <w:rPr>
          <w:b/>
          <w:bCs/>
          <w:sz w:val="22"/>
          <w:szCs w:val="24"/>
        </w:rPr>
      </w:pPr>
      <w:r>
        <w:rPr>
          <w:b/>
          <w:bCs/>
          <w:sz w:val="22"/>
          <w:szCs w:val="24"/>
        </w:rPr>
        <w:t>Proposal 3</w:t>
      </w:r>
      <w:r w:rsidRPr="00BC3590">
        <w:rPr>
          <w:b/>
          <w:bCs/>
          <w:sz w:val="22"/>
          <w:szCs w:val="24"/>
        </w:rPr>
        <w:t xml:space="preserve">: </w:t>
      </w:r>
      <w:r w:rsidRPr="00CE48D6">
        <w:rPr>
          <w:b/>
          <w:bCs/>
          <w:sz w:val="22"/>
          <w:szCs w:val="24"/>
        </w:rPr>
        <w:t>RAN4 should explore potential enhancements in inter-frequency and spatial domain measurement prediction by combining them with temporal domain prediction.</w:t>
      </w:r>
    </w:p>
    <w:p w14:paraId="23C27A33" w14:textId="77777777" w:rsidR="009D4199" w:rsidRPr="00011DBB" w:rsidRDefault="009D4199" w:rsidP="009D4199">
      <w:pPr>
        <w:pStyle w:val="RAN4H3"/>
        <w:numPr>
          <w:ilvl w:val="0"/>
          <w:numId w:val="0"/>
        </w:numPr>
        <w:jc w:val="both"/>
        <w:rPr>
          <w:rFonts w:ascii="Times New Roman" w:hAnsi="Times New Roman" w:cs="Times New Roman"/>
          <w:b/>
          <w:bCs/>
          <w:sz w:val="22"/>
          <w:szCs w:val="20"/>
        </w:rPr>
      </w:pPr>
      <w:r w:rsidRPr="00011DBB">
        <w:rPr>
          <w:rFonts w:ascii="Times New Roman" w:hAnsi="Times New Roman" w:cs="Times New Roman"/>
          <w:b/>
          <w:bCs/>
          <w:sz w:val="22"/>
          <w:szCs w:val="20"/>
        </w:rPr>
        <w:t>Proposal 4: For FR1 conducted tests, the ground truth should be derived from the test equipment.</w:t>
      </w:r>
    </w:p>
    <w:p w14:paraId="4FEEE433" w14:textId="26CF9E51" w:rsidR="009D4199" w:rsidRPr="009D4199" w:rsidRDefault="009D4199" w:rsidP="009D4199">
      <w:pPr>
        <w:pStyle w:val="RAN4H3"/>
        <w:numPr>
          <w:ilvl w:val="0"/>
          <w:numId w:val="0"/>
        </w:numPr>
        <w:rPr>
          <w:rFonts w:ascii="Times New Roman" w:hAnsi="Times New Roman" w:cs="Times New Roman"/>
          <w:b/>
          <w:bCs/>
          <w:sz w:val="22"/>
          <w:szCs w:val="20"/>
        </w:rPr>
      </w:pPr>
      <w:r w:rsidRPr="00DD4CB8">
        <w:rPr>
          <w:rFonts w:ascii="Times New Roman" w:hAnsi="Times New Roman" w:cs="Times New Roman"/>
          <w:b/>
          <w:bCs/>
          <w:sz w:val="22"/>
          <w:szCs w:val="20"/>
        </w:rPr>
        <w:t xml:space="preserve">Proposal 5: RAN4 to consider both absolute and relative RSRP accuracy requirements for study. </w:t>
      </w:r>
    </w:p>
    <w:bookmarkEnd w:id="13"/>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2"/>
    </w:p>
    <w:p w14:paraId="793A5F9F" w14:textId="77777777" w:rsidR="00537EF0" w:rsidRPr="00537EF0" w:rsidRDefault="00537EF0" w:rsidP="00537EF0">
      <w:pPr>
        <w:pStyle w:val="ListParagraph"/>
        <w:numPr>
          <w:ilvl w:val="0"/>
          <w:numId w:val="5"/>
        </w:numPr>
        <w:rPr>
          <w:rFonts w:cs="Times New Roman"/>
          <w:color w:val="000000"/>
          <w:sz w:val="22"/>
          <w:lang w:eastAsia="zh-CN"/>
        </w:rPr>
      </w:pPr>
      <w:r w:rsidRPr="00537EF0">
        <w:rPr>
          <w:rFonts w:eastAsia="SimSun" w:cs="Times New Roman"/>
          <w:sz w:val="22"/>
          <w:lang w:val="en-US" w:eastAsia="zh-CN"/>
        </w:rPr>
        <w:t>R4-2420095</w:t>
      </w:r>
      <w:r w:rsidRPr="00537EF0">
        <w:rPr>
          <w:rFonts w:eastAsia="SimSun" w:cs="Times New Roman"/>
          <w:sz w:val="22"/>
          <w:lang w:val="en-US" w:eastAsia="zh-CN"/>
        </w:rPr>
        <w:t xml:space="preserve">, </w:t>
      </w:r>
      <w:r w:rsidRPr="00537EF0">
        <w:rPr>
          <w:rFonts w:eastAsia="SimSun" w:cs="Times New Roman"/>
          <w:sz w:val="22"/>
          <w:lang w:val="en-US" w:eastAsia="zh-CN"/>
        </w:rPr>
        <w:t>WF on AI/ML Mobility</w:t>
      </w:r>
      <w:r w:rsidRPr="00537EF0">
        <w:rPr>
          <w:rFonts w:eastAsia="SimSun" w:cs="Times New Roman"/>
          <w:sz w:val="22"/>
          <w:lang w:val="en-US" w:eastAsia="zh-CN"/>
        </w:rPr>
        <w:t xml:space="preserve">, </w:t>
      </w:r>
      <w:r w:rsidRPr="00537EF0">
        <w:rPr>
          <w:rFonts w:cs="Times New Roman"/>
          <w:color w:val="000000"/>
          <w:sz w:val="22"/>
          <w:lang w:eastAsia="zh-CN"/>
        </w:rPr>
        <w:t>Moderator (Nokia)</w:t>
      </w:r>
      <w:r w:rsidRPr="00537EF0">
        <w:rPr>
          <w:rFonts w:cs="Times New Roman"/>
          <w:color w:val="000000"/>
          <w:sz w:val="22"/>
          <w:lang w:eastAsia="zh-CN"/>
        </w:rPr>
        <w:t xml:space="preserve">, </w:t>
      </w:r>
      <w:r w:rsidRPr="00537EF0">
        <w:rPr>
          <w:rFonts w:cs="Times New Roman"/>
          <w:color w:val="000000"/>
          <w:sz w:val="22"/>
          <w:lang w:eastAsia="zh-CN"/>
        </w:rPr>
        <w:t>Orlando, USA, 18</w:t>
      </w:r>
      <w:r w:rsidRPr="00537EF0">
        <w:rPr>
          <w:rFonts w:cs="Times New Roman"/>
          <w:color w:val="000000"/>
          <w:sz w:val="22"/>
          <w:vertAlign w:val="superscript"/>
          <w:lang w:eastAsia="zh-CN"/>
        </w:rPr>
        <w:t>th</w:t>
      </w:r>
      <w:r w:rsidRPr="00537EF0">
        <w:rPr>
          <w:rFonts w:cs="Times New Roman"/>
          <w:color w:val="000000"/>
          <w:sz w:val="22"/>
          <w:lang w:eastAsia="zh-CN"/>
        </w:rPr>
        <w:t xml:space="preserve"> – 22</w:t>
      </w:r>
      <w:r w:rsidRPr="00537EF0">
        <w:rPr>
          <w:rFonts w:cs="Times New Roman"/>
          <w:color w:val="000000"/>
          <w:sz w:val="22"/>
          <w:vertAlign w:val="superscript"/>
          <w:lang w:eastAsia="zh-CN"/>
        </w:rPr>
        <w:t>nd</w:t>
      </w:r>
      <w:r w:rsidRPr="00537EF0">
        <w:rPr>
          <w:rFonts w:cs="Times New Roman"/>
          <w:color w:val="000000"/>
          <w:sz w:val="22"/>
          <w:lang w:eastAsia="zh-CN"/>
        </w:rPr>
        <w:t xml:space="preserve"> November, 2024</w:t>
      </w:r>
    </w:p>
    <w:p w14:paraId="087C4A1D" w14:textId="3D2C7E76" w:rsidR="00CF2D61" w:rsidRPr="00537EF0" w:rsidRDefault="00537EF0" w:rsidP="00537EF0">
      <w:pPr>
        <w:pStyle w:val="ListParagraph"/>
        <w:numPr>
          <w:ilvl w:val="0"/>
          <w:numId w:val="5"/>
        </w:numPr>
        <w:rPr>
          <w:rFonts w:eastAsia="SimSun"/>
          <w:bCs/>
          <w:sz w:val="22"/>
          <w:lang w:eastAsia="zh-CN"/>
        </w:rPr>
      </w:pPr>
      <w:r w:rsidRPr="00537EF0">
        <w:rPr>
          <w:rFonts w:eastAsia="SimSun"/>
          <w:bCs/>
          <w:sz w:val="22"/>
          <w:lang w:eastAsia="zh-CN"/>
        </w:rPr>
        <w:t>RP-242797</w:t>
      </w:r>
      <w:r w:rsidRPr="00537EF0">
        <w:rPr>
          <w:rFonts w:eastAsia="SimSun"/>
          <w:bCs/>
          <w:sz w:val="22"/>
          <w:lang w:eastAsia="zh-CN"/>
        </w:rPr>
        <w:t xml:space="preserve">, </w:t>
      </w:r>
      <w:r w:rsidRPr="00537EF0">
        <w:rPr>
          <w:rFonts w:eastAsia="SimSun"/>
          <w:bCs/>
          <w:sz w:val="22"/>
          <w:lang w:eastAsia="zh-CN"/>
        </w:rPr>
        <w:t>Status Report to TSG</w:t>
      </w:r>
      <w:r w:rsidRPr="00537EF0">
        <w:rPr>
          <w:rFonts w:eastAsia="SimSun"/>
          <w:bCs/>
          <w:sz w:val="22"/>
          <w:lang w:eastAsia="zh-CN"/>
        </w:rPr>
        <w:t xml:space="preserve">, </w:t>
      </w:r>
      <w:r w:rsidRPr="00537EF0">
        <w:rPr>
          <w:rFonts w:eastAsia="SimSun"/>
          <w:bCs/>
          <w:sz w:val="22"/>
          <w:lang w:eastAsia="zh-CN"/>
        </w:rPr>
        <w:t>Madrid, Spain, Dec. 9-12, 2024</w:t>
      </w:r>
    </w:p>
    <w:p w14:paraId="6EFC45F0" w14:textId="2BAFEFA8" w:rsidR="00537EF0" w:rsidRPr="00537EF0" w:rsidRDefault="00537EF0" w:rsidP="00537EF0">
      <w:pPr>
        <w:pStyle w:val="ListParagraph"/>
        <w:numPr>
          <w:ilvl w:val="0"/>
          <w:numId w:val="5"/>
        </w:numPr>
        <w:rPr>
          <w:rFonts w:eastAsia="SimSun"/>
          <w:sz w:val="22"/>
          <w:lang w:val="en-US" w:eastAsia="zh-CN"/>
        </w:rPr>
      </w:pPr>
      <w:r w:rsidRPr="00537EF0">
        <w:rPr>
          <w:rFonts w:eastAsia="SimSun"/>
          <w:sz w:val="22"/>
          <w:lang w:eastAsia="zh-CN"/>
        </w:rPr>
        <w:t>R4-2415968</w:t>
      </w:r>
      <w:r w:rsidRPr="00537EF0">
        <w:rPr>
          <w:rFonts w:eastAsia="SimSun"/>
          <w:sz w:val="22"/>
          <w:lang w:eastAsia="zh-CN"/>
        </w:rPr>
        <w:t xml:space="preserve">, </w:t>
      </w:r>
      <w:r w:rsidRPr="00537EF0">
        <w:rPr>
          <w:rFonts w:eastAsia="SimSun"/>
          <w:sz w:val="22"/>
          <w:lang w:val="en-US" w:eastAsia="zh-CN"/>
        </w:rPr>
        <w:t>Work Plan for RAN4 Discussions on AI/ML for Mobility in NR</w:t>
      </w:r>
      <w:r w:rsidRPr="00537EF0">
        <w:rPr>
          <w:rFonts w:eastAsia="SimSun"/>
          <w:sz w:val="22"/>
          <w:lang w:val="en-US" w:eastAsia="zh-CN"/>
        </w:rPr>
        <w:t xml:space="preserve">, </w:t>
      </w:r>
      <w:r w:rsidRPr="00537EF0">
        <w:rPr>
          <w:rFonts w:eastAsia="SimSun"/>
          <w:sz w:val="22"/>
          <w:lang w:val="en-US" w:eastAsia="zh-CN"/>
        </w:rPr>
        <w:t>Nokia, OPPO, MediaTek</w:t>
      </w:r>
      <w:r w:rsidRPr="00537EF0">
        <w:rPr>
          <w:rFonts w:eastAsia="SimSun"/>
          <w:sz w:val="22"/>
          <w:lang w:val="en-US" w:eastAsia="zh-CN"/>
        </w:rPr>
        <w:t xml:space="preserve">, </w:t>
      </w:r>
      <w:r w:rsidRPr="00537EF0">
        <w:rPr>
          <w:rFonts w:eastAsia="SimSun"/>
          <w:sz w:val="22"/>
          <w:lang w:val="en-US" w:eastAsia="zh-CN"/>
        </w:rPr>
        <w:t>Hefei, China, Oct 14 – Oct 18, 2024</w:t>
      </w:r>
    </w:p>
    <w:sectPr w:rsidR="00537EF0" w:rsidRPr="00537EF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AA00C" w14:textId="77777777" w:rsidR="00E60A3A" w:rsidRDefault="00E60A3A" w:rsidP="00001C9B">
      <w:pPr>
        <w:spacing w:after="0" w:line="240" w:lineRule="auto"/>
      </w:pPr>
      <w:r>
        <w:separator/>
      </w:r>
    </w:p>
  </w:endnote>
  <w:endnote w:type="continuationSeparator" w:id="0">
    <w:p w14:paraId="7AD9B408" w14:textId="77777777" w:rsidR="00E60A3A" w:rsidRDefault="00E60A3A" w:rsidP="00001C9B">
      <w:pPr>
        <w:spacing w:after="0" w:line="240" w:lineRule="auto"/>
      </w:pPr>
      <w:r>
        <w:continuationSeparator/>
      </w:r>
    </w:p>
  </w:endnote>
  <w:endnote w:type="continuationNotice" w:id="1">
    <w:p w14:paraId="03171C19" w14:textId="77777777" w:rsidR="00E60A3A" w:rsidRDefault="00E60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C4096" w14:textId="77777777" w:rsidR="00E60A3A" w:rsidRDefault="00E60A3A" w:rsidP="00001C9B">
      <w:pPr>
        <w:spacing w:after="0" w:line="240" w:lineRule="auto"/>
      </w:pPr>
      <w:r>
        <w:separator/>
      </w:r>
    </w:p>
  </w:footnote>
  <w:footnote w:type="continuationSeparator" w:id="0">
    <w:p w14:paraId="16CC9C50" w14:textId="77777777" w:rsidR="00E60A3A" w:rsidRDefault="00E60A3A" w:rsidP="00001C9B">
      <w:pPr>
        <w:spacing w:after="0" w:line="240" w:lineRule="auto"/>
      </w:pPr>
      <w:r>
        <w:continuationSeparator/>
      </w:r>
    </w:p>
  </w:footnote>
  <w:footnote w:type="continuationNotice" w:id="1">
    <w:p w14:paraId="775C682E" w14:textId="77777777" w:rsidR="00E60A3A" w:rsidRDefault="00E60A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56246"/>
    <w:multiLevelType w:val="hybridMultilevel"/>
    <w:tmpl w:val="C04A7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10"/>
  </w:num>
  <w:num w:numId="4">
    <w:abstractNumId w:val="15"/>
  </w:num>
  <w:num w:numId="5">
    <w:abstractNumId w:val="13"/>
  </w:num>
  <w:num w:numId="6">
    <w:abstractNumId w:val="0"/>
  </w:num>
  <w:num w:numId="7">
    <w:abstractNumId w:val="5"/>
  </w:num>
  <w:num w:numId="8">
    <w:abstractNumId w:val="16"/>
  </w:num>
  <w:num w:numId="9">
    <w:abstractNumId w:val="9"/>
  </w:num>
  <w:num w:numId="10">
    <w:abstractNumId w:val="2"/>
  </w:num>
  <w:num w:numId="11">
    <w:abstractNumId w:val="1"/>
  </w:num>
  <w:num w:numId="12">
    <w:abstractNumId w:val="14"/>
  </w:num>
  <w:num w:numId="13">
    <w:abstractNumId w:val="6"/>
  </w:num>
  <w:num w:numId="14">
    <w:abstractNumId w:val="15"/>
  </w:num>
  <w:num w:numId="15">
    <w:abstractNumId w:val="15"/>
  </w:num>
  <w:num w:numId="16">
    <w:abstractNumId w:val="12"/>
  </w:num>
  <w:num w:numId="17">
    <w:abstractNumId w:val="15"/>
  </w:num>
  <w:num w:numId="18">
    <w:abstractNumId w:val="15"/>
  </w:num>
  <w:num w:numId="19">
    <w:abstractNumId w:val="4"/>
  </w:num>
  <w:num w:numId="20">
    <w:abstractNumId w:val="7"/>
  </w:num>
  <w:num w:numId="2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1DBB"/>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70F2"/>
    <w:rsid w:val="000B79C1"/>
    <w:rsid w:val="000C0628"/>
    <w:rsid w:val="000C0EFE"/>
    <w:rsid w:val="000C1087"/>
    <w:rsid w:val="000C1DB0"/>
    <w:rsid w:val="000C2234"/>
    <w:rsid w:val="000C2494"/>
    <w:rsid w:val="000C2814"/>
    <w:rsid w:val="000C2D70"/>
    <w:rsid w:val="000C3197"/>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D00"/>
    <w:rsid w:val="00132F6A"/>
    <w:rsid w:val="00132F96"/>
    <w:rsid w:val="001333F9"/>
    <w:rsid w:val="00133913"/>
    <w:rsid w:val="00133927"/>
    <w:rsid w:val="0013467C"/>
    <w:rsid w:val="00134932"/>
    <w:rsid w:val="0013597D"/>
    <w:rsid w:val="00136F1C"/>
    <w:rsid w:val="00137269"/>
    <w:rsid w:val="0013732D"/>
    <w:rsid w:val="00140221"/>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09D"/>
    <w:rsid w:val="00234465"/>
    <w:rsid w:val="002356D6"/>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FC0"/>
    <w:rsid w:val="00245304"/>
    <w:rsid w:val="0024559A"/>
    <w:rsid w:val="0024665C"/>
    <w:rsid w:val="002466CF"/>
    <w:rsid w:val="00246F86"/>
    <w:rsid w:val="002470E6"/>
    <w:rsid w:val="002478E6"/>
    <w:rsid w:val="00247B93"/>
    <w:rsid w:val="00250D3D"/>
    <w:rsid w:val="00251424"/>
    <w:rsid w:val="0025143E"/>
    <w:rsid w:val="00251CEE"/>
    <w:rsid w:val="00251E04"/>
    <w:rsid w:val="00251EE2"/>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1A1D"/>
    <w:rsid w:val="002D395A"/>
    <w:rsid w:val="002D474F"/>
    <w:rsid w:val="002D4C55"/>
    <w:rsid w:val="002D4EF6"/>
    <w:rsid w:val="002D51EC"/>
    <w:rsid w:val="002D543E"/>
    <w:rsid w:val="002D5F8E"/>
    <w:rsid w:val="002D619F"/>
    <w:rsid w:val="002D61A2"/>
    <w:rsid w:val="002D645E"/>
    <w:rsid w:val="002D7C83"/>
    <w:rsid w:val="002D7C8C"/>
    <w:rsid w:val="002D7E28"/>
    <w:rsid w:val="002E0408"/>
    <w:rsid w:val="002E12C7"/>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2D33"/>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140"/>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57F2B"/>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6E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448E"/>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79"/>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286"/>
    <w:rsid w:val="006F13AE"/>
    <w:rsid w:val="006F1E32"/>
    <w:rsid w:val="006F2016"/>
    <w:rsid w:val="006F222C"/>
    <w:rsid w:val="006F29CF"/>
    <w:rsid w:val="006F2FD8"/>
    <w:rsid w:val="006F357B"/>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AD3"/>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308"/>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AD7"/>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C8F"/>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D3"/>
    <w:rsid w:val="0095658A"/>
    <w:rsid w:val="00956C9D"/>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855"/>
    <w:rsid w:val="009A6B02"/>
    <w:rsid w:val="009A6D65"/>
    <w:rsid w:val="009A771E"/>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249C"/>
    <w:rsid w:val="009D34E6"/>
    <w:rsid w:val="009D4199"/>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276C"/>
    <w:rsid w:val="00A63EE5"/>
    <w:rsid w:val="00A64262"/>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726"/>
    <w:rsid w:val="00AB43F2"/>
    <w:rsid w:val="00AB532D"/>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0EB"/>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3587"/>
    <w:rsid w:val="00B03A4D"/>
    <w:rsid w:val="00B03F4D"/>
    <w:rsid w:val="00B0431D"/>
    <w:rsid w:val="00B047E9"/>
    <w:rsid w:val="00B04E66"/>
    <w:rsid w:val="00B05178"/>
    <w:rsid w:val="00B052A3"/>
    <w:rsid w:val="00B05B6F"/>
    <w:rsid w:val="00B05BB9"/>
    <w:rsid w:val="00B070FC"/>
    <w:rsid w:val="00B0732A"/>
    <w:rsid w:val="00B07A7C"/>
    <w:rsid w:val="00B07B2A"/>
    <w:rsid w:val="00B07C05"/>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7E5"/>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4CD"/>
    <w:rsid w:val="00CB5B9F"/>
    <w:rsid w:val="00CB5CFA"/>
    <w:rsid w:val="00CB729C"/>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935"/>
    <w:rsid w:val="00D74BE8"/>
    <w:rsid w:val="00D74EBE"/>
    <w:rsid w:val="00D75413"/>
    <w:rsid w:val="00D7583C"/>
    <w:rsid w:val="00D75F74"/>
    <w:rsid w:val="00D7615E"/>
    <w:rsid w:val="00D763BE"/>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467"/>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EC8"/>
    <w:rsid w:val="00DE42CC"/>
    <w:rsid w:val="00DE47BC"/>
    <w:rsid w:val="00DE4A30"/>
    <w:rsid w:val="00DE4EF3"/>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B07"/>
    <w:rsid w:val="00E56CA2"/>
    <w:rsid w:val="00E57343"/>
    <w:rsid w:val="00E574E0"/>
    <w:rsid w:val="00E575C4"/>
    <w:rsid w:val="00E57801"/>
    <w:rsid w:val="00E57F71"/>
    <w:rsid w:val="00E603FF"/>
    <w:rsid w:val="00E60544"/>
    <w:rsid w:val="00E60A3A"/>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D07"/>
    <w:rsid w:val="00EC4106"/>
    <w:rsid w:val="00EC44DD"/>
    <w:rsid w:val="00EC4CC0"/>
    <w:rsid w:val="00EC5026"/>
    <w:rsid w:val="00EC6119"/>
    <w:rsid w:val="00EC6253"/>
    <w:rsid w:val="00EC6431"/>
    <w:rsid w:val="00EC6B2F"/>
    <w:rsid w:val="00EC7BC3"/>
    <w:rsid w:val="00EC7E58"/>
    <w:rsid w:val="00ED03AC"/>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826"/>
    <w:rsid w:val="00F01B39"/>
    <w:rsid w:val="00F01B5C"/>
    <w:rsid w:val="00F01E7D"/>
    <w:rsid w:val="00F02675"/>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C5B"/>
    <w:rsid w:val="00F11D0C"/>
    <w:rsid w:val="00F121C7"/>
    <w:rsid w:val="00F12213"/>
    <w:rsid w:val="00F12CDF"/>
    <w:rsid w:val="00F13025"/>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48A"/>
    <w:rsid w:val="00F239BA"/>
    <w:rsid w:val="00F240DE"/>
    <w:rsid w:val="00F243CB"/>
    <w:rsid w:val="00F254C9"/>
    <w:rsid w:val="00F25A2F"/>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11</TotalTime>
  <Pages>5</Pages>
  <Words>1720</Words>
  <Characters>9804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11501</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7</cp:revision>
  <dcterms:created xsi:type="dcterms:W3CDTF">2025-02-07T13:13:00Z</dcterms:created>
  <dcterms:modified xsi:type="dcterms:W3CDTF">2025-02-07T13:34:00Z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