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BA769" w14:textId="30B6AA12" w:rsidR="00C87B92" w:rsidRPr="00E13F75" w:rsidRDefault="00C87B92" w:rsidP="00C87B92">
      <w:pPr>
        <w:pStyle w:val="a5"/>
        <w:tabs>
          <w:tab w:val="left" w:pos="8055"/>
        </w:tabs>
        <w:rPr>
          <w:rFonts w:ascii="Arial" w:hAnsi="Arial" w:cs="Arial"/>
          <w:b/>
          <w:i/>
          <w:sz w:val="24"/>
          <w:szCs w:val="24"/>
        </w:rPr>
      </w:pPr>
      <w:r w:rsidRPr="0081203F">
        <w:rPr>
          <w:rFonts w:ascii="Arial" w:hAnsi="Arial" w:cs="Arial"/>
          <w:b/>
          <w:sz w:val="24"/>
          <w:szCs w:val="24"/>
        </w:rPr>
        <w:t>3GPP TSG-RAN WG4 Meeting #114</w:t>
      </w:r>
      <w:r w:rsidRPr="0081203F">
        <w:rPr>
          <w:rFonts w:ascii="Arial" w:hAnsi="Arial" w:cs="Arial"/>
          <w:b/>
          <w:sz w:val="24"/>
          <w:szCs w:val="24"/>
        </w:rPr>
        <w:tab/>
      </w:r>
      <w:r w:rsidRPr="0081203F">
        <w:rPr>
          <w:rFonts w:ascii="Arial" w:hAnsi="Arial" w:cs="Arial"/>
          <w:b/>
          <w:sz w:val="24"/>
          <w:szCs w:val="24"/>
        </w:rPr>
        <w:tab/>
        <w:t>R4-2</w:t>
      </w:r>
      <w:r w:rsidR="0081203F" w:rsidRPr="0081203F">
        <w:rPr>
          <w:rFonts w:ascii="Arial" w:hAnsi="Arial" w:cs="Arial"/>
          <w:b/>
          <w:sz w:val="24"/>
          <w:szCs w:val="24"/>
        </w:rPr>
        <w:t>501463</w:t>
      </w:r>
    </w:p>
    <w:p w14:paraId="7A5C8099" w14:textId="40E21646" w:rsidR="00F57816" w:rsidRPr="00E13F75" w:rsidRDefault="00C87B92" w:rsidP="00C87B92">
      <w:pPr>
        <w:pStyle w:val="a5"/>
        <w:tabs>
          <w:tab w:val="left" w:pos="7938"/>
        </w:tabs>
        <w:rPr>
          <w:rFonts w:ascii="Arial" w:hAnsi="Arial" w:cs="Arial"/>
          <w:b/>
          <w:i/>
          <w:sz w:val="24"/>
          <w:szCs w:val="24"/>
        </w:rPr>
      </w:pPr>
      <w:r w:rsidRPr="007F31F9">
        <w:rPr>
          <w:rFonts w:ascii="Arial" w:eastAsia="宋体" w:hAnsi="Arial" w:cs="Arial"/>
          <w:b/>
          <w:sz w:val="24"/>
          <w:szCs w:val="24"/>
        </w:rPr>
        <w:t>Athens, GR, 17</w:t>
      </w:r>
      <w:r w:rsidRPr="007F31F9">
        <w:rPr>
          <w:rFonts w:ascii="Arial" w:eastAsia="宋体" w:hAnsi="Arial" w:cs="Arial"/>
          <w:b/>
          <w:sz w:val="24"/>
          <w:szCs w:val="24"/>
          <w:vertAlign w:val="superscript"/>
        </w:rPr>
        <w:t>th</w:t>
      </w:r>
      <w:r w:rsidRPr="007F31F9">
        <w:rPr>
          <w:rFonts w:ascii="Arial" w:eastAsia="宋体" w:hAnsi="Arial" w:cs="Arial"/>
          <w:b/>
          <w:sz w:val="24"/>
          <w:szCs w:val="24"/>
        </w:rPr>
        <w:t xml:space="preserve"> – 21</w:t>
      </w:r>
      <w:r w:rsidRPr="007F31F9">
        <w:rPr>
          <w:rFonts w:ascii="Arial" w:eastAsia="宋体" w:hAnsi="Arial" w:cs="Arial"/>
          <w:b/>
          <w:sz w:val="24"/>
          <w:szCs w:val="24"/>
          <w:vertAlign w:val="superscript"/>
        </w:rPr>
        <w:t>st</w:t>
      </w:r>
      <w:r w:rsidRPr="007F31F9">
        <w:rPr>
          <w:rFonts w:ascii="Arial" w:eastAsia="宋体" w:hAnsi="Arial" w:cs="Arial"/>
          <w:b/>
          <w:sz w:val="24"/>
          <w:szCs w:val="24"/>
        </w:rPr>
        <w:t xml:space="preserve"> February, 2025</w:t>
      </w:r>
    </w:p>
    <w:p w14:paraId="49BE6461" w14:textId="77777777" w:rsidR="00F57816" w:rsidRPr="003C1FD7" w:rsidRDefault="00F57816" w:rsidP="00F57816">
      <w:pPr>
        <w:pStyle w:val="a5"/>
        <w:tabs>
          <w:tab w:val="left" w:pos="7938"/>
        </w:tabs>
        <w:rPr>
          <w:rFonts w:ascii="Arial" w:hAnsi="Arial" w:cs="Arial"/>
          <w:bCs/>
          <w:iCs/>
          <w:sz w:val="24"/>
          <w:szCs w:val="24"/>
        </w:rPr>
      </w:pPr>
    </w:p>
    <w:p w14:paraId="281DC9F6" w14:textId="58D39D01"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C87B92">
        <w:rPr>
          <w:rFonts w:ascii="Arial" w:hAnsi="Arial" w:cs="Arial"/>
          <w:bCs/>
          <w:sz w:val="24"/>
          <w:szCs w:val="24"/>
        </w:rPr>
        <w:t>7</w:t>
      </w:r>
      <w:r w:rsidR="00FD190A" w:rsidRPr="00FE64E9">
        <w:rPr>
          <w:rFonts w:ascii="Arial" w:hAnsi="Arial" w:cs="Arial"/>
          <w:bCs/>
          <w:sz w:val="24"/>
          <w:szCs w:val="24"/>
        </w:rPr>
        <w:t>.</w:t>
      </w:r>
      <w:r w:rsidR="00C87B92">
        <w:rPr>
          <w:rFonts w:ascii="Arial" w:hAnsi="Arial" w:cs="Arial"/>
          <w:bCs/>
          <w:sz w:val="24"/>
          <w:szCs w:val="24"/>
        </w:rPr>
        <w:t>22</w:t>
      </w:r>
      <w:r w:rsidRPr="00FE64E9">
        <w:rPr>
          <w:rFonts w:ascii="Arial" w:hAnsi="Arial" w:cs="Arial"/>
          <w:bCs/>
          <w:sz w:val="24"/>
          <w:szCs w:val="24"/>
        </w:rPr>
        <w:t>.</w:t>
      </w:r>
      <w:r w:rsidR="00C87B92">
        <w:rPr>
          <w:rFonts w:ascii="Arial" w:hAnsi="Arial" w:cs="Arial"/>
          <w:bCs/>
          <w:sz w:val="24"/>
          <w:szCs w:val="24"/>
        </w:rPr>
        <w:t>3</w:t>
      </w:r>
      <w:r w:rsidR="00B3143C" w:rsidRPr="00FE64E9">
        <w:rPr>
          <w:rFonts w:ascii="Arial" w:hAnsi="Arial" w:cs="Arial"/>
          <w:bCs/>
          <w:sz w:val="24"/>
          <w:szCs w:val="24"/>
        </w:rPr>
        <w:t>.</w:t>
      </w:r>
      <w:r w:rsidR="00C87B92">
        <w:rPr>
          <w:rFonts w:ascii="Arial" w:hAnsi="Arial" w:cs="Arial"/>
          <w:bCs/>
          <w:sz w:val="24"/>
          <w:szCs w:val="24"/>
        </w:rPr>
        <w:t>2</w:t>
      </w:r>
    </w:p>
    <w:p w14:paraId="19D9AB5A"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6D1F158A" w:rsidR="00F57816" w:rsidRPr="00672483" w:rsidRDefault="00F57816" w:rsidP="00F57816">
      <w:pPr>
        <w:tabs>
          <w:tab w:val="left" w:pos="2100"/>
        </w:tabs>
        <w:spacing w:after="180"/>
        <w:ind w:left="2090" w:hangingChars="871" w:hanging="2090"/>
        <w:jc w:val="left"/>
        <w:rPr>
          <w:rFonts w:ascii="Arial" w:hAnsi="Arial" w:cs="Arial"/>
          <w:b/>
          <w:bCs/>
          <w:sz w:val="24"/>
          <w:szCs w:val="24"/>
        </w:rPr>
      </w:pPr>
      <w:r w:rsidRPr="00E13F75">
        <w:rPr>
          <w:rFonts w:ascii="Arial" w:hAnsi="Arial" w:cs="Arial"/>
          <w:b/>
          <w:bCs/>
          <w:sz w:val="24"/>
          <w:szCs w:val="24"/>
        </w:rPr>
        <w:t>Title:</w:t>
      </w:r>
      <w:r w:rsidRPr="00E13F75">
        <w:rPr>
          <w:rFonts w:ascii="Arial" w:hAnsi="Arial" w:cs="Arial"/>
          <w:b/>
          <w:bCs/>
          <w:sz w:val="24"/>
          <w:szCs w:val="24"/>
        </w:rPr>
        <w:tab/>
      </w:r>
      <w:r w:rsidR="00AC3DE8" w:rsidRPr="00AC3DE8">
        <w:rPr>
          <w:rFonts w:ascii="Arial" w:hAnsi="Arial" w:cs="Arial"/>
          <w:sz w:val="24"/>
          <w:szCs w:val="24"/>
        </w:rPr>
        <w:t>Discussion on RRM requirements of other aspects in Rel-19 MIMO phase 5</w:t>
      </w:r>
    </w:p>
    <w:p w14:paraId="6A646216"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79E3CCC3" w14:textId="1F0656B8" w:rsidR="006E0535" w:rsidRPr="00A971AB" w:rsidRDefault="006E0535" w:rsidP="006E0535">
      <w:pPr>
        <w:spacing w:beforeLines="50" w:before="120" w:afterLines="50" w:after="120"/>
        <w:jc w:val="left"/>
        <w:rPr>
          <w:rFonts w:ascii="Times New Roman" w:eastAsia="宋体" w:hAnsi="Times New Roman" w:cs="Times New Roman"/>
          <w:sz w:val="20"/>
          <w:szCs w:val="20"/>
        </w:rPr>
      </w:pPr>
      <w:r w:rsidRPr="00A971AB">
        <w:rPr>
          <w:rFonts w:ascii="Times New Roman" w:eastAsia="宋体" w:hAnsi="Times New Roman" w:cs="Times New Roman"/>
          <w:sz w:val="20"/>
          <w:szCs w:val="20"/>
        </w:rPr>
        <w:t xml:space="preserve">The </w:t>
      </w:r>
      <w:r>
        <w:rPr>
          <w:rFonts w:ascii="Times New Roman" w:eastAsia="宋体" w:hAnsi="Times New Roman" w:cs="Times New Roman"/>
          <w:sz w:val="20"/>
          <w:szCs w:val="20"/>
        </w:rPr>
        <w:t>latest revised</w:t>
      </w:r>
      <w:r w:rsidRPr="00A971AB">
        <w:rPr>
          <w:rFonts w:ascii="Times New Roman" w:eastAsia="宋体" w:hAnsi="Times New Roman" w:cs="Times New Roman"/>
          <w:sz w:val="20"/>
          <w:szCs w:val="20"/>
        </w:rPr>
        <w:t xml:space="preserve"> WID [1] has been approved in the RAN plenary RAN#</w:t>
      </w:r>
      <w:r>
        <w:rPr>
          <w:rFonts w:ascii="Times New Roman" w:eastAsia="宋体" w:hAnsi="Times New Roman" w:cs="Times New Roman"/>
          <w:sz w:val="20"/>
          <w:szCs w:val="20"/>
        </w:rPr>
        <w:t>105</w:t>
      </w:r>
      <w:r w:rsidRPr="00A971AB">
        <w:rPr>
          <w:rFonts w:ascii="Times New Roman" w:eastAsia="宋体" w:hAnsi="Times New Roman" w:cs="Times New Roman"/>
          <w:sz w:val="20"/>
          <w:szCs w:val="20"/>
        </w:rPr>
        <w:t xml:space="preserve"> meeting. The objectives of Rel-1</w:t>
      </w:r>
      <w:r>
        <w:rPr>
          <w:rFonts w:ascii="Times New Roman" w:eastAsia="宋体" w:hAnsi="Times New Roman" w:cs="Times New Roman"/>
          <w:sz w:val="20"/>
          <w:szCs w:val="20"/>
        </w:rPr>
        <w:t>9</w:t>
      </w:r>
      <w:r w:rsidRPr="00A971AB">
        <w:rPr>
          <w:rFonts w:ascii="Times New Roman" w:eastAsia="宋体" w:hAnsi="Times New Roman" w:cs="Times New Roman"/>
          <w:sz w:val="20"/>
          <w:szCs w:val="20"/>
        </w:rPr>
        <w:t xml:space="preserve"> MIMO </w:t>
      </w:r>
      <w:r>
        <w:rPr>
          <w:rFonts w:ascii="Times New Roman" w:eastAsia="宋体" w:hAnsi="Times New Roman" w:cs="Times New Roman"/>
          <w:sz w:val="20"/>
          <w:szCs w:val="20"/>
        </w:rPr>
        <w:t>Phase 5</w:t>
      </w:r>
      <w:r w:rsidRPr="00A971AB">
        <w:rPr>
          <w:rFonts w:ascii="Times New Roman" w:eastAsia="宋体" w:hAnsi="Times New Roman" w:cs="Times New Roman"/>
          <w:sz w:val="20"/>
          <w:szCs w:val="20"/>
        </w:rPr>
        <w:t xml:space="preserve"> are described in [1] including: </w:t>
      </w:r>
    </w:p>
    <w:tbl>
      <w:tblPr>
        <w:tblStyle w:val="a7"/>
        <w:tblW w:w="0" w:type="auto"/>
        <w:tblLook w:val="04A0" w:firstRow="1" w:lastRow="0" w:firstColumn="1" w:lastColumn="0" w:noHBand="0" w:noVBand="1"/>
      </w:tblPr>
      <w:tblGrid>
        <w:gridCol w:w="9629"/>
      </w:tblGrid>
      <w:tr w:rsidR="006E0535" w14:paraId="3FDB82E8" w14:textId="77777777" w:rsidTr="00E34891">
        <w:tc>
          <w:tcPr>
            <w:tcW w:w="9629" w:type="dxa"/>
          </w:tcPr>
          <w:p w14:paraId="33335F29" w14:textId="77777777" w:rsidR="006E0535" w:rsidRPr="0050675F" w:rsidRDefault="006E0535" w:rsidP="00E34891">
            <w:pPr>
              <w:snapToGrid w:val="0"/>
              <w:spacing w:beforeLines="50" w:before="120" w:after="0"/>
              <w:rPr>
                <w:bCs/>
              </w:rPr>
            </w:pPr>
            <w:r w:rsidRPr="0050675F">
              <w:rPr>
                <w:bCs/>
              </w:rPr>
              <w:t>The detailed objectives are as follows:</w:t>
            </w:r>
          </w:p>
          <w:p w14:paraId="54D6675C" w14:textId="77777777" w:rsidR="006E0535" w:rsidRPr="00F9630A" w:rsidRDefault="006E0535" w:rsidP="00E34891">
            <w:pPr>
              <w:snapToGrid w:val="0"/>
              <w:spacing w:beforeLines="50" w:before="120" w:after="0"/>
              <w:rPr>
                <w:b/>
                <w:bCs/>
              </w:rPr>
            </w:pPr>
            <w:r w:rsidRPr="00F9630A">
              <w:rPr>
                <w:rFonts w:hint="eastAsia"/>
                <w:b/>
                <w:bCs/>
              </w:rPr>
              <w:t>RAN1:</w:t>
            </w:r>
          </w:p>
          <w:p w14:paraId="4048087E" w14:textId="77777777" w:rsidR="006E0535" w:rsidRPr="000D100E" w:rsidRDefault="006E0535" w:rsidP="00E34891">
            <w:pPr>
              <w:widowControl/>
              <w:numPr>
                <w:ilvl w:val="0"/>
                <w:numId w:val="3"/>
              </w:numPr>
              <w:snapToGrid w:val="0"/>
              <w:spacing w:after="0"/>
              <w:jc w:val="left"/>
              <w:rPr>
                <w:rFonts w:eastAsia="Times New Roman"/>
                <w:szCs w:val="24"/>
                <w:lang w:eastAsia="en-US"/>
              </w:rPr>
            </w:pPr>
            <w:bookmarkStart w:id="0" w:name="_Hlk145555364"/>
            <w:bookmarkStart w:id="1" w:name="_Hlk146642115"/>
            <w:r w:rsidRPr="000D100E">
              <w:rPr>
                <w:rFonts w:eastAsia="Times New Roman"/>
                <w:szCs w:val="24"/>
                <w:lang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267A9BF9" w14:textId="77777777" w:rsidR="006E0535" w:rsidRPr="000D100E" w:rsidRDefault="006E0535" w:rsidP="00E34891">
            <w:pPr>
              <w:widowControl/>
              <w:numPr>
                <w:ilvl w:val="1"/>
                <w:numId w:val="3"/>
              </w:numPr>
              <w:snapToGrid w:val="0"/>
              <w:spacing w:after="0"/>
              <w:jc w:val="left"/>
              <w:rPr>
                <w:rFonts w:eastAsia="Times New Roman"/>
                <w:szCs w:val="24"/>
                <w:lang w:eastAsia="en-US"/>
              </w:rPr>
            </w:pPr>
            <w:r w:rsidRPr="000D100E">
              <w:rPr>
                <w:rFonts w:eastAsia="Times New Roman"/>
                <w:szCs w:val="24"/>
                <w:lang w:eastAsia="en-US"/>
              </w:rPr>
              <w:t xml:space="preserve">UL signaling content(s) </w:t>
            </w:r>
            <w:r>
              <w:rPr>
                <w:rFonts w:eastAsia="Times New Roman"/>
                <w:szCs w:val="24"/>
                <w:lang w:eastAsia="en-US"/>
              </w:rPr>
              <w:t xml:space="preserve">(and procedure(s) as required) </w:t>
            </w:r>
            <w:r w:rsidRPr="000D100E">
              <w:rPr>
                <w:rFonts w:eastAsia="Times New Roman"/>
                <w:szCs w:val="24"/>
                <w:lang w:eastAsia="en-US"/>
              </w:rPr>
              <w:t xml:space="preserve">for UE-initiated/event-driven beam reporting facilitating fast beam switching </w:t>
            </w:r>
          </w:p>
          <w:p w14:paraId="48BE5CE6" w14:textId="77777777" w:rsidR="006E0535" w:rsidRPr="000D100E" w:rsidRDefault="006E0535" w:rsidP="00E34891">
            <w:pPr>
              <w:widowControl/>
              <w:numPr>
                <w:ilvl w:val="1"/>
                <w:numId w:val="3"/>
              </w:numPr>
              <w:snapToGrid w:val="0"/>
              <w:spacing w:after="0"/>
              <w:jc w:val="left"/>
              <w:rPr>
                <w:rFonts w:eastAsia="Times New Roman"/>
                <w:szCs w:val="24"/>
                <w:lang w:eastAsia="en-US"/>
              </w:rPr>
            </w:pPr>
            <w:r w:rsidRPr="000D100E">
              <w:rPr>
                <w:rFonts w:eastAsia="Times New Roman"/>
                <w:szCs w:val="24"/>
                <w:lang w:eastAsia="en-US"/>
              </w:rPr>
              <w:t>UL signaling medium/container considering the UE-initiated/event-driven nature of the UL transmission, designed primarily for the purpose of beam reporting</w:t>
            </w:r>
            <w:bookmarkEnd w:id="0"/>
          </w:p>
          <w:p w14:paraId="49FEBB4C" w14:textId="77777777" w:rsidR="006E0535" w:rsidRPr="000D100E" w:rsidRDefault="006E0535" w:rsidP="00E34891">
            <w:pPr>
              <w:snapToGrid w:val="0"/>
              <w:spacing w:after="0"/>
              <w:rPr>
                <w:rFonts w:eastAsia="Times New Roman"/>
                <w:szCs w:val="24"/>
                <w:lang w:eastAsia="en-US"/>
              </w:rPr>
            </w:pPr>
          </w:p>
          <w:p w14:paraId="4C6420FC" w14:textId="77777777" w:rsidR="006E0535" w:rsidRPr="000D100E" w:rsidRDefault="006E0535" w:rsidP="00E34891">
            <w:pPr>
              <w:widowControl/>
              <w:numPr>
                <w:ilvl w:val="0"/>
                <w:numId w:val="4"/>
              </w:numPr>
              <w:tabs>
                <w:tab w:val="left" w:pos="720"/>
              </w:tabs>
              <w:snapToGrid w:val="0"/>
              <w:spacing w:after="0"/>
              <w:jc w:val="left"/>
              <w:rPr>
                <w:rFonts w:eastAsia="Times New Roman"/>
                <w:szCs w:val="24"/>
                <w:lang w:eastAsia="en-US"/>
              </w:rPr>
            </w:pPr>
            <w:bookmarkStart w:id="2" w:name="_Hlk146697700"/>
            <w:r w:rsidRPr="000D100E">
              <w:rPr>
                <w:rFonts w:eastAsia="Times New Roman"/>
                <w:szCs w:val="24"/>
                <w:lang w:eastAsia="en-US"/>
              </w:rPr>
              <w:t>Specify CSI support for up to 128 CSI-RS ports, targeting FR1</w:t>
            </w:r>
          </w:p>
          <w:p w14:paraId="38523D3D" w14:textId="77777777" w:rsidR="006E0535" w:rsidRPr="000D100E" w:rsidRDefault="006E0535" w:rsidP="00E34891">
            <w:pPr>
              <w:widowControl/>
              <w:numPr>
                <w:ilvl w:val="1"/>
                <w:numId w:val="4"/>
              </w:numPr>
              <w:snapToGrid w:val="0"/>
              <w:spacing w:after="0"/>
              <w:jc w:val="left"/>
              <w:rPr>
                <w:rFonts w:eastAsia="Times New Roman"/>
                <w:szCs w:val="24"/>
                <w:lang w:eastAsia="en-US"/>
              </w:rPr>
            </w:pPr>
            <w:r w:rsidRPr="000D100E">
              <w:rPr>
                <w:rFonts w:eastAsia="Times New Roman"/>
                <w:szCs w:val="24"/>
                <w:lang w:eastAsia="en-US"/>
              </w:rPr>
              <w:t>Type-I codebook refinement supporting up to a total of 128 CSI-RS ports across all resources, assuming legacy CSI-RS resources (with up to 32 CSI-RS ports per resource), based on extension of legacy codebooks</w:t>
            </w:r>
          </w:p>
          <w:p w14:paraId="460410E5" w14:textId="77777777" w:rsidR="006E0535" w:rsidRPr="000D100E" w:rsidRDefault="006E0535" w:rsidP="00E34891">
            <w:pPr>
              <w:widowControl/>
              <w:numPr>
                <w:ilvl w:val="1"/>
                <w:numId w:val="4"/>
              </w:numPr>
              <w:snapToGrid w:val="0"/>
              <w:spacing w:after="0"/>
              <w:jc w:val="left"/>
              <w:rPr>
                <w:rFonts w:eastAsia="Times New Roman"/>
                <w:szCs w:val="24"/>
                <w:lang w:eastAsia="en-US"/>
              </w:rPr>
            </w:pPr>
            <w:r w:rsidRPr="000D100E">
              <w:rPr>
                <w:rFonts w:eastAsia="Times New Roman"/>
                <w:szCs w:val="24"/>
                <w:lang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250902D3" w14:textId="77777777" w:rsidR="006E0535" w:rsidRDefault="006E0535" w:rsidP="00E34891">
            <w:pPr>
              <w:widowControl/>
              <w:numPr>
                <w:ilvl w:val="1"/>
                <w:numId w:val="4"/>
              </w:numPr>
              <w:snapToGrid w:val="0"/>
              <w:spacing w:after="0"/>
              <w:jc w:val="left"/>
              <w:rPr>
                <w:rFonts w:eastAsia="Times New Roman"/>
                <w:szCs w:val="24"/>
                <w:lang w:eastAsia="en-US"/>
              </w:rPr>
            </w:pPr>
            <w:r w:rsidRPr="000D100E">
              <w:rPr>
                <w:rFonts w:eastAsia="Times New Roman"/>
                <w:szCs w:val="24"/>
                <w:lang w:eastAsia="en-US"/>
              </w:rPr>
              <w:t>Extension of CRI(s)-based CSI reporting (CQI/PMI/RI calculated per CRI for ≥1 CRIs) for hybrid beamforming supporting up to a total of 128 CSI-RS ports across all resources, with up to 32 CSI-RS ports per resource, without new codebook design</w:t>
            </w:r>
            <w:bookmarkEnd w:id="2"/>
          </w:p>
          <w:p w14:paraId="65BE2620" w14:textId="77777777" w:rsidR="006E0535" w:rsidRDefault="006E0535" w:rsidP="00E34891">
            <w:pPr>
              <w:widowControl/>
              <w:numPr>
                <w:ilvl w:val="1"/>
                <w:numId w:val="4"/>
              </w:numPr>
              <w:snapToGrid w:val="0"/>
              <w:spacing w:after="0"/>
              <w:jc w:val="left"/>
              <w:rPr>
                <w:rFonts w:eastAsia="Times New Roman"/>
                <w:szCs w:val="24"/>
                <w:lang w:eastAsia="en-US"/>
              </w:rPr>
            </w:pPr>
            <w:r w:rsidRPr="001A530A">
              <w:rPr>
                <w:rFonts w:eastAsia="Times New Roman"/>
                <w:szCs w:val="24"/>
                <w:lang w:eastAsia="en-US"/>
              </w:rPr>
              <w:t>SRS port grouping and its association to the two codewords for the 6/8Rx low complexity receiver supporting more than 4 layers, with legacy codebook</w:t>
            </w:r>
          </w:p>
          <w:p w14:paraId="4AC992C9" w14:textId="77777777" w:rsidR="006E0535" w:rsidRDefault="006E0535" w:rsidP="00E34891">
            <w:pPr>
              <w:widowControl/>
              <w:numPr>
                <w:ilvl w:val="2"/>
                <w:numId w:val="4"/>
              </w:numPr>
              <w:tabs>
                <w:tab w:val="num" w:pos="2160"/>
              </w:tabs>
              <w:snapToGrid w:val="0"/>
              <w:spacing w:after="0"/>
              <w:jc w:val="left"/>
              <w:rPr>
                <w:rFonts w:eastAsia="Times New Roman"/>
                <w:szCs w:val="24"/>
                <w:lang w:eastAsia="en-US"/>
              </w:rPr>
            </w:pPr>
            <w:r w:rsidRPr="001A530A">
              <w:rPr>
                <w:rFonts w:eastAsia="Times New Roman"/>
                <w:szCs w:val="24"/>
                <w:lang w:eastAsia="en-US"/>
              </w:rPr>
              <w:t xml:space="preserve">No enhancement on codeword-to-layer mapping, DL resource allocation, </w:t>
            </w:r>
            <w:r>
              <w:rPr>
                <w:rFonts w:eastAsia="Times New Roman"/>
                <w:szCs w:val="24"/>
                <w:lang w:eastAsia="en-US"/>
              </w:rPr>
              <w:t xml:space="preserve">CSI feedback, </w:t>
            </w:r>
            <w:r w:rsidRPr="001A530A">
              <w:rPr>
                <w:rFonts w:eastAsia="Times New Roman"/>
                <w:szCs w:val="24"/>
                <w:lang w:eastAsia="en-US"/>
              </w:rPr>
              <w:t>and DCI format</w:t>
            </w:r>
          </w:p>
          <w:p w14:paraId="3210F7D8" w14:textId="77777777" w:rsidR="006E0535" w:rsidRPr="000D100E" w:rsidRDefault="006E0535" w:rsidP="00E34891">
            <w:pPr>
              <w:widowControl/>
              <w:numPr>
                <w:ilvl w:val="2"/>
                <w:numId w:val="4"/>
              </w:numPr>
              <w:tabs>
                <w:tab w:val="num" w:pos="2160"/>
              </w:tabs>
              <w:snapToGrid w:val="0"/>
              <w:spacing w:after="0"/>
              <w:jc w:val="left"/>
              <w:rPr>
                <w:rFonts w:eastAsia="Times New Roman"/>
                <w:szCs w:val="24"/>
                <w:lang w:eastAsia="en-US"/>
              </w:rPr>
            </w:pPr>
            <w:r w:rsidRPr="001A530A">
              <w:rPr>
                <w:rFonts w:eastAsia="Times New Roman"/>
                <w:szCs w:val="24"/>
                <w:lang w:eastAsia="en-US"/>
              </w:rPr>
              <w:t xml:space="preserve">Note: Whether to support 6Rx with </w:t>
            </w:r>
            <w:r>
              <w:rPr>
                <w:rFonts w:eastAsia="Times New Roman"/>
                <w:szCs w:val="24"/>
                <w:lang w:eastAsia="en-US"/>
              </w:rPr>
              <w:t>more than 4</w:t>
            </w:r>
            <w:r w:rsidRPr="001A530A">
              <w:rPr>
                <w:rFonts w:eastAsia="Times New Roman"/>
                <w:szCs w:val="24"/>
                <w:lang w:eastAsia="en-US"/>
              </w:rPr>
              <w:t xml:space="preserve"> layers is to be decided in RAN4 Rel-19 RF enhancements WI</w:t>
            </w:r>
          </w:p>
          <w:p w14:paraId="5000F69B" w14:textId="77777777" w:rsidR="006E0535" w:rsidRPr="000D100E" w:rsidRDefault="006E0535" w:rsidP="00E34891">
            <w:pPr>
              <w:snapToGrid w:val="0"/>
              <w:spacing w:after="0"/>
              <w:rPr>
                <w:rFonts w:eastAsia="Times New Roman"/>
                <w:szCs w:val="24"/>
                <w:lang w:eastAsia="en-US"/>
              </w:rPr>
            </w:pPr>
          </w:p>
          <w:p w14:paraId="500169AE" w14:textId="77777777" w:rsidR="006E0535" w:rsidRPr="000D100E" w:rsidRDefault="006E0535" w:rsidP="00E34891">
            <w:pPr>
              <w:widowControl/>
              <w:numPr>
                <w:ilvl w:val="0"/>
                <w:numId w:val="4"/>
              </w:numPr>
              <w:snapToGrid w:val="0"/>
              <w:spacing w:after="0"/>
              <w:jc w:val="left"/>
              <w:rPr>
                <w:rFonts w:eastAsia="Times New Roman"/>
                <w:szCs w:val="24"/>
                <w:lang w:eastAsia="en-US"/>
              </w:rPr>
            </w:pPr>
            <w:r w:rsidRPr="000D100E">
              <w:rPr>
                <w:rFonts w:eastAsia="Times New Roman"/>
                <w:szCs w:val="24"/>
                <w:lang w:eastAsia="en-US"/>
              </w:rPr>
              <w:t xml:space="preserve">Specify UE reporting enhancement for CJT deployments under non-ideal synchronization and backhaul, targeting FR1, both FDD and TDD </w:t>
            </w:r>
          </w:p>
          <w:p w14:paraId="61401C17" w14:textId="77777777" w:rsidR="006E0535" w:rsidRPr="000D100E" w:rsidRDefault="006E0535" w:rsidP="00E34891">
            <w:pPr>
              <w:widowControl/>
              <w:numPr>
                <w:ilvl w:val="0"/>
                <w:numId w:val="5"/>
              </w:numPr>
              <w:snapToGrid w:val="0"/>
              <w:spacing w:after="0"/>
              <w:jc w:val="left"/>
              <w:rPr>
                <w:rFonts w:eastAsia="Times New Roman"/>
                <w:szCs w:val="24"/>
                <w:lang w:eastAsia="en-US"/>
              </w:rPr>
            </w:pPr>
            <w:r w:rsidRPr="000D100E">
              <w:rPr>
                <w:rFonts w:eastAsia="Times New Roman"/>
                <w:szCs w:val="24"/>
                <w:lang w:eastAsia="en-US"/>
              </w:rPr>
              <w:t>Inter-TRP time misalignment and frequency/phase offset measurement and reporting, assuming legacy CSI-RS design, with stand-alone aperiodic reporting on PUSCH</w:t>
            </w:r>
          </w:p>
          <w:p w14:paraId="73827D10" w14:textId="77777777" w:rsidR="006E0535" w:rsidRPr="000D100E" w:rsidRDefault="006E0535" w:rsidP="00E34891">
            <w:pPr>
              <w:snapToGrid w:val="0"/>
              <w:spacing w:after="0"/>
              <w:rPr>
                <w:rFonts w:eastAsia="Times New Roman"/>
                <w:szCs w:val="24"/>
                <w:lang w:eastAsia="en-US"/>
              </w:rPr>
            </w:pPr>
            <w:r w:rsidRPr="000D100E">
              <w:rPr>
                <w:rFonts w:eastAsia="Times New Roman"/>
                <w:szCs w:val="24"/>
                <w:lang w:eastAsia="en-US"/>
              </w:rPr>
              <w:t> </w:t>
            </w:r>
          </w:p>
          <w:p w14:paraId="7004BF6D" w14:textId="77777777" w:rsidR="006E0535" w:rsidRDefault="006E0535" w:rsidP="00E34891">
            <w:pPr>
              <w:widowControl/>
              <w:numPr>
                <w:ilvl w:val="0"/>
                <w:numId w:val="4"/>
              </w:numPr>
              <w:snapToGrid w:val="0"/>
              <w:spacing w:after="0"/>
              <w:jc w:val="left"/>
              <w:rPr>
                <w:rFonts w:eastAsia="Times New Roman"/>
                <w:szCs w:val="24"/>
                <w:lang w:eastAsia="en-US"/>
              </w:rPr>
            </w:pPr>
            <w:r w:rsidRPr="000D100E">
              <w:rPr>
                <w:rFonts w:eastAsia="Times New Roman"/>
                <w:szCs w:val="24"/>
                <w:lang w:eastAsia="en-US"/>
              </w:rPr>
              <w:t xml:space="preserve">Specify non-coherent UL codebook to facilitate 3-antenna-port codebook-based transmissions, </w:t>
            </w:r>
            <w:r w:rsidRPr="001A530A">
              <w:rPr>
                <w:rFonts w:eastAsia="Times New Roman"/>
                <w:szCs w:val="24"/>
                <w:lang w:eastAsia="en-US"/>
              </w:rPr>
              <w:t xml:space="preserve">enhancement(s) to enable 3T6R SRS antenna switching, as well as UE capability signaling for 3T3R </w:t>
            </w:r>
            <w:r>
              <w:rPr>
                <w:rFonts w:eastAsia="Times New Roman"/>
                <w:szCs w:val="24"/>
                <w:lang w:eastAsia="en-US"/>
              </w:rPr>
              <w:t xml:space="preserve">antenna switching </w:t>
            </w:r>
            <w:r w:rsidRPr="001A530A">
              <w:rPr>
                <w:rFonts w:eastAsia="Times New Roman"/>
                <w:szCs w:val="24"/>
                <w:lang w:eastAsia="en-US"/>
              </w:rPr>
              <w:t>and 3-antenna-port non-codebook-based transmissions,</w:t>
            </w:r>
            <w:r>
              <w:rPr>
                <w:rFonts w:eastAsia="Times New Roman"/>
                <w:szCs w:val="24"/>
                <w:lang w:eastAsia="en-US"/>
              </w:rPr>
              <w:t xml:space="preserve"> </w:t>
            </w:r>
            <w:r w:rsidRPr="000D100E">
              <w:rPr>
                <w:rFonts w:eastAsia="Times New Roman"/>
                <w:szCs w:val="24"/>
                <w:lang w:eastAsia="en-US"/>
              </w:rPr>
              <w:t>without enhancement on UL full power transmission and without enhancement on SRS resource</w:t>
            </w:r>
          </w:p>
          <w:p w14:paraId="0130B91B" w14:textId="77777777" w:rsidR="006E0535" w:rsidRDefault="006E0535" w:rsidP="00E34891">
            <w:pPr>
              <w:snapToGrid w:val="0"/>
              <w:spacing w:after="0"/>
              <w:ind w:firstLine="720"/>
              <w:rPr>
                <w:rFonts w:eastAsia="Times New Roman"/>
                <w:szCs w:val="24"/>
                <w:lang w:eastAsia="en-US"/>
              </w:rPr>
            </w:pPr>
            <w:r>
              <w:rPr>
                <w:rFonts w:eastAsia="Times New Roman"/>
                <w:szCs w:val="24"/>
                <w:lang w:eastAsia="en-US"/>
              </w:rPr>
              <w:t>Note: UL full power transmission mode 1 and 2 are not supported.</w:t>
            </w:r>
          </w:p>
          <w:p w14:paraId="4539E1B4" w14:textId="77777777" w:rsidR="006E0535" w:rsidRPr="000D100E" w:rsidRDefault="006E0535" w:rsidP="00E34891">
            <w:pPr>
              <w:snapToGrid w:val="0"/>
              <w:spacing w:after="0"/>
              <w:ind w:left="720"/>
              <w:rPr>
                <w:rFonts w:eastAsia="Times New Roman"/>
                <w:szCs w:val="24"/>
                <w:lang w:eastAsia="en-US"/>
              </w:rPr>
            </w:pPr>
            <w:r w:rsidRPr="001A530A">
              <w:rPr>
                <w:rFonts w:eastAsia="Times New Roman"/>
                <w:szCs w:val="24"/>
                <w:lang w:eastAsia="en-US"/>
              </w:rPr>
              <w:t xml:space="preserve">Note: </w:t>
            </w:r>
            <w:r>
              <w:rPr>
                <w:rFonts w:eastAsia="Times New Roman"/>
                <w:szCs w:val="24"/>
                <w:lang w:eastAsia="en-US"/>
              </w:rPr>
              <w:t>Other than UE capability signaling, no other enhancement is specified for 3T3R SRS antenna switching.</w:t>
            </w:r>
          </w:p>
          <w:p w14:paraId="58948644" w14:textId="77777777" w:rsidR="006E0535" w:rsidRPr="000D100E" w:rsidRDefault="006E0535" w:rsidP="00E34891">
            <w:pPr>
              <w:snapToGrid w:val="0"/>
              <w:spacing w:after="0"/>
              <w:rPr>
                <w:rFonts w:eastAsia="Times New Roman"/>
                <w:szCs w:val="24"/>
                <w:lang w:eastAsia="en-US"/>
              </w:rPr>
            </w:pPr>
          </w:p>
          <w:p w14:paraId="54EFB5C5" w14:textId="77777777" w:rsidR="006E0535" w:rsidRPr="000D100E" w:rsidRDefault="006E0535" w:rsidP="00E34891">
            <w:pPr>
              <w:widowControl/>
              <w:numPr>
                <w:ilvl w:val="0"/>
                <w:numId w:val="4"/>
              </w:numPr>
              <w:snapToGrid w:val="0"/>
              <w:spacing w:after="0"/>
              <w:jc w:val="left"/>
              <w:rPr>
                <w:rFonts w:eastAsia="Times New Roman"/>
                <w:szCs w:val="24"/>
                <w:lang w:eastAsia="en-US"/>
              </w:rPr>
            </w:pPr>
            <w:r w:rsidRPr="000D100E">
              <w:rPr>
                <w:rFonts w:eastAsia="Times New Roman"/>
                <w:szCs w:val="24"/>
                <w:lang w:eastAsia="en-US"/>
              </w:rPr>
              <w:lastRenderedPageBreak/>
              <w:t>Specify enhancement for asymmetric DL sTRP/UL mTRP deployment scenarios, assuming intra-band intra-DU non-co-located mTRP scenarios, without changing existing cell definition or defining a new cell (e.g. UL-only cell), assuming the Rel-17/18 unified TCI framework</w:t>
            </w:r>
            <w:r w:rsidRPr="000D100E">
              <w:rPr>
                <w:rFonts w:eastAsia="Times New Roman"/>
                <w:sz w:val="24"/>
                <w:szCs w:val="24"/>
                <w:lang w:eastAsia="en-US"/>
              </w:rPr>
              <w:t xml:space="preserve"> </w:t>
            </w:r>
            <w:r w:rsidRPr="000D100E">
              <w:rPr>
                <w:rFonts w:eastAsia="Times New Roman"/>
                <w:szCs w:val="24"/>
                <w:lang w:eastAsia="en-US"/>
              </w:rPr>
              <w:t xml:space="preserve">and fully reusing the legacy QCL/UL spatial relation rules, targeting FR1 and FR2 </w:t>
            </w:r>
          </w:p>
          <w:p w14:paraId="0B1D22F5" w14:textId="77777777" w:rsidR="006E0535" w:rsidRDefault="006E0535" w:rsidP="00E34891">
            <w:pPr>
              <w:widowControl/>
              <w:numPr>
                <w:ilvl w:val="1"/>
                <w:numId w:val="4"/>
              </w:numPr>
              <w:snapToGrid w:val="0"/>
              <w:spacing w:after="0"/>
              <w:jc w:val="left"/>
              <w:rPr>
                <w:rFonts w:eastAsia="Times New Roman"/>
                <w:szCs w:val="24"/>
                <w:lang w:eastAsia="en-US"/>
              </w:rPr>
            </w:pPr>
            <w:r w:rsidRPr="000D100E">
              <w:rPr>
                <w:rFonts w:eastAsia="Times New Roman"/>
                <w:szCs w:val="24"/>
                <w:lang w:eastAsia="en-US"/>
              </w:rPr>
              <w:t xml:space="preserve">Two closed-loop PC adjustment states for SRS, both separate from PUSCH; and pathloss offset configurations for pathloss calculation to UL TRP(s), when the pathloss RS is from DL sTRP. </w:t>
            </w:r>
          </w:p>
          <w:p w14:paraId="77D2C30E" w14:textId="77777777" w:rsidR="006E0535" w:rsidRPr="000D100E" w:rsidRDefault="006E0535" w:rsidP="00E34891">
            <w:pPr>
              <w:widowControl/>
              <w:numPr>
                <w:ilvl w:val="1"/>
                <w:numId w:val="4"/>
              </w:numPr>
              <w:snapToGrid w:val="0"/>
              <w:spacing w:after="0"/>
              <w:jc w:val="left"/>
              <w:rPr>
                <w:rFonts w:eastAsia="Times New Roman"/>
                <w:szCs w:val="24"/>
                <w:lang w:eastAsia="en-US"/>
              </w:rPr>
            </w:pPr>
            <w:r w:rsidRPr="001A530A">
              <w:rPr>
                <w:rFonts w:eastAsia="Times New Roman"/>
                <w:szCs w:val="24"/>
                <w:lang w:eastAsia="en-US"/>
              </w:rPr>
              <w:t>Two TAs through reusing Rel-18 specification of two TAs for multi-DCI-based multi-TRP and removing the restriction that </w:t>
            </w:r>
            <w:r w:rsidRPr="001A530A">
              <w:rPr>
                <w:rFonts w:eastAsia="Times New Roman"/>
                <w:i/>
                <w:iCs/>
                <w:szCs w:val="24"/>
                <w:lang w:eastAsia="en-US"/>
              </w:rPr>
              <w:t xml:space="preserve">coresetPoolIndex </w:t>
            </w:r>
            <w:r w:rsidRPr="001A530A">
              <w:rPr>
                <w:rFonts w:eastAsia="Times New Roman"/>
                <w:szCs w:val="24"/>
                <w:lang w:eastAsia="en-US"/>
              </w:rPr>
              <w:t>needs to be configured, assuming legacy PRACH resources</w:t>
            </w:r>
          </w:p>
          <w:bookmarkEnd w:id="1"/>
          <w:p w14:paraId="6B91D6CF" w14:textId="77777777" w:rsidR="006E0535" w:rsidRPr="000D100E" w:rsidRDefault="006E0535" w:rsidP="00E34891">
            <w:pPr>
              <w:snapToGrid w:val="0"/>
              <w:spacing w:after="0"/>
              <w:rPr>
                <w:rFonts w:eastAsia="Times New Roman"/>
                <w:szCs w:val="24"/>
                <w:lang w:eastAsia="en-US"/>
              </w:rPr>
            </w:pPr>
          </w:p>
          <w:p w14:paraId="54EAC499" w14:textId="77777777" w:rsidR="006E0535" w:rsidRPr="009A700E" w:rsidRDefault="006E0535" w:rsidP="00E34891">
            <w:pPr>
              <w:snapToGrid w:val="0"/>
              <w:spacing w:after="0"/>
              <w:rPr>
                <w:rFonts w:eastAsia="Times New Roman"/>
                <w:szCs w:val="24"/>
                <w:lang w:eastAsia="en-US"/>
              </w:rPr>
            </w:pPr>
            <w:r w:rsidRPr="009A700E">
              <w:rPr>
                <w:rFonts w:eastAsia="Times New Roman"/>
                <w:szCs w:val="24"/>
                <w:lang w:eastAsia="en-US"/>
              </w:rPr>
              <w:t>Acronyms:</w:t>
            </w:r>
          </w:p>
          <w:p w14:paraId="4D851618" w14:textId="77777777" w:rsidR="006E0535" w:rsidRPr="009A700E" w:rsidRDefault="006E0535" w:rsidP="00E34891">
            <w:pPr>
              <w:widowControl/>
              <w:numPr>
                <w:ilvl w:val="0"/>
                <w:numId w:val="6"/>
              </w:numPr>
              <w:snapToGrid w:val="0"/>
              <w:spacing w:after="0"/>
              <w:jc w:val="left"/>
              <w:rPr>
                <w:szCs w:val="24"/>
                <w:lang w:eastAsia="en-US"/>
              </w:rPr>
            </w:pPr>
            <w:r w:rsidRPr="009A700E">
              <w:rPr>
                <w:szCs w:val="24"/>
                <w:lang w:eastAsia="en-US"/>
              </w:rPr>
              <w:t>sTRP: single TRP (transmit-receive point)</w:t>
            </w:r>
          </w:p>
          <w:p w14:paraId="05AD81DF" w14:textId="77777777" w:rsidR="006E0535" w:rsidRPr="009A700E" w:rsidRDefault="006E0535" w:rsidP="00E34891">
            <w:pPr>
              <w:widowControl/>
              <w:numPr>
                <w:ilvl w:val="0"/>
                <w:numId w:val="6"/>
              </w:numPr>
              <w:snapToGrid w:val="0"/>
              <w:spacing w:after="0"/>
              <w:jc w:val="left"/>
              <w:rPr>
                <w:szCs w:val="24"/>
                <w:lang w:eastAsia="en-US"/>
              </w:rPr>
            </w:pPr>
            <w:r w:rsidRPr="009A700E">
              <w:rPr>
                <w:szCs w:val="24"/>
                <w:lang w:eastAsia="en-US"/>
              </w:rPr>
              <w:t>mTRP: multiple TRP (transmit-receive point)</w:t>
            </w:r>
          </w:p>
          <w:p w14:paraId="6C5BF1BF" w14:textId="77777777" w:rsidR="006E0535" w:rsidRPr="009A700E" w:rsidRDefault="006E0535" w:rsidP="00E34891">
            <w:pPr>
              <w:widowControl/>
              <w:numPr>
                <w:ilvl w:val="0"/>
                <w:numId w:val="6"/>
              </w:numPr>
              <w:snapToGrid w:val="0"/>
              <w:spacing w:after="0"/>
              <w:jc w:val="left"/>
              <w:rPr>
                <w:szCs w:val="24"/>
                <w:lang w:eastAsia="en-US"/>
              </w:rPr>
            </w:pPr>
            <w:r w:rsidRPr="009A700E">
              <w:rPr>
                <w:szCs w:val="24"/>
                <w:lang w:eastAsia="en-US"/>
              </w:rPr>
              <w:t>CJT: coherent joint transmission</w:t>
            </w:r>
          </w:p>
          <w:p w14:paraId="1E560CE6" w14:textId="77777777" w:rsidR="006E0535" w:rsidRPr="009A700E" w:rsidRDefault="006E0535" w:rsidP="00E34891">
            <w:pPr>
              <w:widowControl/>
              <w:numPr>
                <w:ilvl w:val="0"/>
                <w:numId w:val="6"/>
              </w:numPr>
              <w:snapToGrid w:val="0"/>
              <w:spacing w:after="0"/>
              <w:jc w:val="left"/>
              <w:rPr>
                <w:szCs w:val="24"/>
                <w:lang w:eastAsia="en-US"/>
              </w:rPr>
            </w:pPr>
            <w:r w:rsidRPr="009A700E">
              <w:rPr>
                <w:szCs w:val="24"/>
                <w:lang w:eastAsia="en-US"/>
              </w:rPr>
              <w:t>DU: distributed unit</w:t>
            </w:r>
          </w:p>
          <w:p w14:paraId="6639853B" w14:textId="77777777" w:rsidR="006E0535" w:rsidRPr="009A700E" w:rsidRDefault="006E0535" w:rsidP="00E34891">
            <w:pPr>
              <w:widowControl/>
              <w:numPr>
                <w:ilvl w:val="0"/>
                <w:numId w:val="6"/>
              </w:numPr>
              <w:snapToGrid w:val="0"/>
              <w:spacing w:after="0"/>
              <w:jc w:val="left"/>
              <w:rPr>
                <w:szCs w:val="24"/>
                <w:lang w:eastAsia="en-US"/>
              </w:rPr>
            </w:pPr>
            <w:r w:rsidRPr="009A700E">
              <w:rPr>
                <w:szCs w:val="24"/>
                <w:lang w:eastAsia="en-US"/>
              </w:rPr>
              <w:t>CRI: CSI-RS resource indicator</w:t>
            </w:r>
          </w:p>
          <w:p w14:paraId="47B912AF" w14:textId="77777777" w:rsidR="006E0535" w:rsidRPr="00F85229" w:rsidRDefault="006E0535" w:rsidP="00E34891">
            <w:pPr>
              <w:snapToGrid w:val="0"/>
              <w:spacing w:beforeLines="50" w:before="120" w:after="0"/>
              <w:rPr>
                <w:bCs/>
              </w:rPr>
            </w:pPr>
          </w:p>
          <w:p w14:paraId="220E8CC8" w14:textId="77777777" w:rsidR="006E0535" w:rsidRPr="00944783" w:rsidRDefault="006E0535" w:rsidP="00E34891">
            <w:pPr>
              <w:spacing w:after="0"/>
              <w:rPr>
                <w:rFonts w:eastAsia="Malgun Gothic"/>
                <w:b/>
                <w:lang w:eastAsia="ko-KR"/>
              </w:rPr>
            </w:pPr>
            <w:r w:rsidRPr="00944783">
              <w:rPr>
                <w:rFonts w:eastAsia="Malgun Gothic" w:hint="eastAsia"/>
                <w:b/>
                <w:lang w:eastAsia="ko-KR"/>
              </w:rPr>
              <w:t>RAN2:</w:t>
            </w:r>
          </w:p>
          <w:p w14:paraId="233B99E4" w14:textId="77777777" w:rsidR="006E0535" w:rsidRDefault="006E0535" w:rsidP="00E34891">
            <w:pPr>
              <w:spacing w:after="0"/>
              <w:rPr>
                <w:lang w:eastAsia="ko-KR"/>
              </w:rPr>
            </w:pPr>
            <w:r w:rsidRPr="00F9630A">
              <w:rPr>
                <w:lang w:eastAsia="ko-KR"/>
              </w:rPr>
              <w:t xml:space="preserve">Specify higher layer support of </w:t>
            </w:r>
            <w:r>
              <w:rPr>
                <w:lang w:eastAsia="ko-KR"/>
              </w:rPr>
              <w:t xml:space="preserve">the </w:t>
            </w:r>
            <w:r w:rsidRPr="00F9630A">
              <w:rPr>
                <w:lang w:eastAsia="ko-KR"/>
              </w:rPr>
              <w:t>enhancements listed above</w:t>
            </w:r>
            <w:r>
              <w:rPr>
                <w:lang w:eastAsia="ko-KR"/>
              </w:rPr>
              <w:t xml:space="preserve">. </w:t>
            </w:r>
          </w:p>
          <w:p w14:paraId="408B9360" w14:textId="77777777" w:rsidR="006E0535" w:rsidRDefault="006E0535" w:rsidP="00E34891">
            <w:pPr>
              <w:spacing w:after="0"/>
              <w:rPr>
                <w:lang w:eastAsia="ko-KR"/>
              </w:rPr>
            </w:pPr>
          </w:p>
          <w:p w14:paraId="45A191A8" w14:textId="77777777" w:rsidR="006E0535" w:rsidRPr="00944783" w:rsidRDefault="006E0535" w:rsidP="00E34891">
            <w:pPr>
              <w:spacing w:after="0"/>
              <w:rPr>
                <w:rFonts w:eastAsia="Malgun Gothic"/>
                <w:b/>
                <w:lang w:eastAsia="ko-KR"/>
              </w:rPr>
            </w:pPr>
            <w:r w:rsidRPr="00944783">
              <w:rPr>
                <w:rFonts w:eastAsia="Malgun Gothic" w:hint="eastAsia"/>
                <w:b/>
                <w:lang w:eastAsia="ko-KR"/>
              </w:rPr>
              <w:t>RAN4:</w:t>
            </w:r>
          </w:p>
          <w:p w14:paraId="625DB451" w14:textId="77777777" w:rsidR="006E0535" w:rsidRPr="00672483" w:rsidRDefault="006E0535" w:rsidP="00E34891">
            <w:pPr>
              <w:spacing w:after="0"/>
              <w:rPr>
                <w:rFonts w:eastAsia="Malgun Gothic"/>
                <w:lang w:eastAsia="ko-KR"/>
              </w:rPr>
            </w:pPr>
            <w:r w:rsidRPr="00F9630A">
              <w:rPr>
                <w:rFonts w:eastAsia="Malgun Gothic"/>
                <w:lang w:eastAsia="ko-KR"/>
              </w:rPr>
              <w:t xml:space="preserve">Specify </w:t>
            </w:r>
            <w:r>
              <w:rPr>
                <w:rFonts w:eastAsia="Malgun Gothic"/>
                <w:lang w:eastAsia="ko-KR"/>
              </w:rPr>
              <w:t xml:space="preserve">necessary </w:t>
            </w:r>
            <w:r w:rsidRPr="00F9630A">
              <w:rPr>
                <w:rFonts w:eastAsia="Malgun Gothic"/>
                <w:lang w:eastAsia="ko-KR"/>
              </w:rPr>
              <w:t>core requirem</w:t>
            </w:r>
            <w:r>
              <w:rPr>
                <w:rFonts w:eastAsia="Malgun Gothic"/>
                <w:lang w:eastAsia="ko-KR"/>
              </w:rPr>
              <w:t>ents for the enhancements listed above.</w:t>
            </w:r>
          </w:p>
        </w:tc>
      </w:tr>
    </w:tbl>
    <w:p w14:paraId="6339E54E" w14:textId="44C45412" w:rsidR="006E0535" w:rsidRDefault="006E0535" w:rsidP="006E0535">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I</w:t>
      </w:r>
      <w:r>
        <w:rPr>
          <w:rFonts w:ascii="Times New Roman" w:eastAsia="宋体" w:hAnsi="Times New Roman" w:cs="Times New Roman"/>
          <w:sz w:val="20"/>
          <w:szCs w:val="20"/>
        </w:rPr>
        <w:t xml:space="preserve">n last RAN4 meeting, we analyzed the RRM requirements/impacts of objectives#2/3/4/5 and achieved some agreements in [2]. </w:t>
      </w:r>
    </w:p>
    <w:p w14:paraId="3ADA145A" w14:textId="4412E3D0" w:rsidR="00504EB6" w:rsidRDefault="00504EB6" w:rsidP="006E0535">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T</w:t>
      </w:r>
      <w:r>
        <w:rPr>
          <w:rFonts w:ascii="Times New Roman" w:eastAsia="宋体" w:hAnsi="Times New Roman" w:cs="Times New Roman"/>
          <w:sz w:val="20"/>
          <w:szCs w:val="20"/>
        </w:rPr>
        <w:t xml:space="preserve">here are no open issues in objective #2 and objective #4. The only potential RRM impacts are related to CJTC reporting and asymmetric DL sTRP/UL mTRP scenarios.  </w:t>
      </w:r>
    </w:p>
    <w:p w14:paraId="28AF34DB" w14:textId="54994CE8" w:rsidR="00672483" w:rsidRPr="0036485D" w:rsidRDefault="006E0535" w:rsidP="006E0535">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this contribution, we continue to discuss the RRM requirements for </w:t>
      </w:r>
      <w:r w:rsidR="00504EB6">
        <w:rPr>
          <w:rFonts w:ascii="Times New Roman" w:eastAsia="宋体" w:hAnsi="Times New Roman" w:cs="Times New Roman"/>
          <w:sz w:val="20"/>
          <w:szCs w:val="20"/>
        </w:rPr>
        <w:t>“</w:t>
      </w:r>
      <w:r w:rsidR="00504EB6">
        <w:rPr>
          <w:rFonts w:ascii="Times New Roman" w:eastAsia="宋体" w:hAnsi="Times New Roman" w:cs="Times New Roman"/>
          <w:sz w:val="20"/>
          <w:szCs w:val="20"/>
        </w:rPr>
        <w:t>CJTC reporting</w:t>
      </w:r>
      <w:r w:rsidR="00504EB6">
        <w:rPr>
          <w:rFonts w:ascii="Times New Roman" w:eastAsia="宋体" w:hAnsi="Times New Roman" w:cs="Times New Roman"/>
          <w:sz w:val="20"/>
          <w:szCs w:val="20"/>
        </w:rPr>
        <w:t>” and “</w:t>
      </w:r>
      <w:r w:rsidR="00504EB6">
        <w:rPr>
          <w:rFonts w:ascii="Times New Roman" w:eastAsia="宋体" w:hAnsi="Times New Roman" w:cs="Times New Roman"/>
          <w:sz w:val="20"/>
          <w:szCs w:val="20"/>
        </w:rPr>
        <w:t>asymmetric DL sTRP/UL mTRP scenarios</w:t>
      </w:r>
      <w:r w:rsidR="00504EB6">
        <w:rPr>
          <w:rFonts w:ascii="Times New Roman" w:eastAsia="宋体" w:hAnsi="Times New Roman" w:cs="Times New Roman"/>
          <w:sz w:val="20"/>
          <w:szCs w:val="20"/>
        </w:rPr>
        <w:t>”</w:t>
      </w:r>
      <w:r>
        <w:rPr>
          <w:rFonts w:ascii="Times New Roman" w:eastAsia="宋体" w:hAnsi="Times New Roman" w:cs="Times New Roman"/>
          <w:sz w:val="20"/>
          <w:szCs w:val="20"/>
        </w:rPr>
        <w:t xml:space="preserve"> in Rel-19 MIMO phase 5</w:t>
      </w:r>
      <w:r w:rsidRPr="009537C2">
        <w:rPr>
          <w:rFonts w:ascii="Times New Roman" w:eastAsia="宋体" w:hAnsi="Times New Roman" w:cs="Times New Roman"/>
          <w:sz w:val="20"/>
          <w:szCs w:val="20"/>
        </w:rPr>
        <w:t>.</w:t>
      </w:r>
    </w:p>
    <w:p w14:paraId="3F7773BD" w14:textId="2F7217B7" w:rsidR="00672483" w:rsidRPr="008632BF" w:rsidRDefault="00F57816" w:rsidP="00ED7C64">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8632BF">
        <w:rPr>
          <w:rFonts w:cs="Arial"/>
          <w:sz w:val="30"/>
          <w:szCs w:val="30"/>
        </w:rPr>
        <w:t xml:space="preserve"> </w:t>
      </w:r>
    </w:p>
    <w:p w14:paraId="1FBA6C68" w14:textId="74E957A2" w:rsidR="00FE0648" w:rsidRDefault="00FE0648" w:rsidP="00FE0648">
      <w:pPr>
        <w:pStyle w:val="2"/>
        <w:spacing w:before="240" w:after="180" w:line="240" w:lineRule="auto"/>
        <w:jc w:val="left"/>
        <w:rPr>
          <w:rFonts w:ascii="Arial" w:hAnsi="Arial" w:cs="Arial"/>
          <w:b w:val="0"/>
          <w:bCs w:val="0"/>
          <w:sz w:val="30"/>
          <w:szCs w:val="30"/>
        </w:rPr>
      </w:pPr>
      <w:r>
        <w:rPr>
          <w:rFonts w:ascii="Arial" w:hAnsi="Arial" w:cs="Arial"/>
          <w:b w:val="0"/>
          <w:bCs w:val="0"/>
          <w:sz w:val="30"/>
          <w:szCs w:val="30"/>
        </w:rPr>
        <w:t>2.</w:t>
      </w:r>
      <w:r w:rsidR="00326027">
        <w:rPr>
          <w:rFonts w:ascii="Arial" w:hAnsi="Arial" w:cs="Arial"/>
          <w:b w:val="0"/>
          <w:bCs w:val="0"/>
          <w:sz w:val="30"/>
          <w:szCs w:val="30"/>
        </w:rPr>
        <w:t>1</w:t>
      </w:r>
      <w:r>
        <w:rPr>
          <w:rFonts w:ascii="Arial" w:hAnsi="Arial" w:cs="Arial"/>
          <w:b w:val="0"/>
          <w:bCs w:val="0"/>
          <w:sz w:val="30"/>
          <w:szCs w:val="30"/>
        </w:rPr>
        <w:t xml:space="preserve"> </w:t>
      </w:r>
      <w:r w:rsidRPr="00B840C6">
        <w:rPr>
          <w:rFonts w:ascii="Arial" w:hAnsi="Arial" w:cs="Arial"/>
          <w:b w:val="0"/>
          <w:bCs w:val="0"/>
          <w:sz w:val="30"/>
          <w:szCs w:val="30"/>
        </w:rPr>
        <w:t>UE reporting enhancement for CJT calibration</w:t>
      </w:r>
    </w:p>
    <w:p w14:paraId="497B820D" w14:textId="44E11128" w:rsidR="00FE0648" w:rsidRPr="0095390F" w:rsidRDefault="00FE0648" w:rsidP="006F3587">
      <w:pPr>
        <w:spacing w:beforeLines="50" w:before="120" w:afterLines="50" w:after="120"/>
        <w:jc w:val="left"/>
        <w:rPr>
          <w:rFonts w:ascii="Times New Roman" w:hAnsi="Times New Roman" w:cs="Times New Roman"/>
        </w:rPr>
      </w:pPr>
      <w:r w:rsidRPr="0095390F">
        <w:rPr>
          <w:rFonts w:ascii="Times New Roman" w:eastAsia="宋体" w:hAnsi="Times New Roman" w:cs="Times New Roman"/>
          <w:color w:val="000000" w:themeColor="text1"/>
          <w:kern w:val="24"/>
          <w:sz w:val="20"/>
          <w:szCs w:val="20"/>
        </w:rPr>
        <w:t>In RAN4#11</w:t>
      </w:r>
      <w:r w:rsidR="006B6B4A">
        <w:rPr>
          <w:rFonts w:ascii="Times New Roman" w:eastAsia="宋体" w:hAnsi="Times New Roman" w:cs="Times New Roman"/>
          <w:color w:val="000000" w:themeColor="text1"/>
          <w:kern w:val="24"/>
          <w:sz w:val="20"/>
          <w:szCs w:val="20"/>
        </w:rPr>
        <w:t>3</w:t>
      </w:r>
      <w:r w:rsidRPr="0095390F">
        <w:rPr>
          <w:rFonts w:ascii="Times New Roman" w:eastAsia="宋体" w:hAnsi="Times New Roman" w:cs="Times New Roman"/>
          <w:color w:val="000000" w:themeColor="text1"/>
          <w:kern w:val="24"/>
          <w:sz w:val="20"/>
          <w:szCs w:val="20"/>
        </w:rPr>
        <w:t xml:space="preserve"> meeting, </w:t>
      </w:r>
      <w:r w:rsidR="006F3587">
        <w:rPr>
          <w:rFonts w:ascii="Times New Roman" w:eastAsia="宋体" w:hAnsi="Times New Roman" w:cs="Times New Roman"/>
          <w:color w:val="000000" w:themeColor="text1"/>
          <w:kern w:val="24"/>
          <w:sz w:val="20"/>
          <w:szCs w:val="20"/>
        </w:rPr>
        <w:t>RAN4 agreed to perform further simulation for CJTC reporting.</w:t>
      </w:r>
      <w:r w:rsidR="006B6B4A">
        <w:rPr>
          <w:rFonts w:ascii="Times New Roman" w:eastAsia="宋体" w:hAnsi="Times New Roman" w:cs="Times New Roman"/>
          <w:color w:val="000000" w:themeColor="text1"/>
          <w:kern w:val="24"/>
          <w:sz w:val="20"/>
          <w:szCs w:val="20"/>
        </w:rPr>
        <w:t xml:space="preserve"> </w:t>
      </w:r>
    </w:p>
    <w:tbl>
      <w:tblPr>
        <w:tblStyle w:val="a7"/>
        <w:tblW w:w="0" w:type="auto"/>
        <w:tblLook w:val="04A0" w:firstRow="1" w:lastRow="0" w:firstColumn="1" w:lastColumn="0" w:noHBand="0" w:noVBand="1"/>
      </w:tblPr>
      <w:tblGrid>
        <w:gridCol w:w="9629"/>
      </w:tblGrid>
      <w:tr w:rsidR="00FE0648" w:rsidRPr="0095390F" w14:paraId="2930FC47" w14:textId="77777777" w:rsidTr="00E34891">
        <w:tc>
          <w:tcPr>
            <w:tcW w:w="9629" w:type="dxa"/>
          </w:tcPr>
          <w:p w14:paraId="77009D66" w14:textId="77777777" w:rsidR="006B6B4A" w:rsidRDefault="006B6B4A" w:rsidP="006B6B4A">
            <w:pPr>
              <w:rPr>
                <w:b/>
                <w:u w:val="single"/>
                <w:lang w:eastAsia="ko-KR"/>
              </w:rPr>
            </w:pPr>
            <w:r>
              <w:rPr>
                <w:b/>
                <w:u w:val="single"/>
                <w:lang w:eastAsia="ko-KR"/>
              </w:rPr>
              <w:t>Issue 2-1: On the simulation assumption for CJT calibration</w:t>
            </w:r>
          </w:p>
          <w:p w14:paraId="6DA35B9F" w14:textId="77777777" w:rsidR="006B6B4A" w:rsidRPr="00FA4EEF" w:rsidRDefault="006B6B4A" w:rsidP="006B6B4A">
            <w:pPr>
              <w:rPr>
                <w:lang w:eastAsia="ko-KR"/>
              </w:rPr>
            </w:pPr>
            <w:r w:rsidRPr="00FA4EEF">
              <w:rPr>
                <w:lang w:eastAsia="ko-KR"/>
              </w:rPr>
              <w:t>Agreement is captured in R4-2420209</w:t>
            </w:r>
            <w:r>
              <w:rPr>
                <w:lang w:eastAsia="ko-KR"/>
              </w:rPr>
              <w:t>.</w:t>
            </w:r>
          </w:p>
          <w:p w14:paraId="2EFECF7C" w14:textId="77777777" w:rsidR="006B6B4A" w:rsidRPr="00992CD4" w:rsidRDefault="006B6B4A" w:rsidP="006B6B4A">
            <w:pPr>
              <w:rPr>
                <w:color w:val="0070C0"/>
              </w:rPr>
            </w:pPr>
          </w:p>
          <w:p w14:paraId="006A911B" w14:textId="77777777" w:rsidR="006B6B4A" w:rsidRPr="009A399F" w:rsidRDefault="006B6B4A" w:rsidP="006B6B4A">
            <w:pPr>
              <w:rPr>
                <w:b/>
                <w:u w:val="single"/>
                <w:lang w:eastAsia="ko-KR"/>
              </w:rPr>
            </w:pPr>
            <w:r w:rsidRPr="009A399F">
              <w:rPr>
                <w:b/>
                <w:u w:val="single"/>
                <w:lang w:eastAsia="ko-KR"/>
              </w:rPr>
              <w:t xml:space="preserve">Issue </w:t>
            </w:r>
            <w:r>
              <w:rPr>
                <w:b/>
                <w:u w:val="single"/>
                <w:lang w:eastAsia="ko-KR"/>
              </w:rPr>
              <w:t>2</w:t>
            </w:r>
            <w:r w:rsidRPr="009A399F">
              <w:rPr>
                <w:b/>
                <w:u w:val="single"/>
                <w:lang w:eastAsia="ko-KR"/>
              </w:rPr>
              <w:t xml:space="preserve">-2: Whether </w:t>
            </w:r>
            <w:r w:rsidRPr="009A399F">
              <w:rPr>
                <w:b/>
                <w:u w:val="single"/>
              </w:rPr>
              <w:t xml:space="preserve">RRM </w:t>
            </w:r>
            <w:r w:rsidRPr="009A399F">
              <w:rPr>
                <w:b/>
                <w:u w:val="single"/>
                <w:lang w:eastAsia="ko-KR"/>
              </w:rPr>
              <w:t xml:space="preserve">performance requirements impacts </w:t>
            </w:r>
            <w:r w:rsidRPr="009A399F">
              <w:rPr>
                <w:b/>
                <w:u w:val="single"/>
              </w:rPr>
              <w:t>exist</w:t>
            </w:r>
            <w:r w:rsidRPr="009A399F">
              <w:rPr>
                <w:b/>
                <w:u w:val="single"/>
                <w:lang w:eastAsia="ko-KR"/>
              </w:rPr>
              <w:t xml:space="preserve"> by UE reporting enhancement for CJT calibration?</w:t>
            </w:r>
          </w:p>
          <w:p w14:paraId="134D701C" w14:textId="77777777" w:rsidR="006B6B4A" w:rsidRPr="00992CD4" w:rsidRDefault="006B6B4A" w:rsidP="006B6B4A">
            <w:pPr>
              <w:spacing w:after="120"/>
            </w:pPr>
            <w:r>
              <w:t>Way forward:</w:t>
            </w:r>
          </w:p>
          <w:p w14:paraId="1CD29799" w14:textId="77777777" w:rsidR="006B6B4A" w:rsidRPr="00992CD4" w:rsidRDefault="006B6B4A" w:rsidP="006B6B4A">
            <w:pPr>
              <w:pStyle w:val="a8"/>
              <w:numPr>
                <w:ilvl w:val="0"/>
                <w:numId w:val="21"/>
              </w:numPr>
              <w:overflowPunct/>
              <w:autoSpaceDE/>
              <w:autoSpaceDN/>
              <w:adjustRightInd/>
              <w:spacing w:after="120"/>
              <w:ind w:left="780" w:firstLineChars="0"/>
              <w:textAlignment w:val="auto"/>
              <w:rPr>
                <w:rFonts w:eastAsia="宋体"/>
                <w:lang w:eastAsia="zh-CN"/>
              </w:rPr>
            </w:pPr>
            <w:r w:rsidRPr="00992CD4">
              <w:rPr>
                <w:rFonts w:eastAsia="宋体"/>
                <w:lang w:eastAsia="zh-CN"/>
              </w:rPr>
              <w:t>Option 1:</w:t>
            </w:r>
            <w:r>
              <w:rPr>
                <w:rFonts w:eastAsia="宋体"/>
                <w:lang w:eastAsia="zh-CN"/>
              </w:rPr>
              <w:t xml:space="preserve"> </w:t>
            </w:r>
            <w:r w:rsidRPr="00992CD4">
              <w:rPr>
                <w:rFonts w:eastAsia="宋体"/>
                <w:lang w:eastAsia="zh-CN"/>
              </w:rPr>
              <w:t>Define accuracy requirements.</w:t>
            </w:r>
          </w:p>
          <w:p w14:paraId="560E9B1D" w14:textId="77777777" w:rsidR="006B6B4A" w:rsidRPr="004D2914" w:rsidRDefault="006B6B4A" w:rsidP="006B6B4A">
            <w:pPr>
              <w:pStyle w:val="a8"/>
              <w:numPr>
                <w:ilvl w:val="0"/>
                <w:numId w:val="21"/>
              </w:numPr>
              <w:overflowPunct/>
              <w:autoSpaceDE/>
              <w:autoSpaceDN/>
              <w:adjustRightInd/>
              <w:spacing w:after="120"/>
              <w:ind w:left="780" w:firstLineChars="0"/>
              <w:textAlignment w:val="auto"/>
              <w:rPr>
                <w:rFonts w:eastAsia="宋体"/>
                <w:lang w:eastAsia="zh-CN"/>
              </w:rPr>
            </w:pPr>
            <w:r>
              <w:rPr>
                <w:rFonts w:eastAsia="宋体"/>
                <w:lang w:eastAsia="zh-CN"/>
              </w:rPr>
              <w:t>Option 2: FFS</w:t>
            </w:r>
            <w:r>
              <w:rPr>
                <w:rFonts w:eastAsiaTheme="minorEastAsia"/>
                <w:lang w:val="en-CA" w:eastAsia="zh-CN"/>
              </w:rPr>
              <w:t>.</w:t>
            </w:r>
          </w:p>
          <w:p w14:paraId="09619785" w14:textId="77777777" w:rsidR="006B6B4A" w:rsidRDefault="006B6B4A" w:rsidP="006B6B4A">
            <w:pPr>
              <w:rPr>
                <w:color w:val="0070C0"/>
              </w:rPr>
            </w:pPr>
          </w:p>
          <w:p w14:paraId="7FFE7B5D" w14:textId="77777777" w:rsidR="006B6B4A" w:rsidRDefault="006B6B4A" w:rsidP="006B6B4A">
            <w:pPr>
              <w:rPr>
                <w:b/>
                <w:u w:val="single"/>
                <w:lang w:eastAsia="ko-KR"/>
              </w:rPr>
            </w:pPr>
            <w:r>
              <w:rPr>
                <w:b/>
                <w:u w:val="single"/>
                <w:lang w:eastAsia="ko-KR"/>
              </w:rPr>
              <w:t xml:space="preserve">Issue 2-3: Whether report </w:t>
            </w:r>
            <w:r w:rsidRPr="00931C83">
              <w:rPr>
                <w:b/>
                <w:u w:val="single"/>
              </w:rPr>
              <w:t xml:space="preserve">mapping tables should be specified </w:t>
            </w:r>
            <w:r>
              <w:rPr>
                <w:b/>
                <w:u w:val="single"/>
                <w:lang w:eastAsia="ko-KR"/>
              </w:rPr>
              <w:t>by UE reporting enhancement for CJT calibration?</w:t>
            </w:r>
          </w:p>
          <w:p w14:paraId="60CFABE0" w14:textId="77777777" w:rsidR="006B6B4A" w:rsidRDefault="006B6B4A" w:rsidP="006B6B4A">
            <w:pPr>
              <w:spacing w:after="120"/>
            </w:pPr>
            <w:r>
              <w:t>Way forward:</w:t>
            </w:r>
          </w:p>
          <w:p w14:paraId="345B2F43" w14:textId="1A018B6A" w:rsidR="00FE0648" w:rsidRPr="006F3587" w:rsidRDefault="006B6B4A" w:rsidP="006B6B4A">
            <w:pPr>
              <w:pStyle w:val="a8"/>
              <w:numPr>
                <w:ilvl w:val="0"/>
                <w:numId w:val="21"/>
              </w:numPr>
              <w:overflowPunct/>
              <w:autoSpaceDE/>
              <w:adjustRightInd/>
              <w:spacing w:after="120"/>
              <w:ind w:firstLineChars="0"/>
              <w:textAlignment w:val="auto"/>
              <w:rPr>
                <w:rFonts w:eastAsia="宋体"/>
                <w:szCs w:val="24"/>
                <w:lang w:eastAsia="zh-CN"/>
              </w:rPr>
            </w:pPr>
            <w:r>
              <w:rPr>
                <w:rFonts w:eastAsia="宋体"/>
                <w:lang w:eastAsia="zh-CN"/>
              </w:rPr>
              <w:t xml:space="preserve">Option 1: </w:t>
            </w:r>
            <w:r w:rsidRPr="004D2914">
              <w:rPr>
                <w:rFonts w:eastAsia="宋体"/>
                <w:lang w:eastAsia="zh-CN"/>
              </w:rPr>
              <w:t>Define mapping tables for frequency/delay/phase offset reporting in performance part.</w:t>
            </w:r>
          </w:p>
        </w:tc>
      </w:tr>
    </w:tbl>
    <w:p w14:paraId="574AE896" w14:textId="6A917911" w:rsidR="00FE0648" w:rsidRDefault="00FE0648" w:rsidP="00FE0648">
      <w:pPr>
        <w:rPr>
          <w:rFonts w:ascii="Times New Roman" w:hAnsi="Times New Roman" w:cs="Times New Roman"/>
        </w:rPr>
      </w:pPr>
    </w:p>
    <w:p w14:paraId="63A926F5" w14:textId="3E727AE6" w:rsidR="00FE0648" w:rsidRDefault="003A5A81" w:rsidP="00F135FD">
      <w:pPr>
        <w:spacing w:beforeLines="50" w:before="120" w:afterLines="50" w:after="120"/>
        <w:jc w:val="left"/>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 xml:space="preserve">ccording to the agreed simulation assumption in [3], we simulated for frequency estimation for two TRPs. </w:t>
      </w:r>
    </w:p>
    <w:p w14:paraId="48E1AA83" w14:textId="31A16FDC" w:rsidR="00E60CE7" w:rsidRDefault="00E60CE7" w:rsidP="00F135FD">
      <w:pPr>
        <w:spacing w:beforeLines="50" w:before="120" w:afterLines="50" w:after="120"/>
        <w:jc w:val="left"/>
        <w:rPr>
          <w:rFonts w:ascii="Times New Roman" w:hAnsi="Times New Roman" w:cs="Times New Roman"/>
          <w:sz w:val="20"/>
          <w:szCs w:val="20"/>
        </w:rPr>
      </w:pPr>
      <w:r>
        <w:rPr>
          <w:rFonts w:ascii="Times New Roman" w:hAnsi="Times New Roman" w:cs="Times New Roman" w:hint="eastAsia"/>
          <w:sz w:val="20"/>
          <w:szCs w:val="20"/>
        </w:rPr>
        <w:lastRenderedPageBreak/>
        <w:t>T</w:t>
      </w:r>
      <w:r>
        <w:rPr>
          <w:rFonts w:ascii="Times New Roman" w:hAnsi="Times New Roman" w:cs="Times New Roman"/>
          <w:sz w:val="20"/>
          <w:szCs w:val="20"/>
        </w:rPr>
        <w:t>he initial simulation results are shown as:</w:t>
      </w:r>
    </w:p>
    <w:tbl>
      <w:tblPr>
        <w:tblStyle w:val="a7"/>
        <w:tblW w:w="0" w:type="auto"/>
        <w:tblLook w:val="04A0" w:firstRow="1" w:lastRow="0" w:firstColumn="1" w:lastColumn="0" w:noHBand="0" w:noVBand="1"/>
      </w:tblPr>
      <w:tblGrid>
        <w:gridCol w:w="2380"/>
        <w:gridCol w:w="2487"/>
        <w:gridCol w:w="2381"/>
        <w:gridCol w:w="2381"/>
      </w:tblGrid>
      <w:tr w:rsidR="003A5A81" w14:paraId="2ED11645" w14:textId="77777777" w:rsidTr="003A5A81">
        <w:tc>
          <w:tcPr>
            <w:tcW w:w="2380" w:type="dxa"/>
          </w:tcPr>
          <w:p w14:paraId="66287567" w14:textId="3C058E72" w:rsidR="003A5A81" w:rsidRDefault="00F54A47" w:rsidP="00F135FD">
            <w:pPr>
              <w:spacing w:beforeLines="50" w:before="120" w:afterLines="50" w:after="120"/>
              <w:jc w:val="left"/>
              <w:rPr>
                <w:rFonts w:hint="eastAsia"/>
              </w:rPr>
            </w:pPr>
            <w:r>
              <w:t>One shot measurement</w:t>
            </w:r>
          </w:p>
        </w:tc>
        <w:tc>
          <w:tcPr>
            <w:tcW w:w="2487" w:type="dxa"/>
          </w:tcPr>
          <w:p w14:paraId="59ADCBE1" w14:textId="3C8314F7" w:rsidR="003A5A81" w:rsidRDefault="003A5A81" w:rsidP="00F135FD">
            <w:pPr>
              <w:spacing w:beforeLines="50" w:before="120" w:afterLines="50" w:after="120"/>
              <w:jc w:val="left"/>
            </w:pPr>
            <w:r>
              <w:rPr>
                <w:rFonts w:hint="eastAsia"/>
              </w:rPr>
              <w:t>S</w:t>
            </w:r>
            <w:r>
              <w:t>NR=-3dB</w:t>
            </w:r>
          </w:p>
        </w:tc>
        <w:tc>
          <w:tcPr>
            <w:tcW w:w="2381" w:type="dxa"/>
          </w:tcPr>
          <w:p w14:paraId="7B735EE3" w14:textId="5DC04A1F" w:rsidR="003A5A81" w:rsidRDefault="003A5A81" w:rsidP="00F135FD">
            <w:pPr>
              <w:spacing w:beforeLines="50" w:before="120" w:afterLines="50" w:after="120"/>
              <w:jc w:val="left"/>
            </w:pPr>
            <w:r>
              <w:rPr>
                <w:rFonts w:hint="eastAsia"/>
              </w:rPr>
              <w:t>S</w:t>
            </w:r>
            <w:r>
              <w:t>NR=0dB</w:t>
            </w:r>
          </w:p>
        </w:tc>
        <w:tc>
          <w:tcPr>
            <w:tcW w:w="2381" w:type="dxa"/>
          </w:tcPr>
          <w:p w14:paraId="140C16BD" w14:textId="46D5C034" w:rsidR="003A5A81" w:rsidRDefault="003A5A81" w:rsidP="00F135FD">
            <w:pPr>
              <w:spacing w:beforeLines="50" w:before="120" w:afterLines="50" w:after="120"/>
              <w:jc w:val="left"/>
            </w:pPr>
            <w:r>
              <w:rPr>
                <w:rFonts w:hint="eastAsia"/>
              </w:rPr>
              <w:t>S</w:t>
            </w:r>
            <w:r>
              <w:t>NR=3dB</w:t>
            </w:r>
          </w:p>
        </w:tc>
      </w:tr>
      <w:tr w:rsidR="003A5A81" w14:paraId="138E5BB9" w14:textId="77777777" w:rsidTr="003A5A81">
        <w:tc>
          <w:tcPr>
            <w:tcW w:w="2380" w:type="dxa"/>
          </w:tcPr>
          <w:p w14:paraId="0B881BE7" w14:textId="47E2AE63" w:rsidR="003A5A81" w:rsidRDefault="003A5A81" w:rsidP="00F135FD">
            <w:pPr>
              <w:spacing w:beforeLines="50" w:before="120" w:afterLines="50" w:after="120"/>
              <w:jc w:val="left"/>
            </w:pPr>
            <w:r w:rsidRPr="003A5A81">
              <w:t>Frequency offset between TRP</w:t>
            </w:r>
            <w:r>
              <w:t xml:space="preserve"> = 350Hz</w:t>
            </w:r>
          </w:p>
        </w:tc>
        <w:tc>
          <w:tcPr>
            <w:tcW w:w="2487" w:type="dxa"/>
          </w:tcPr>
          <w:p w14:paraId="26502517" w14:textId="30494352" w:rsidR="003A5A81" w:rsidRDefault="002221D2" w:rsidP="00F135FD">
            <w:pPr>
              <w:spacing w:beforeLines="50" w:before="120" w:afterLines="50" w:after="120"/>
              <w:jc w:val="left"/>
            </w:pPr>
            <w:r>
              <w:t xml:space="preserve">Delta_freq_error = </w:t>
            </w:r>
            <w:r w:rsidR="006F167A">
              <w:t>not valid</w:t>
            </w:r>
          </w:p>
        </w:tc>
        <w:tc>
          <w:tcPr>
            <w:tcW w:w="2381" w:type="dxa"/>
          </w:tcPr>
          <w:p w14:paraId="6BABBCE4" w14:textId="201D833B" w:rsidR="003A5A81" w:rsidRDefault="002221D2" w:rsidP="00F135FD">
            <w:pPr>
              <w:spacing w:beforeLines="50" w:before="120" w:afterLines="50" w:after="120"/>
              <w:jc w:val="left"/>
            </w:pPr>
            <w:r>
              <w:t xml:space="preserve">Delta_freq_error </w:t>
            </w:r>
            <w:r w:rsidR="00C60B6D">
              <w:t>~</w:t>
            </w:r>
            <w:r w:rsidR="006F167A">
              <w:t xml:space="preserve"> 65Hz</w:t>
            </w:r>
          </w:p>
        </w:tc>
        <w:tc>
          <w:tcPr>
            <w:tcW w:w="2381" w:type="dxa"/>
          </w:tcPr>
          <w:p w14:paraId="367A795B" w14:textId="0EDAC464" w:rsidR="003A5A81" w:rsidRDefault="002221D2" w:rsidP="00F135FD">
            <w:pPr>
              <w:spacing w:beforeLines="50" w:before="120" w:afterLines="50" w:after="120"/>
              <w:jc w:val="left"/>
            </w:pPr>
            <w:r>
              <w:t xml:space="preserve">Delta_freq_error </w:t>
            </w:r>
            <w:r w:rsidR="00C60B6D">
              <w:t>~</w:t>
            </w:r>
            <w:r w:rsidR="006F167A">
              <w:t xml:space="preserve"> 17Hz</w:t>
            </w:r>
          </w:p>
        </w:tc>
      </w:tr>
      <w:tr w:rsidR="003A5A81" w14:paraId="39DA8C61" w14:textId="77777777" w:rsidTr="003A5A81">
        <w:tc>
          <w:tcPr>
            <w:tcW w:w="2380" w:type="dxa"/>
          </w:tcPr>
          <w:p w14:paraId="20242626" w14:textId="58C99D2C" w:rsidR="003A5A81" w:rsidRPr="003A5A81" w:rsidRDefault="003A5A81" w:rsidP="003A5A81">
            <w:pPr>
              <w:spacing w:beforeLines="50" w:before="120" w:afterLines="50" w:after="120"/>
              <w:jc w:val="left"/>
            </w:pPr>
            <w:r w:rsidRPr="003A5A81">
              <w:t>Frequency offset between TRP</w:t>
            </w:r>
            <w:r>
              <w:t xml:space="preserve"> = </w:t>
            </w:r>
            <w:r>
              <w:t>700</w:t>
            </w:r>
            <w:r>
              <w:t>Hz</w:t>
            </w:r>
          </w:p>
        </w:tc>
        <w:tc>
          <w:tcPr>
            <w:tcW w:w="2487" w:type="dxa"/>
          </w:tcPr>
          <w:p w14:paraId="25D850F4" w14:textId="3FC84F11" w:rsidR="003A5A81" w:rsidRDefault="002221D2" w:rsidP="003A5A81">
            <w:pPr>
              <w:spacing w:beforeLines="50" w:before="120" w:afterLines="50" w:after="120"/>
              <w:jc w:val="left"/>
            </w:pPr>
            <w:r>
              <w:t xml:space="preserve">Delta_freq_error </w:t>
            </w:r>
            <w:r w:rsidR="00C60B6D">
              <w:t>~ 63Hz</w:t>
            </w:r>
          </w:p>
        </w:tc>
        <w:tc>
          <w:tcPr>
            <w:tcW w:w="2381" w:type="dxa"/>
          </w:tcPr>
          <w:p w14:paraId="76A66F9D" w14:textId="65A36AD0" w:rsidR="003A5A81" w:rsidRDefault="002221D2" w:rsidP="003A5A81">
            <w:pPr>
              <w:spacing w:beforeLines="50" w:before="120" w:afterLines="50" w:after="120"/>
              <w:jc w:val="left"/>
            </w:pPr>
            <w:r>
              <w:t xml:space="preserve">Delta_freq_error </w:t>
            </w:r>
            <w:r w:rsidR="00C60B6D">
              <w:t>~</w:t>
            </w:r>
            <w:r w:rsidR="009B2E83">
              <w:t xml:space="preserve"> 18Hz</w:t>
            </w:r>
          </w:p>
        </w:tc>
        <w:tc>
          <w:tcPr>
            <w:tcW w:w="2381" w:type="dxa"/>
          </w:tcPr>
          <w:p w14:paraId="6A14C51B" w14:textId="12BA28E5" w:rsidR="003A5A81" w:rsidRDefault="002221D2" w:rsidP="003A5A81">
            <w:pPr>
              <w:spacing w:beforeLines="50" w:before="120" w:afterLines="50" w:after="120"/>
              <w:jc w:val="left"/>
            </w:pPr>
            <w:r>
              <w:t xml:space="preserve">Delta_freq_error </w:t>
            </w:r>
            <w:r w:rsidR="009B2E83">
              <w:t>&lt;10Hz</w:t>
            </w:r>
          </w:p>
        </w:tc>
      </w:tr>
    </w:tbl>
    <w:p w14:paraId="74C94839" w14:textId="41177D71" w:rsidR="006F167A" w:rsidRPr="00441232" w:rsidRDefault="0071111D" w:rsidP="00F135FD">
      <w:pPr>
        <w:spacing w:beforeLines="50" w:before="120" w:afterLines="50" w:after="120"/>
        <w:jc w:val="left"/>
        <w:rPr>
          <w:rFonts w:ascii="Times New Roman" w:hAnsi="Times New Roman" w:cs="Times New Roman"/>
          <w:b/>
          <w:bCs/>
          <w:sz w:val="20"/>
          <w:szCs w:val="20"/>
        </w:rPr>
      </w:pPr>
      <w:r w:rsidRPr="00441232">
        <w:rPr>
          <w:rFonts w:ascii="Times New Roman" w:hAnsi="Times New Roman" w:cs="Times New Roman"/>
          <w:b/>
          <w:bCs/>
          <w:sz w:val="20"/>
          <w:szCs w:val="20"/>
        </w:rPr>
        <w:t xml:space="preserve">Observation 1: If SNR = -3dB, one shot measurement is not valid. </w:t>
      </w:r>
    </w:p>
    <w:p w14:paraId="3D343EB4" w14:textId="369067FE" w:rsidR="0071111D" w:rsidRPr="00441232" w:rsidRDefault="0071111D" w:rsidP="00F135FD">
      <w:pPr>
        <w:spacing w:beforeLines="50" w:before="120" w:afterLines="50" w:after="120"/>
        <w:jc w:val="left"/>
        <w:rPr>
          <w:rFonts w:ascii="Times New Roman" w:hAnsi="Times New Roman" w:cs="Times New Roman"/>
          <w:b/>
          <w:bCs/>
          <w:sz w:val="20"/>
          <w:szCs w:val="20"/>
        </w:rPr>
      </w:pPr>
      <w:r w:rsidRPr="00441232">
        <w:rPr>
          <w:rFonts w:ascii="Times New Roman" w:hAnsi="Times New Roman" w:cs="Times New Roman"/>
          <w:b/>
          <w:bCs/>
          <w:sz w:val="20"/>
          <w:szCs w:val="20"/>
        </w:rPr>
        <w:t>Observation 2: If SNR =</w:t>
      </w:r>
      <w:r w:rsidR="004A2E85" w:rsidRPr="00441232">
        <w:rPr>
          <w:rFonts w:ascii="Times New Roman" w:hAnsi="Times New Roman" w:cs="Times New Roman"/>
          <w:b/>
          <w:bCs/>
          <w:sz w:val="20"/>
          <w:szCs w:val="20"/>
        </w:rPr>
        <w:t xml:space="preserve"> </w:t>
      </w:r>
      <w:r w:rsidRPr="00441232">
        <w:rPr>
          <w:rFonts w:ascii="Times New Roman" w:hAnsi="Times New Roman" w:cs="Times New Roman"/>
          <w:b/>
          <w:bCs/>
          <w:sz w:val="20"/>
          <w:szCs w:val="20"/>
        </w:rPr>
        <w:t>3dB, one shot measurement is enough for frequency offset</w:t>
      </w:r>
      <w:r w:rsidR="00BF27EF">
        <w:rPr>
          <w:rFonts w:ascii="Times New Roman" w:hAnsi="Times New Roman" w:cs="Times New Roman"/>
          <w:b/>
          <w:bCs/>
          <w:sz w:val="20"/>
          <w:szCs w:val="20"/>
        </w:rPr>
        <w:t xml:space="preserve"> reporting</w:t>
      </w:r>
      <w:r w:rsidR="004A2E85" w:rsidRPr="00441232">
        <w:rPr>
          <w:rFonts w:ascii="Times New Roman" w:hAnsi="Times New Roman" w:cs="Times New Roman"/>
          <w:b/>
          <w:bCs/>
          <w:sz w:val="20"/>
          <w:szCs w:val="20"/>
        </w:rPr>
        <w:t>.</w:t>
      </w:r>
    </w:p>
    <w:p w14:paraId="40CC2397" w14:textId="135E6E50" w:rsidR="004A2E85" w:rsidRDefault="00BF27EF" w:rsidP="00F135FD">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 xml:space="preserve">For frequency offset reporting, the reporting type is aperiodic measurement report. </w:t>
      </w:r>
    </w:p>
    <w:p w14:paraId="28BAAD22" w14:textId="21FE76E9" w:rsidR="00BF27EF" w:rsidRDefault="00BF27EF" w:rsidP="00F135FD">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 xml:space="preserve">In last meeting, companies what to collect more simulation results to verify whether one sample or 3 samples of measurement can be used to define the measurement period for aperiodic reporting. </w:t>
      </w:r>
    </w:p>
    <w:p w14:paraId="3A248C61" w14:textId="13DE693F" w:rsidR="00BF27EF" w:rsidRDefault="00BF27EF" w:rsidP="00F135FD">
      <w:pPr>
        <w:spacing w:beforeLines="50" w:before="120" w:afterLines="50" w:after="120"/>
        <w:jc w:val="left"/>
        <w:rPr>
          <w:rFonts w:ascii="Times New Roman" w:hAnsi="Times New Roman" w:cs="Times New Roman"/>
          <w:b/>
          <w:bCs/>
          <w:sz w:val="20"/>
          <w:szCs w:val="20"/>
        </w:rPr>
      </w:pPr>
      <w:r w:rsidRPr="00BF27EF">
        <w:rPr>
          <w:rFonts w:ascii="Times New Roman" w:hAnsi="Times New Roman" w:cs="Times New Roman"/>
          <w:b/>
          <w:bCs/>
          <w:sz w:val="20"/>
          <w:szCs w:val="20"/>
        </w:rPr>
        <w:t xml:space="preserve">Proposal 1: RAN4 to check whether use SNR 3dB to verify one shot measurement is accurate for frequency offset reporting in most cases. </w:t>
      </w:r>
    </w:p>
    <w:p w14:paraId="56784FBB" w14:textId="552BFD0D" w:rsidR="00BF27EF" w:rsidRDefault="00BF27EF" w:rsidP="00F135FD">
      <w:pPr>
        <w:spacing w:beforeLines="50" w:before="120" w:afterLines="50" w:after="120"/>
        <w:jc w:val="left"/>
        <w:rPr>
          <w:rFonts w:ascii="Times New Roman" w:hAnsi="Times New Roman" w:cs="Times New Roman"/>
          <w:sz w:val="20"/>
          <w:szCs w:val="20"/>
        </w:rPr>
      </w:pPr>
      <w:r w:rsidRPr="00BF27EF">
        <w:rPr>
          <w:rFonts w:ascii="Times New Roman" w:hAnsi="Times New Roman" w:cs="Times New Roman" w:hint="eastAsia"/>
          <w:sz w:val="20"/>
          <w:szCs w:val="20"/>
        </w:rPr>
        <w:t>I</w:t>
      </w:r>
      <w:r w:rsidRPr="00BF27EF">
        <w:rPr>
          <w:rFonts w:ascii="Times New Roman" w:hAnsi="Times New Roman" w:cs="Times New Roman"/>
          <w:sz w:val="20"/>
          <w:szCs w:val="20"/>
        </w:rPr>
        <w:t>n last meeting, the simulation assumption is approve</w:t>
      </w:r>
      <w:r>
        <w:rPr>
          <w:rFonts w:ascii="Times New Roman" w:hAnsi="Times New Roman" w:cs="Times New Roman"/>
          <w:sz w:val="20"/>
          <w:szCs w:val="20"/>
        </w:rPr>
        <w:t>d</w:t>
      </w:r>
      <w:r w:rsidRPr="00BF27EF">
        <w:rPr>
          <w:rFonts w:ascii="Times New Roman" w:hAnsi="Times New Roman" w:cs="Times New Roman"/>
          <w:sz w:val="20"/>
          <w:szCs w:val="20"/>
        </w:rPr>
        <w:t xml:space="preserve">. </w:t>
      </w:r>
      <w:r>
        <w:rPr>
          <w:rFonts w:ascii="Times New Roman" w:hAnsi="Times New Roman" w:cs="Times New Roman"/>
          <w:sz w:val="20"/>
          <w:szCs w:val="20"/>
        </w:rPr>
        <w:t xml:space="preserve">However, the metric of accuracy was not discussed and approved for fair alignment. </w:t>
      </w:r>
    </w:p>
    <w:p w14:paraId="1397C3E0" w14:textId="4074EE78" w:rsidR="00DC2ACE" w:rsidRDefault="00DC2ACE" w:rsidP="00F135FD">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 xml:space="preserve">We want to propose to collect the simulation results by CDF curves of </w:t>
      </w:r>
      <m:oMath>
        <m:r>
          <w:rPr>
            <w:rFonts w:ascii="Cambria Math" w:hAnsi="Cambria Math" w:cs="Times New Roman"/>
            <w:sz w:val="20"/>
            <w:szCs w:val="20"/>
          </w:rPr>
          <m:t>∆f</m:t>
        </m:r>
      </m:oMath>
      <w:r>
        <w:rPr>
          <w:rFonts w:ascii="Times New Roman" w:hAnsi="Times New Roman" w:cs="Times New Roman" w:hint="eastAsia"/>
          <w:sz w:val="20"/>
          <w:szCs w:val="20"/>
        </w:rPr>
        <w:t xml:space="preserve"> </w:t>
      </w:r>
      <w:r>
        <w:rPr>
          <w:rFonts w:ascii="Times New Roman" w:hAnsi="Times New Roman" w:cs="Times New Roman"/>
          <w:sz w:val="20"/>
          <w:szCs w:val="20"/>
        </w:rPr>
        <w:t xml:space="preserve">and </w:t>
      </w:r>
      <m:oMath>
        <m:r>
          <w:rPr>
            <w:rFonts w:ascii="Cambria Math" w:hAnsi="Cambria Math" w:cs="Times New Roman"/>
            <w:sz w:val="20"/>
            <w:szCs w:val="20"/>
          </w:rPr>
          <m:t>∆</m:t>
        </m:r>
        <m:r>
          <w:rPr>
            <w:rFonts w:ascii="Cambria Math" w:hAnsi="Cambria Math" w:cs="Times New Roman"/>
            <w:sz w:val="20"/>
            <w:szCs w:val="20"/>
          </w:rPr>
          <m:t>t</m:t>
        </m:r>
      </m:oMath>
      <w:r>
        <w:rPr>
          <w:rFonts w:ascii="Times New Roman" w:hAnsi="Times New Roman" w:cs="Times New Roman" w:hint="eastAsia"/>
          <w:sz w:val="20"/>
          <w:szCs w:val="20"/>
        </w:rPr>
        <w:t xml:space="preserve"> </w:t>
      </w:r>
      <w:r>
        <w:rPr>
          <w:rFonts w:ascii="Times New Roman" w:hAnsi="Times New Roman" w:cs="Times New Roman"/>
          <w:sz w:val="20"/>
          <w:szCs w:val="20"/>
        </w:rPr>
        <w:t xml:space="preserve">for the estimated frequency offset reporting and delay offset reporting. </w:t>
      </w:r>
    </w:p>
    <w:p w14:paraId="60ED5B17" w14:textId="683D0E2A" w:rsidR="00DC2ACE" w:rsidRPr="00DC2ACE" w:rsidRDefault="00DC2ACE" w:rsidP="00F135FD">
      <w:pPr>
        <w:spacing w:beforeLines="50" w:before="120" w:afterLines="50" w:after="120"/>
        <w:jc w:val="left"/>
        <w:rPr>
          <w:rFonts w:ascii="Times New Roman" w:hAnsi="Times New Roman" w:cs="Times New Roman"/>
          <w:b/>
          <w:bCs/>
          <w:sz w:val="20"/>
          <w:szCs w:val="20"/>
        </w:rPr>
      </w:pPr>
      <w:r w:rsidRPr="00DC2ACE">
        <w:rPr>
          <w:rFonts w:ascii="Times New Roman" w:hAnsi="Times New Roman" w:cs="Times New Roman"/>
          <w:b/>
          <w:bCs/>
          <w:sz w:val="20"/>
          <w:szCs w:val="20"/>
        </w:rPr>
        <w:t xml:space="preserve">Proposal </w:t>
      </w:r>
      <w:r w:rsidRPr="00DC2ACE">
        <w:rPr>
          <w:rFonts w:ascii="Times New Roman" w:hAnsi="Times New Roman" w:cs="Times New Roman"/>
          <w:b/>
          <w:bCs/>
          <w:sz w:val="20"/>
          <w:szCs w:val="20"/>
        </w:rPr>
        <w:t>2</w:t>
      </w:r>
      <w:r w:rsidRPr="00DC2ACE">
        <w:rPr>
          <w:rFonts w:ascii="Times New Roman" w:hAnsi="Times New Roman" w:cs="Times New Roman"/>
          <w:b/>
          <w:bCs/>
          <w:sz w:val="20"/>
          <w:szCs w:val="20"/>
        </w:rPr>
        <w:t>:</w:t>
      </w:r>
      <w:r w:rsidRPr="00DC2ACE">
        <w:rPr>
          <w:rFonts w:ascii="Times New Roman" w:hAnsi="Times New Roman" w:cs="Times New Roman"/>
          <w:b/>
          <w:bCs/>
          <w:sz w:val="20"/>
          <w:szCs w:val="20"/>
        </w:rPr>
        <w:t xml:space="preserve"> Use</w:t>
      </w:r>
      <w:r w:rsidRPr="00DC2ACE">
        <w:rPr>
          <w:rFonts w:ascii="Times New Roman" w:hAnsi="Times New Roman" w:cs="Times New Roman"/>
          <w:b/>
          <w:bCs/>
          <w:sz w:val="20"/>
          <w:szCs w:val="20"/>
        </w:rPr>
        <w:t xml:space="preserve"> simulation results by CDF curves of </w:t>
      </w:r>
      <m:oMath>
        <m:r>
          <m:rPr>
            <m:sty m:val="bi"/>
          </m:rPr>
          <w:rPr>
            <w:rFonts w:ascii="Cambria Math" w:hAnsi="Cambria Math" w:cs="Times New Roman"/>
            <w:sz w:val="20"/>
            <w:szCs w:val="20"/>
          </w:rPr>
          <m:t>∆f</m:t>
        </m:r>
      </m:oMath>
      <w:r w:rsidRPr="00DC2ACE">
        <w:rPr>
          <w:rFonts w:ascii="Times New Roman" w:hAnsi="Times New Roman" w:cs="Times New Roman"/>
          <w:b/>
          <w:bCs/>
          <w:sz w:val="20"/>
          <w:szCs w:val="20"/>
        </w:rPr>
        <w:t xml:space="preserve"> and </w:t>
      </w:r>
      <m:oMath>
        <m:r>
          <m:rPr>
            <m:sty m:val="bi"/>
          </m:rPr>
          <w:rPr>
            <w:rFonts w:ascii="Cambria Math" w:hAnsi="Cambria Math" w:cs="Times New Roman"/>
            <w:sz w:val="20"/>
            <w:szCs w:val="20"/>
          </w:rPr>
          <m:t>∆t</m:t>
        </m:r>
      </m:oMath>
      <w:r w:rsidRPr="00DC2ACE">
        <w:rPr>
          <w:rFonts w:ascii="Times New Roman" w:hAnsi="Times New Roman" w:cs="Times New Roman"/>
          <w:b/>
          <w:bCs/>
          <w:sz w:val="20"/>
          <w:szCs w:val="20"/>
        </w:rPr>
        <w:t xml:space="preserve"> for the estimated frequency offset reporting and delay offset reporting.</w:t>
      </w:r>
    </w:p>
    <w:p w14:paraId="46659ACA" w14:textId="77777777" w:rsidR="00BF27EF" w:rsidRPr="00BF27EF" w:rsidRDefault="00BF27EF" w:rsidP="00F135FD">
      <w:pPr>
        <w:spacing w:beforeLines="50" w:before="120" w:afterLines="50" w:after="120"/>
        <w:jc w:val="left"/>
        <w:rPr>
          <w:rFonts w:ascii="Times New Roman" w:hAnsi="Times New Roman" w:cs="Times New Roman" w:hint="eastAsia"/>
          <w:sz w:val="20"/>
          <w:szCs w:val="20"/>
        </w:rPr>
      </w:pPr>
    </w:p>
    <w:p w14:paraId="6B487E9C" w14:textId="717BD19E" w:rsidR="00FE0648" w:rsidRDefault="00FE0648" w:rsidP="00FE0648">
      <w:pPr>
        <w:pStyle w:val="2"/>
        <w:spacing w:before="240" w:after="180" w:line="240" w:lineRule="auto"/>
        <w:jc w:val="left"/>
        <w:rPr>
          <w:rFonts w:ascii="Arial" w:hAnsi="Arial" w:cs="Arial"/>
          <w:b w:val="0"/>
          <w:bCs w:val="0"/>
          <w:sz w:val="30"/>
          <w:szCs w:val="30"/>
        </w:rPr>
      </w:pPr>
      <w:r w:rsidRPr="00C16E36">
        <w:rPr>
          <w:rFonts w:ascii="Arial" w:hAnsi="Arial" w:cs="Arial" w:hint="eastAsia"/>
          <w:b w:val="0"/>
          <w:bCs w:val="0"/>
          <w:sz w:val="30"/>
          <w:szCs w:val="30"/>
        </w:rPr>
        <w:t>2</w:t>
      </w:r>
      <w:r w:rsidRPr="00C16E36">
        <w:rPr>
          <w:rFonts w:ascii="Arial" w:hAnsi="Arial" w:cs="Arial"/>
          <w:b w:val="0"/>
          <w:bCs w:val="0"/>
          <w:sz w:val="30"/>
          <w:szCs w:val="30"/>
        </w:rPr>
        <w:t>.</w:t>
      </w:r>
      <w:r w:rsidR="00F135FD">
        <w:rPr>
          <w:rFonts w:ascii="Arial" w:hAnsi="Arial" w:cs="Arial"/>
          <w:b w:val="0"/>
          <w:bCs w:val="0"/>
          <w:sz w:val="30"/>
          <w:szCs w:val="30"/>
        </w:rPr>
        <w:t>3</w:t>
      </w:r>
      <w:r w:rsidRPr="00C16E36">
        <w:rPr>
          <w:rFonts w:ascii="Arial" w:hAnsi="Arial" w:cs="Arial"/>
          <w:b w:val="0"/>
          <w:bCs w:val="0"/>
          <w:sz w:val="30"/>
          <w:szCs w:val="30"/>
        </w:rPr>
        <w:t xml:space="preserve"> </w:t>
      </w:r>
      <w:r>
        <w:rPr>
          <w:rFonts w:ascii="Arial" w:hAnsi="Arial" w:cs="Arial" w:hint="eastAsia"/>
          <w:b w:val="0"/>
          <w:bCs w:val="0"/>
          <w:sz w:val="30"/>
          <w:szCs w:val="30"/>
        </w:rPr>
        <w:t>A</w:t>
      </w:r>
      <w:r w:rsidRPr="00C16E36">
        <w:rPr>
          <w:rFonts w:ascii="Arial" w:hAnsi="Arial" w:cs="Arial"/>
          <w:b w:val="0"/>
          <w:bCs w:val="0"/>
          <w:sz w:val="30"/>
          <w:szCs w:val="30"/>
        </w:rPr>
        <w:t>symmetric DL sTRP/UL mTRP</w:t>
      </w:r>
      <w:r w:rsidRPr="00ED7C64">
        <w:rPr>
          <w:rFonts w:ascii="Arial" w:hAnsi="Arial" w:cs="Arial"/>
          <w:b w:val="0"/>
          <w:bCs w:val="0"/>
          <w:sz w:val="30"/>
          <w:szCs w:val="30"/>
        </w:rPr>
        <w:t xml:space="preserve"> </w:t>
      </w:r>
    </w:p>
    <w:p w14:paraId="56D583DA" w14:textId="15E68A99" w:rsidR="00C26CE0" w:rsidRDefault="00C26CE0" w:rsidP="00C26CE0">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color w:val="000000" w:themeColor="text1"/>
          <w:kern w:val="24"/>
          <w:sz w:val="20"/>
          <w:szCs w:val="20"/>
        </w:rPr>
        <w:t>In RAN4#11</w:t>
      </w:r>
      <w:r w:rsidR="00B728A2">
        <w:rPr>
          <w:rFonts w:ascii="Times New Roman" w:eastAsia="宋体" w:hAnsi="Times New Roman" w:cs="Times New Roman"/>
          <w:color w:val="000000" w:themeColor="text1"/>
          <w:kern w:val="24"/>
          <w:sz w:val="20"/>
          <w:szCs w:val="20"/>
        </w:rPr>
        <w:t>3</w:t>
      </w:r>
      <w:r>
        <w:rPr>
          <w:rFonts w:ascii="Times New Roman" w:eastAsia="宋体" w:hAnsi="Times New Roman" w:cs="Times New Roman"/>
          <w:color w:val="000000" w:themeColor="text1"/>
          <w:kern w:val="24"/>
          <w:sz w:val="20"/>
          <w:szCs w:val="20"/>
        </w:rPr>
        <w:t xml:space="preserve"> meeting, it is agreed to update the RRM requirement for 2TA enhancement for asymmetric DL sTRP/UL mTRP in [2]:</w:t>
      </w:r>
    </w:p>
    <w:tbl>
      <w:tblPr>
        <w:tblStyle w:val="a7"/>
        <w:tblW w:w="0" w:type="auto"/>
        <w:tblLook w:val="04A0" w:firstRow="1" w:lastRow="0" w:firstColumn="1" w:lastColumn="0" w:noHBand="0" w:noVBand="1"/>
      </w:tblPr>
      <w:tblGrid>
        <w:gridCol w:w="9629"/>
      </w:tblGrid>
      <w:tr w:rsidR="00C26CE0" w14:paraId="65DA2118" w14:textId="77777777" w:rsidTr="00C26CE0">
        <w:tc>
          <w:tcPr>
            <w:tcW w:w="9629" w:type="dxa"/>
          </w:tcPr>
          <w:p w14:paraId="1D1B6481" w14:textId="77777777" w:rsidR="00B728A2" w:rsidRDefault="00B728A2" w:rsidP="00B728A2">
            <w:pPr>
              <w:rPr>
                <w:b/>
                <w:u w:val="single"/>
                <w:lang w:eastAsia="ko-KR"/>
              </w:rPr>
            </w:pPr>
            <w:r>
              <w:rPr>
                <w:b/>
                <w:u w:val="single"/>
                <w:lang w:eastAsia="ko-KR"/>
              </w:rPr>
              <w:t>Issue 4-1: How to update the RRM requirements for 2TA enhancement for asymmetric DL sTRP/ UL mTRP?</w:t>
            </w:r>
          </w:p>
          <w:p w14:paraId="3EEB5B97" w14:textId="77777777" w:rsidR="00B728A2" w:rsidRDefault="00B728A2" w:rsidP="00B728A2">
            <w:pPr>
              <w:spacing w:beforeLines="50" w:before="120" w:afterLines="50" w:after="120"/>
              <w:rPr>
                <w:color w:val="000000" w:themeColor="text1"/>
                <w:kern w:val="24"/>
              </w:rPr>
            </w:pPr>
            <w:r>
              <w:rPr>
                <w:color w:val="000000" w:themeColor="text1"/>
                <w:kern w:val="24"/>
              </w:rPr>
              <w:t>In the last meeting (RAN4#112-bis) RAN4 agreed to update the RRM requirements for 2TA enhancement:</w:t>
            </w:r>
          </w:p>
          <w:tbl>
            <w:tblPr>
              <w:tblStyle w:val="a7"/>
              <w:tblW w:w="0" w:type="auto"/>
              <w:tblInd w:w="307" w:type="dxa"/>
              <w:tblLook w:val="04A0" w:firstRow="1" w:lastRow="0" w:firstColumn="1" w:lastColumn="0" w:noHBand="0" w:noVBand="1"/>
            </w:tblPr>
            <w:tblGrid>
              <w:gridCol w:w="9096"/>
            </w:tblGrid>
            <w:tr w:rsidR="00B728A2" w14:paraId="0A3C1B12" w14:textId="77777777" w:rsidTr="00957078">
              <w:tc>
                <w:tcPr>
                  <w:tcW w:w="9327" w:type="dxa"/>
                  <w:tcBorders>
                    <w:top w:val="single" w:sz="4" w:space="0" w:color="auto"/>
                    <w:left w:val="single" w:sz="4" w:space="0" w:color="auto"/>
                    <w:bottom w:val="single" w:sz="4" w:space="0" w:color="auto"/>
                    <w:right w:val="single" w:sz="4" w:space="0" w:color="auto"/>
                  </w:tcBorders>
                  <w:hideMark/>
                </w:tcPr>
                <w:p w14:paraId="66258892" w14:textId="77777777" w:rsidR="00B728A2" w:rsidRDefault="00B728A2" w:rsidP="00B728A2">
                  <w:pPr>
                    <w:rPr>
                      <w:b/>
                      <w:u w:val="single"/>
                      <w:lang w:val="sv-SE" w:eastAsia="ko-KR"/>
                    </w:rPr>
                  </w:pPr>
                  <w:r>
                    <w:rPr>
                      <w:b/>
                      <w:u w:val="single"/>
                      <w:lang w:val="sv-SE" w:eastAsia="ko-KR"/>
                    </w:rPr>
                    <w:t>Issue 4-1: Whether RRM impacts exist by 2TA enhancement?</w:t>
                  </w:r>
                </w:p>
                <w:p w14:paraId="48F52547" w14:textId="77777777" w:rsidR="00B728A2" w:rsidRDefault="00B728A2" w:rsidP="00B728A2">
                  <w:pPr>
                    <w:spacing w:after="120"/>
                    <w:rPr>
                      <w:szCs w:val="24"/>
                      <w:lang w:val="sv-SE"/>
                    </w:rPr>
                  </w:pPr>
                  <w:r>
                    <w:rPr>
                      <w:szCs w:val="24"/>
                      <w:lang w:val="sv-SE"/>
                    </w:rPr>
                    <w:t>Agreement:</w:t>
                  </w:r>
                </w:p>
                <w:p w14:paraId="7FA3DF45" w14:textId="77777777" w:rsidR="00B728A2" w:rsidRDefault="00B728A2" w:rsidP="00B728A2">
                  <w:pPr>
                    <w:pStyle w:val="a8"/>
                    <w:numPr>
                      <w:ilvl w:val="0"/>
                      <w:numId w:val="21"/>
                    </w:numPr>
                    <w:overflowPunct/>
                    <w:autoSpaceDE/>
                    <w:adjustRightInd/>
                    <w:spacing w:after="120"/>
                    <w:ind w:left="620" w:firstLineChars="0"/>
                    <w:textAlignment w:val="auto"/>
                    <w:rPr>
                      <w:rFonts w:eastAsia="宋体"/>
                      <w:szCs w:val="24"/>
                      <w:lang w:val="sv-SE" w:eastAsia="zh-CN"/>
                    </w:rPr>
                  </w:pPr>
                  <w:r>
                    <w:rPr>
                      <w:rFonts w:eastAsia="宋体"/>
                      <w:szCs w:val="24"/>
                      <w:lang w:val="sv-SE" w:eastAsia="zh-CN"/>
                    </w:rPr>
                    <w:t>RAN4 to update the RRM requirements for 2TA enhancement [for asymmetric DL sTRP/ UL mTRP]</w:t>
                  </w:r>
                </w:p>
                <w:p w14:paraId="4CB94909" w14:textId="77777777" w:rsidR="00B728A2" w:rsidRDefault="00B728A2" w:rsidP="00B728A2">
                  <w:pPr>
                    <w:pStyle w:val="a8"/>
                    <w:numPr>
                      <w:ilvl w:val="0"/>
                      <w:numId w:val="21"/>
                    </w:numPr>
                    <w:overflowPunct/>
                    <w:autoSpaceDE/>
                    <w:adjustRightInd/>
                    <w:spacing w:after="120"/>
                    <w:ind w:left="620" w:firstLineChars="0"/>
                    <w:textAlignment w:val="auto"/>
                    <w:rPr>
                      <w:rFonts w:eastAsia="宋体"/>
                      <w:szCs w:val="24"/>
                      <w:lang w:val="sv-SE" w:eastAsia="zh-CN"/>
                    </w:rPr>
                  </w:pPr>
                  <w:r>
                    <w:rPr>
                      <w:rFonts w:eastAsia="宋体"/>
                      <w:szCs w:val="24"/>
                      <w:lang w:val="sv-SE" w:eastAsia="zh-CN"/>
                    </w:rPr>
                    <w:t>As baseline, the Rel-18 framework can be considered as starting point, and the update is needed to accommodate the new scenario in this WID.</w:t>
                  </w:r>
                </w:p>
                <w:p w14:paraId="7B33B88E" w14:textId="77777777" w:rsidR="00B728A2" w:rsidRDefault="00B728A2" w:rsidP="00B728A2">
                  <w:pPr>
                    <w:pStyle w:val="a8"/>
                    <w:numPr>
                      <w:ilvl w:val="0"/>
                      <w:numId w:val="21"/>
                    </w:numPr>
                    <w:overflowPunct/>
                    <w:autoSpaceDE/>
                    <w:adjustRightInd/>
                    <w:spacing w:after="120"/>
                    <w:ind w:left="620" w:firstLineChars="0"/>
                    <w:textAlignment w:val="auto"/>
                    <w:rPr>
                      <w:rFonts w:eastAsia="宋体"/>
                      <w:szCs w:val="24"/>
                      <w:lang w:val="sv-SE" w:eastAsia="zh-CN"/>
                    </w:rPr>
                  </w:pPr>
                  <w:r>
                    <w:rPr>
                      <w:rFonts w:eastAsia="宋体"/>
                      <w:szCs w:val="24"/>
                      <w:lang w:val="sv-SE" w:eastAsia="zh-CN"/>
                    </w:rPr>
                    <w:t>Further discuss the details in the next meeting.</w:t>
                  </w:r>
                </w:p>
              </w:tc>
            </w:tr>
          </w:tbl>
          <w:p w14:paraId="3EE74234" w14:textId="77777777" w:rsidR="00B728A2" w:rsidRDefault="00B728A2" w:rsidP="00B728A2">
            <w:pPr>
              <w:spacing w:after="120"/>
            </w:pPr>
          </w:p>
          <w:p w14:paraId="48E3955D" w14:textId="77777777" w:rsidR="00B728A2" w:rsidRDefault="00B728A2" w:rsidP="00B728A2">
            <w:pPr>
              <w:spacing w:after="120"/>
            </w:pPr>
            <w:r>
              <w:t>Way forward:</w:t>
            </w:r>
          </w:p>
          <w:p w14:paraId="5DE5EDC5" w14:textId="77777777" w:rsidR="00B728A2" w:rsidRPr="00152BA2" w:rsidRDefault="00B728A2" w:rsidP="00B728A2">
            <w:pPr>
              <w:pStyle w:val="a8"/>
              <w:numPr>
                <w:ilvl w:val="0"/>
                <w:numId w:val="21"/>
              </w:numPr>
              <w:overflowPunct/>
              <w:autoSpaceDE/>
              <w:adjustRightInd/>
              <w:spacing w:after="120"/>
              <w:ind w:left="620" w:firstLineChars="0"/>
              <w:textAlignment w:val="auto"/>
              <w:rPr>
                <w:rFonts w:eastAsia="宋体"/>
                <w:lang w:eastAsia="zh-CN"/>
              </w:rPr>
            </w:pPr>
            <w:r w:rsidRPr="00152BA2">
              <w:rPr>
                <w:rFonts w:eastAsia="宋体"/>
                <w:lang w:eastAsia="zh-CN"/>
              </w:rPr>
              <w:t>Alt 1: Define requirement for 2TA following the legacy principle.</w:t>
            </w:r>
          </w:p>
          <w:p w14:paraId="2880877A" w14:textId="58DF885D" w:rsidR="00C26CE0" w:rsidRPr="00C26CE0" w:rsidRDefault="00B728A2" w:rsidP="00B728A2">
            <w:pPr>
              <w:pStyle w:val="a8"/>
              <w:numPr>
                <w:ilvl w:val="0"/>
                <w:numId w:val="21"/>
              </w:numPr>
              <w:overflowPunct/>
              <w:autoSpaceDE/>
              <w:adjustRightInd/>
              <w:spacing w:after="120"/>
              <w:ind w:left="620" w:firstLineChars="0"/>
              <w:textAlignment w:val="auto"/>
              <w:rPr>
                <w:rFonts w:eastAsia="宋体"/>
                <w:szCs w:val="24"/>
                <w:lang w:eastAsia="zh-CN"/>
              </w:rPr>
            </w:pPr>
            <w:r w:rsidRPr="00152BA2">
              <w:rPr>
                <w:rFonts w:eastAsia="宋体"/>
                <w:lang w:eastAsia="zh-CN"/>
              </w:rPr>
              <w:t>Alt 2: Wait for RAN1.</w:t>
            </w:r>
          </w:p>
        </w:tc>
      </w:tr>
    </w:tbl>
    <w:p w14:paraId="08BEDE74" w14:textId="54ECFBBD" w:rsidR="00C26CE0" w:rsidRDefault="00C26CE0" w:rsidP="00FE064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hint="eastAsia"/>
          <w:color w:val="000000" w:themeColor="text1"/>
          <w:kern w:val="24"/>
          <w:sz w:val="20"/>
          <w:szCs w:val="20"/>
        </w:rPr>
        <w:t>T</w:t>
      </w:r>
      <w:r>
        <w:rPr>
          <w:rFonts w:ascii="Times New Roman" w:eastAsia="宋体" w:hAnsi="Times New Roman" w:cs="Times New Roman"/>
          <w:color w:val="000000" w:themeColor="text1"/>
          <w:kern w:val="24"/>
          <w:sz w:val="20"/>
          <w:szCs w:val="20"/>
        </w:rPr>
        <w:t xml:space="preserve">he detailed requirements are still </w:t>
      </w:r>
      <w:r w:rsidR="00174267">
        <w:rPr>
          <w:rFonts w:ascii="Times New Roman" w:eastAsia="宋体" w:hAnsi="Times New Roman" w:cs="Times New Roman"/>
          <w:color w:val="000000" w:themeColor="text1"/>
          <w:kern w:val="24"/>
          <w:sz w:val="20"/>
          <w:szCs w:val="20"/>
        </w:rPr>
        <w:t xml:space="preserve">not defined. </w:t>
      </w:r>
    </w:p>
    <w:p w14:paraId="32842D47" w14:textId="767DB07D" w:rsidR="00FE0648" w:rsidRDefault="00FE0648" w:rsidP="00FE064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hint="eastAsia"/>
          <w:color w:val="000000" w:themeColor="text1"/>
          <w:kern w:val="24"/>
          <w:sz w:val="20"/>
          <w:szCs w:val="20"/>
        </w:rPr>
        <w:t>I</w:t>
      </w:r>
      <w:r>
        <w:rPr>
          <w:rFonts w:ascii="Times New Roman" w:eastAsia="宋体" w:hAnsi="Times New Roman" w:cs="Times New Roman"/>
          <w:color w:val="000000" w:themeColor="text1"/>
          <w:kern w:val="24"/>
          <w:sz w:val="20"/>
          <w:szCs w:val="20"/>
        </w:rPr>
        <w:t>n RAN</w:t>
      </w:r>
      <w:r w:rsidR="004155F7">
        <w:rPr>
          <w:rFonts w:ascii="Times New Roman" w:eastAsia="宋体" w:hAnsi="Times New Roman" w:cs="Times New Roman"/>
          <w:color w:val="000000" w:themeColor="text1"/>
          <w:kern w:val="24"/>
          <w:sz w:val="20"/>
          <w:szCs w:val="20"/>
        </w:rPr>
        <w:t>1</w:t>
      </w:r>
      <w:r>
        <w:rPr>
          <w:rFonts w:ascii="Times New Roman" w:eastAsia="宋体" w:hAnsi="Times New Roman" w:cs="Times New Roman"/>
          <w:color w:val="000000" w:themeColor="text1"/>
          <w:kern w:val="24"/>
          <w:sz w:val="20"/>
          <w:szCs w:val="20"/>
        </w:rPr>
        <w:t>#11</w:t>
      </w:r>
      <w:r w:rsidR="004155F7">
        <w:rPr>
          <w:rFonts w:ascii="Times New Roman" w:eastAsia="宋体" w:hAnsi="Times New Roman" w:cs="Times New Roman"/>
          <w:color w:val="000000" w:themeColor="text1"/>
          <w:kern w:val="24"/>
          <w:sz w:val="20"/>
          <w:szCs w:val="20"/>
        </w:rPr>
        <w:t>8bis</w:t>
      </w:r>
      <w:r>
        <w:rPr>
          <w:rFonts w:ascii="Times New Roman" w:eastAsia="宋体" w:hAnsi="Times New Roman" w:cs="Times New Roman"/>
          <w:color w:val="000000" w:themeColor="text1"/>
          <w:kern w:val="24"/>
          <w:sz w:val="20"/>
          <w:szCs w:val="20"/>
        </w:rPr>
        <w:t xml:space="preserve"> meeting, </w:t>
      </w:r>
      <w:r w:rsidR="004155F7">
        <w:rPr>
          <w:rFonts w:ascii="Times New Roman" w:eastAsia="宋体" w:hAnsi="Times New Roman" w:cs="Times New Roman"/>
          <w:color w:val="000000" w:themeColor="text1"/>
          <w:kern w:val="24"/>
          <w:sz w:val="20"/>
          <w:szCs w:val="20"/>
        </w:rPr>
        <w:t>RAN1 agreement for 2TA extension are shown as</w:t>
      </w:r>
      <w:r>
        <w:rPr>
          <w:rFonts w:ascii="Times New Roman" w:eastAsia="宋体" w:hAnsi="Times New Roman" w:cs="Times New Roman"/>
          <w:color w:val="000000" w:themeColor="text1"/>
          <w:kern w:val="24"/>
          <w:sz w:val="20"/>
          <w:szCs w:val="20"/>
        </w:rPr>
        <w:t>:</w:t>
      </w:r>
    </w:p>
    <w:tbl>
      <w:tblPr>
        <w:tblStyle w:val="a7"/>
        <w:tblW w:w="0" w:type="auto"/>
        <w:tblLook w:val="04A0" w:firstRow="1" w:lastRow="0" w:firstColumn="1" w:lastColumn="0" w:noHBand="0" w:noVBand="1"/>
      </w:tblPr>
      <w:tblGrid>
        <w:gridCol w:w="9629"/>
      </w:tblGrid>
      <w:tr w:rsidR="00FE0648" w14:paraId="67B2C4DB" w14:textId="77777777" w:rsidTr="00E34891">
        <w:tc>
          <w:tcPr>
            <w:tcW w:w="9629" w:type="dxa"/>
          </w:tcPr>
          <w:p w14:paraId="27B1C18C" w14:textId="77777777" w:rsidR="004155F7" w:rsidRPr="00745150" w:rsidRDefault="004155F7" w:rsidP="004155F7">
            <w:pPr>
              <w:snapToGrid w:val="0"/>
              <w:rPr>
                <w:bCs/>
              </w:rPr>
            </w:pPr>
            <w:r w:rsidRPr="00745150">
              <w:rPr>
                <w:bCs/>
                <w:highlight w:val="green"/>
              </w:rPr>
              <w:t>Agreement</w:t>
            </w:r>
          </w:p>
          <w:p w14:paraId="695AE376" w14:textId="77777777" w:rsidR="004155F7" w:rsidRPr="00A47C77" w:rsidRDefault="004155F7" w:rsidP="004155F7">
            <w:pPr>
              <w:rPr>
                <w:rFonts w:eastAsia="等线"/>
              </w:rPr>
            </w:pPr>
            <w:r w:rsidRPr="00A47C77">
              <w:t xml:space="preserve">Support 2TA for the </w:t>
            </w:r>
            <w:r w:rsidRPr="00A47C77">
              <w:rPr>
                <w:rFonts w:eastAsia="等线"/>
              </w:rPr>
              <w:t>asymmetric DL sTRP/UL mTRP deployment scenarios:</w:t>
            </w:r>
          </w:p>
          <w:p w14:paraId="5ED50A45" w14:textId="77777777" w:rsidR="004155F7" w:rsidRPr="004252B3" w:rsidRDefault="004155F7" w:rsidP="004155F7">
            <w:pPr>
              <w:widowControl/>
              <w:numPr>
                <w:ilvl w:val="0"/>
                <w:numId w:val="21"/>
              </w:numPr>
              <w:rPr>
                <w:rFonts w:eastAsia="等线"/>
                <w:highlight w:val="cyan"/>
              </w:rPr>
            </w:pPr>
            <w:r w:rsidRPr="004252B3">
              <w:rPr>
                <w:rFonts w:eastAsia="等线"/>
                <w:highlight w:val="cyan"/>
              </w:rPr>
              <w:lastRenderedPageBreak/>
              <w:t xml:space="preserve">Remove the restriction that </w:t>
            </w:r>
            <w:r w:rsidRPr="004252B3">
              <w:rPr>
                <w:rFonts w:eastAsia="等线"/>
                <w:i/>
                <w:iCs/>
                <w:highlight w:val="cyan"/>
              </w:rPr>
              <w:t>coresetPoolIndex</w:t>
            </w:r>
            <w:r w:rsidRPr="004252B3">
              <w:rPr>
                <w:rFonts w:eastAsia="等线"/>
                <w:highlight w:val="cyan"/>
              </w:rPr>
              <w:t xml:space="preserve"> needs to be configured for the 2TA feature.</w:t>
            </w:r>
          </w:p>
          <w:p w14:paraId="2DF7E231" w14:textId="77777777" w:rsidR="004155F7" w:rsidRPr="00A47C77" w:rsidRDefault="004155F7" w:rsidP="004155F7">
            <w:pPr>
              <w:widowControl/>
              <w:numPr>
                <w:ilvl w:val="0"/>
                <w:numId w:val="21"/>
              </w:numPr>
              <w:rPr>
                <w:rFonts w:eastAsia="等线"/>
                <w:lang w:val="en-CA"/>
              </w:rPr>
            </w:pPr>
            <w:r w:rsidRPr="004252B3">
              <w:rPr>
                <w:rFonts w:eastAsia="等线"/>
                <w:highlight w:val="cyan"/>
                <w:lang w:val="en-CA"/>
              </w:rPr>
              <w:t>One downlink reference timing is supported and applied to both TAGs.</w:t>
            </w:r>
          </w:p>
          <w:p w14:paraId="19AD4593" w14:textId="77777777" w:rsidR="004155F7" w:rsidRPr="00A47C77" w:rsidRDefault="004155F7" w:rsidP="004155F7">
            <w:pPr>
              <w:widowControl/>
              <w:numPr>
                <w:ilvl w:val="1"/>
                <w:numId w:val="21"/>
              </w:numPr>
              <w:rPr>
                <w:rFonts w:eastAsia="等线"/>
                <w:lang w:val="en-CA"/>
              </w:rPr>
            </w:pPr>
            <w:r w:rsidRPr="00A47C77">
              <w:rPr>
                <w:rFonts w:eastAsia="Malgun Gothic"/>
              </w:rPr>
              <w:t>(FFS) Note: UE autonomous TA adjustment is only applicable to the first TAG</w:t>
            </w:r>
          </w:p>
          <w:p w14:paraId="2752CEBA" w14:textId="77777777" w:rsidR="004155F7" w:rsidRPr="00A47C77" w:rsidRDefault="004155F7" w:rsidP="004155F7">
            <w:pPr>
              <w:widowControl/>
              <w:numPr>
                <w:ilvl w:val="0"/>
                <w:numId w:val="21"/>
              </w:numPr>
              <w:rPr>
                <w:rFonts w:eastAsia="等线"/>
                <w:lang w:val="en-CA"/>
              </w:rPr>
            </w:pPr>
            <w:r w:rsidRPr="004252B3">
              <w:rPr>
                <w:rFonts w:eastAsia="等线"/>
                <w:highlight w:val="cyan"/>
                <w:lang w:val="en-CA"/>
              </w:rPr>
              <w:t xml:space="preserve">One single </w:t>
            </w:r>
            <w:r w:rsidRPr="004252B3">
              <w:rPr>
                <w:rFonts w:eastAsia="等线"/>
                <w:i/>
                <w:iCs/>
                <w:highlight w:val="cyan"/>
                <w:lang w:val="en-CA"/>
              </w:rPr>
              <w:t>n-TimingAdvanceoffset</w:t>
            </w:r>
            <w:r w:rsidRPr="004252B3">
              <w:rPr>
                <w:rFonts w:eastAsia="等线"/>
                <w:highlight w:val="cyan"/>
                <w:lang w:val="en-CA"/>
              </w:rPr>
              <w:t xml:space="preserve"> is configured and applied to both TAGs.</w:t>
            </w:r>
          </w:p>
          <w:p w14:paraId="2ED1837F" w14:textId="77777777" w:rsidR="004155F7" w:rsidRPr="00A47C77" w:rsidRDefault="004155F7" w:rsidP="004155F7">
            <w:pPr>
              <w:widowControl/>
              <w:numPr>
                <w:ilvl w:val="0"/>
                <w:numId w:val="21"/>
              </w:numPr>
              <w:rPr>
                <w:rFonts w:eastAsia="等线"/>
              </w:rPr>
            </w:pPr>
            <w:r w:rsidRPr="00A47C77">
              <w:rPr>
                <w:rFonts w:eastAsia="等线"/>
                <w:lang w:val="en-CA"/>
              </w:rPr>
              <w:t>Any of the TCI states can be associated with any one of the two TAGs.</w:t>
            </w:r>
          </w:p>
          <w:p w14:paraId="36AE7561" w14:textId="77777777" w:rsidR="004155F7" w:rsidRPr="00A47C77" w:rsidRDefault="004155F7" w:rsidP="004155F7">
            <w:pPr>
              <w:widowControl/>
              <w:numPr>
                <w:ilvl w:val="0"/>
                <w:numId w:val="21"/>
              </w:numPr>
              <w:rPr>
                <w:rFonts w:eastAsia="等线"/>
              </w:rPr>
            </w:pPr>
            <w:r w:rsidRPr="00A47C77">
              <w:rPr>
                <w:rFonts w:eastAsia="等线"/>
              </w:rPr>
              <w:t xml:space="preserve">The RAR carrying TA adjustment for those 2 TAGs is reused for Rel-19 2TA </w:t>
            </w:r>
          </w:p>
          <w:p w14:paraId="5DD9E6B3" w14:textId="77777777" w:rsidR="004155F7" w:rsidRPr="00A47C77" w:rsidRDefault="004155F7" w:rsidP="004155F7">
            <w:pPr>
              <w:widowControl/>
              <w:numPr>
                <w:ilvl w:val="0"/>
                <w:numId w:val="21"/>
              </w:numPr>
              <w:rPr>
                <w:rFonts w:eastAsia="等线"/>
              </w:rPr>
            </w:pPr>
            <w:r w:rsidRPr="00A47C77">
              <w:rPr>
                <w:rFonts w:eastAsia="等线"/>
              </w:rPr>
              <w:t>The MAC CE based TA adjustment for 2 TAGs is reused for Rel-19 2TA.</w:t>
            </w:r>
          </w:p>
          <w:p w14:paraId="0B74406A" w14:textId="77777777" w:rsidR="004155F7" w:rsidRPr="00A47C77" w:rsidRDefault="004155F7" w:rsidP="004155F7">
            <w:pPr>
              <w:widowControl/>
              <w:numPr>
                <w:ilvl w:val="0"/>
                <w:numId w:val="21"/>
              </w:numPr>
              <w:rPr>
                <w:rFonts w:eastAsia="等线"/>
              </w:rPr>
            </w:pPr>
            <w:r w:rsidRPr="00A47C77">
              <w:rPr>
                <w:rFonts w:eastAsia="等线"/>
              </w:rPr>
              <w:t>Introduce the optional UE capability of “Overlapping UL transmission reduction” for Rel-19 2TA</w:t>
            </w:r>
          </w:p>
          <w:p w14:paraId="05D7DEC1" w14:textId="77777777" w:rsidR="004155F7" w:rsidRPr="00A47C77" w:rsidRDefault="004155F7" w:rsidP="004155F7">
            <w:pPr>
              <w:widowControl/>
              <w:numPr>
                <w:ilvl w:val="1"/>
                <w:numId w:val="21"/>
              </w:numPr>
              <w:rPr>
                <w:rFonts w:eastAsia="Malgun Gothic"/>
              </w:rPr>
            </w:pPr>
            <w:r w:rsidRPr="00A47C77">
              <w:rPr>
                <w:rFonts w:eastAsia="等线"/>
              </w:rPr>
              <w:t>If UE does not report this UE capability, UE does not expect two UL transmissions associated with different TAGs are overlapped.</w:t>
            </w:r>
          </w:p>
          <w:p w14:paraId="62E78A55" w14:textId="41A045CB" w:rsidR="00FE0648" w:rsidRPr="004155F7" w:rsidRDefault="004155F7" w:rsidP="004155F7">
            <w:pPr>
              <w:widowControl/>
              <w:numPr>
                <w:ilvl w:val="0"/>
                <w:numId w:val="21"/>
              </w:numPr>
              <w:rPr>
                <w:rFonts w:eastAsia="Malgun Gothic"/>
              </w:rPr>
            </w:pPr>
            <w:r w:rsidRPr="00A47C77">
              <w:rPr>
                <w:rFonts w:eastAsia="Malgun Gothic"/>
              </w:rPr>
              <w:t xml:space="preserve">FFS: UE does not expect that in intra-slot TDM PUSCH type-B repetition transmission, </w:t>
            </w:r>
            <w:r w:rsidRPr="00A47C77">
              <w:rPr>
                <w:rFonts w:eastAsia="等线"/>
              </w:rPr>
              <w:t>two consecutive repetitions associated with different TAGs are overlapped.</w:t>
            </w:r>
            <w:r w:rsidR="00FE0648" w:rsidRPr="004155F7">
              <w:rPr>
                <w:rFonts w:eastAsiaTheme="minorEastAsia"/>
                <w:bCs/>
              </w:rPr>
              <w:t xml:space="preserve"> </w:t>
            </w:r>
          </w:p>
        </w:tc>
      </w:tr>
    </w:tbl>
    <w:p w14:paraId="4CF01018" w14:textId="52004FA5" w:rsidR="004155F7" w:rsidRDefault="004155F7" w:rsidP="00FE064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color w:val="000000" w:themeColor="text1"/>
          <w:kern w:val="24"/>
          <w:sz w:val="20"/>
          <w:szCs w:val="20"/>
        </w:rPr>
        <w:lastRenderedPageBreak/>
        <w:t xml:space="preserve">Firstly, </w:t>
      </w:r>
      <w:r w:rsidR="008E7090">
        <w:rPr>
          <w:rFonts w:ascii="Times New Roman" w:eastAsia="宋体" w:hAnsi="Times New Roman" w:cs="Times New Roman"/>
          <w:color w:val="000000" w:themeColor="text1"/>
          <w:kern w:val="24"/>
          <w:sz w:val="20"/>
          <w:szCs w:val="20"/>
        </w:rPr>
        <w:t xml:space="preserve">it </w:t>
      </w:r>
      <w:r w:rsidR="008E7090" w:rsidRPr="008E7090">
        <w:rPr>
          <w:rFonts w:ascii="Times New Roman" w:eastAsia="宋体" w:hAnsi="Times New Roman" w:cs="Times New Roman"/>
          <w:color w:val="000000" w:themeColor="text1"/>
          <w:kern w:val="24"/>
          <w:sz w:val="20"/>
          <w:szCs w:val="20"/>
        </w:rPr>
        <w:t>removed the restriction of that coresetPoolIndex needs to be configured for the 2TA feature</w:t>
      </w:r>
      <w:r w:rsidR="008E7090">
        <w:rPr>
          <w:rFonts w:ascii="Times New Roman" w:eastAsia="宋体" w:hAnsi="Times New Roman" w:cs="Times New Roman"/>
          <w:color w:val="000000" w:themeColor="text1"/>
          <w:kern w:val="24"/>
          <w:sz w:val="20"/>
          <w:szCs w:val="20"/>
        </w:rPr>
        <w:t>.</w:t>
      </w:r>
    </w:p>
    <w:p w14:paraId="5036E790" w14:textId="5CE2B343" w:rsidR="00FE0648" w:rsidRDefault="00FE0648" w:rsidP="00FE0648">
      <w:pPr>
        <w:spacing w:beforeLines="50" w:before="120" w:afterLines="50" w:after="120"/>
        <w:jc w:val="left"/>
        <w:rPr>
          <w:rFonts w:ascii="Times New Roman" w:eastAsia="宋体" w:hAnsi="Times New Roman" w:cs="Times New Roman"/>
          <w:color w:val="000000" w:themeColor="text1"/>
          <w:kern w:val="24"/>
          <w:sz w:val="20"/>
          <w:szCs w:val="20"/>
        </w:rPr>
      </w:pPr>
      <w:r w:rsidRPr="00FB38B2">
        <w:rPr>
          <w:rFonts w:ascii="Times New Roman" w:eastAsia="宋体" w:hAnsi="Times New Roman" w:cs="Times New Roman"/>
          <w:color w:val="000000" w:themeColor="text1"/>
          <w:kern w:val="24"/>
          <w:sz w:val="20"/>
          <w:szCs w:val="20"/>
        </w:rPr>
        <w:t xml:space="preserve">In </w:t>
      </w:r>
      <w:r>
        <w:rPr>
          <w:rFonts w:ascii="Times New Roman" w:eastAsia="宋体" w:hAnsi="Times New Roman" w:cs="Times New Roman"/>
          <w:color w:val="000000" w:themeColor="text1"/>
          <w:kern w:val="24"/>
          <w:sz w:val="20"/>
          <w:szCs w:val="20"/>
        </w:rPr>
        <w:t xml:space="preserve">Rel-18, two TAs for m-DCI and m-TRP are introduced. RAN4 define such RRM requirements including: MRTD/MTTD, DL reference timing, other RRM requitements which have impacts such as L1-RSRP and TCI state switching delay requitements. </w:t>
      </w:r>
    </w:p>
    <w:p w14:paraId="0003F466" w14:textId="4A2E71B1" w:rsidR="00E81849" w:rsidRDefault="00E81849" w:rsidP="00FE064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hint="eastAsia"/>
          <w:color w:val="000000" w:themeColor="text1"/>
          <w:kern w:val="24"/>
          <w:sz w:val="20"/>
          <w:szCs w:val="20"/>
        </w:rPr>
        <w:t>T</w:t>
      </w:r>
      <w:r>
        <w:rPr>
          <w:rFonts w:ascii="Times New Roman" w:eastAsia="宋体" w:hAnsi="Times New Roman" w:cs="Times New Roman"/>
          <w:color w:val="000000" w:themeColor="text1"/>
          <w:kern w:val="24"/>
          <w:sz w:val="20"/>
          <w:szCs w:val="20"/>
        </w:rPr>
        <w:t>he association between coresetPoolIndex and TCI state are shown as:</w:t>
      </w:r>
    </w:p>
    <w:tbl>
      <w:tblPr>
        <w:tblStyle w:val="a7"/>
        <w:tblW w:w="0" w:type="auto"/>
        <w:tblLook w:val="04A0" w:firstRow="1" w:lastRow="0" w:firstColumn="1" w:lastColumn="0" w:noHBand="0" w:noVBand="1"/>
      </w:tblPr>
      <w:tblGrid>
        <w:gridCol w:w="9629"/>
      </w:tblGrid>
      <w:tr w:rsidR="00E81849" w14:paraId="15E9E6DC" w14:textId="77777777" w:rsidTr="00E81849">
        <w:tc>
          <w:tcPr>
            <w:tcW w:w="9629" w:type="dxa"/>
          </w:tcPr>
          <w:p w14:paraId="65EE7121" w14:textId="03ACDDE3" w:rsidR="00E81849" w:rsidRDefault="00E81849" w:rsidP="00E81849">
            <w:r>
              <w:rPr>
                <w:rFonts w:hint="eastAsia"/>
              </w:rPr>
              <w:t>3</w:t>
            </w:r>
            <w:r>
              <w:t>8.821</w:t>
            </w:r>
          </w:p>
          <w:p w14:paraId="0114C011" w14:textId="4482B88A" w:rsidR="00E81849" w:rsidRDefault="00E81849" w:rsidP="00E81849">
            <w:r>
              <w:rPr>
                <w:rFonts w:hint="eastAsia"/>
              </w:rPr>
              <w:t>The Unified TCI States Activation/Deactivation MAC CE is identified by a MAC subheader with eLCID as specified in Table 6.2.1-1b. It has a variable size consisting of following fields:</w:t>
            </w:r>
          </w:p>
          <w:p w14:paraId="571D30E7" w14:textId="20C1C3D6" w:rsidR="00E81849" w:rsidRPr="00E81849" w:rsidRDefault="00E81849" w:rsidP="00E81849">
            <w:pPr>
              <w:pStyle w:val="B10"/>
            </w:pPr>
            <w:r>
              <w:rPr>
                <w:lang w:eastAsia="ko-KR"/>
              </w:rPr>
              <w:t xml:space="preserve">-   </w:t>
            </w:r>
            <w:r>
              <w:t xml:space="preserve">CORESET Pool ID: This field indicates that the mapping between the activated TCI states and the codepoint of the DCI </w:t>
            </w:r>
            <w:r>
              <w:rPr>
                <w:i/>
                <w:iCs/>
              </w:rPr>
              <w:t>Transmission Configuration Indication</w:t>
            </w:r>
            <w:r>
              <w:t xml:space="preserve"> set by field TCI state ID</w:t>
            </w:r>
            <w:r>
              <w:rPr>
                <w:i/>
                <w:iCs/>
              </w:rPr>
              <w:t xml:space="preserve"> </w:t>
            </w:r>
            <w:r>
              <w:t xml:space="preserve">is specific to the </w:t>
            </w:r>
            <w:r>
              <w:rPr>
                <w:i/>
                <w:iCs/>
              </w:rPr>
              <w:t>ControlResourceSetId</w:t>
            </w:r>
            <w:r>
              <w:t xml:space="preserve"> configured with CORESET Pool ID as specified in TS 38.331 [5]. This field set to 1 indicates that the TCI states are specified to CORESET pool ID equal to 1, otherwise the TCI states are specified to CORESET pool ID equal to 0</w:t>
            </w:r>
            <w:r>
              <w:rPr>
                <w:lang w:eastAsia="ko-KR"/>
              </w:rPr>
              <w:t>.</w:t>
            </w:r>
            <w:r>
              <w:t xml:space="preserve"> </w:t>
            </w:r>
            <w:r>
              <w:rPr>
                <w:lang w:eastAsia="ko-KR"/>
              </w:rPr>
              <w:t xml:space="preserve">If </w:t>
            </w:r>
            <w:r>
              <w:t xml:space="preserve">no more than one value for </w:t>
            </w:r>
            <w:r>
              <w:rPr>
                <w:lang w:eastAsia="ko-KR"/>
              </w:rPr>
              <w:t xml:space="preserve">the </w:t>
            </w:r>
            <w:r>
              <w:rPr>
                <w:i/>
                <w:iCs/>
                <w:lang w:eastAsia="ko-KR"/>
              </w:rPr>
              <w:t>coresetPoolIndex</w:t>
            </w:r>
            <w:r>
              <w:rPr>
                <w:lang w:eastAsia="ko-KR"/>
              </w:rPr>
              <w:t xml:space="preserve"> is configured for any CORESET </w:t>
            </w:r>
            <w:r>
              <w:t>in the BWP</w:t>
            </w:r>
            <w:r>
              <w:rPr>
                <w:lang w:eastAsia="ko-KR"/>
              </w:rPr>
              <w:t>, the R bit is present instead;</w:t>
            </w:r>
          </w:p>
        </w:tc>
      </w:tr>
    </w:tbl>
    <w:p w14:paraId="72CC80D8" w14:textId="4664190A" w:rsidR="00E81849" w:rsidRDefault="00E81849" w:rsidP="00FE064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color w:val="000000" w:themeColor="text1"/>
          <w:kern w:val="24"/>
          <w:sz w:val="20"/>
          <w:szCs w:val="20"/>
        </w:rPr>
        <w:t xml:space="preserve">For one unified TCI state, it is associated with </w:t>
      </w:r>
      <w:r w:rsidRPr="00E81849">
        <w:rPr>
          <w:rFonts w:ascii="Times New Roman" w:eastAsia="宋体" w:hAnsi="Times New Roman" w:cs="Times New Roman"/>
          <w:color w:val="000000" w:themeColor="text1"/>
          <w:kern w:val="24"/>
          <w:sz w:val="20"/>
          <w:szCs w:val="20"/>
        </w:rPr>
        <w:t xml:space="preserve">CORESET Pool ID. </w:t>
      </w:r>
    </w:p>
    <w:p w14:paraId="092167A8" w14:textId="53032A5D" w:rsidR="00E81849" w:rsidRDefault="00E81849" w:rsidP="00FE064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hint="eastAsia"/>
          <w:color w:val="000000" w:themeColor="text1"/>
          <w:kern w:val="24"/>
          <w:sz w:val="20"/>
          <w:szCs w:val="20"/>
        </w:rPr>
        <w:t>F</w:t>
      </w:r>
      <w:r>
        <w:rPr>
          <w:rFonts w:ascii="Times New Roman" w:eastAsia="宋体" w:hAnsi="Times New Roman" w:cs="Times New Roman"/>
          <w:color w:val="000000" w:themeColor="text1"/>
          <w:kern w:val="24"/>
          <w:sz w:val="20"/>
          <w:szCs w:val="20"/>
        </w:rPr>
        <w:t>or joint/UL TCI state, it is associated with either TAG1 or TAG2, as shown in:</w:t>
      </w:r>
    </w:p>
    <w:tbl>
      <w:tblPr>
        <w:tblStyle w:val="a7"/>
        <w:tblW w:w="0" w:type="auto"/>
        <w:tblLook w:val="04A0" w:firstRow="1" w:lastRow="0" w:firstColumn="1" w:lastColumn="0" w:noHBand="0" w:noVBand="1"/>
      </w:tblPr>
      <w:tblGrid>
        <w:gridCol w:w="9629"/>
      </w:tblGrid>
      <w:tr w:rsidR="00E81849" w14:paraId="6B1BD272" w14:textId="77777777" w:rsidTr="00E81849">
        <w:tc>
          <w:tcPr>
            <w:tcW w:w="9629" w:type="dxa"/>
          </w:tcPr>
          <w:p w14:paraId="3392BB23" w14:textId="77777777" w:rsidR="00E81849" w:rsidRDefault="00E81849" w:rsidP="00E81849">
            <w:pPr>
              <w:pStyle w:val="PL"/>
              <w:rPr>
                <w:lang w:val="en-GB"/>
              </w:rPr>
            </w:pPr>
            <w:r>
              <w:rPr>
                <w:color w:val="000000"/>
                <w:lang w:val="en-GB"/>
              </w:rPr>
              <w:t xml:space="preserve">TCI-State ::=                       </w:t>
            </w:r>
            <w:r>
              <w:rPr>
                <w:color w:val="993366"/>
                <w:lang w:val="en-GB"/>
              </w:rPr>
              <w:t>SEQUENCE</w:t>
            </w:r>
            <w:r>
              <w:rPr>
                <w:color w:val="000000"/>
                <w:lang w:val="en-GB"/>
              </w:rPr>
              <w:t xml:space="preserve"> {</w:t>
            </w:r>
          </w:p>
          <w:p w14:paraId="1F2202D6" w14:textId="77777777" w:rsidR="00E81849" w:rsidRDefault="00E81849" w:rsidP="00E81849">
            <w:pPr>
              <w:pStyle w:val="PL"/>
              <w:rPr>
                <w:lang w:val="en-GB"/>
              </w:rPr>
            </w:pPr>
            <w:r>
              <w:rPr>
                <w:color w:val="000000"/>
                <w:lang w:val="en-GB"/>
              </w:rPr>
              <w:t>    tci-StateId                         TCI-StateId,</w:t>
            </w:r>
          </w:p>
          <w:p w14:paraId="76D38C67" w14:textId="77777777" w:rsidR="00E81849" w:rsidRDefault="00E81849" w:rsidP="00E81849">
            <w:pPr>
              <w:pStyle w:val="PL"/>
              <w:rPr>
                <w:lang w:val="en-GB"/>
              </w:rPr>
            </w:pPr>
            <w:r>
              <w:rPr>
                <w:color w:val="000000"/>
                <w:lang w:val="en-GB"/>
              </w:rPr>
              <w:t>    qcl-Type1                           QCL-Info,</w:t>
            </w:r>
          </w:p>
          <w:p w14:paraId="2CBE4241" w14:textId="77777777" w:rsidR="00E81849" w:rsidRDefault="00E81849" w:rsidP="00E81849">
            <w:pPr>
              <w:pStyle w:val="PL"/>
              <w:rPr>
                <w:color w:val="808080"/>
                <w:lang w:val="en-GB"/>
              </w:rPr>
            </w:pPr>
            <w:r>
              <w:rPr>
                <w:color w:val="000000"/>
                <w:lang w:val="en-GB"/>
              </w:rPr>
              <w:t>    qcl-Type2                           QCL-Info                                                    </w:t>
            </w:r>
            <w:r>
              <w:rPr>
                <w:color w:val="993366"/>
                <w:lang w:val="en-GB"/>
              </w:rPr>
              <w:t>OPTIONAL</w:t>
            </w:r>
            <w:r>
              <w:rPr>
                <w:color w:val="000000"/>
                <w:lang w:val="en-GB"/>
              </w:rPr>
              <w:t xml:space="preserve">,   </w:t>
            </w:r>
            <w:r>
              <w:rPr>
                <w:color w:val="808080"/>
                <w:lang w:val="en-GB"/>
              </w:rPr>
              <w:t>-- Need R</w:t>
            </w:r>
          </w:p>
          <w:p w14:paraId="1A0094C0" w14:textId="77777777" w:rsidR="00E81849" w:rsidRDefault="00E81849" w:rsidP="00E81849">
            <w:pPr>
              <w:pStyle w:val="PL"/>
              <w:rPr>
                <w:lang w:val="en-GB"/>
              </w:rPr>
            </w:pPr>
            <w:r>
              <w:rPr>
                <w:color w:val="000000"/>
                <w:lang w:val="en-GB"/>
              </w:rPr>
              <w:t>    ...,</w:t>
            </w:r>
          </w:p>
          <w:p w14:paraId="23575B20" w14:textId="77777777" w:rsidR="00E81849" w:rsidRDefault="00E81849" w:rsidP="00E81849">
            <w:pPr>
              <w:pStyle w:val="PL"/>
              <w:rPr>
                <w:lang w:val="en-GB"/>
              </w:rPr>
            </w:pPr>
            <w:r>
              <w:rPr>
                <w:color w:val="000000"/>
                <w:lang w:val="en-GB"/>
              </w:rPr>
              <w:t>    [[</w:t>
            </w:r>
          </w:p>
          <w:p w14:paraId="694F9824" w14:textId="77777777" w:rsidR="00E81849" w:rsidRDefault="00E81849" w:rsidP="00E81849">
            <w:pPr>
              <w:pStyle w:val="PL"/>
              <w:rPr>
                <w:color w:val="808080"/>
                <w:lang w:val="en-GB"/>
              </w:rPr>
            </w:pPr>
            <w:r>
              <w:rPr>
                <w:color w:val="000000"/>
                <w:lang w:val="en-GB"/>
              </w:rPr>
              <w:t xml:space="preserve">    additionalPCI-r17                   AdditionalPCIIndex-r17                                      </w:t>
            </w:r>
            <w:r>
              <w:rPr>
                <w:color w:val="993366"/>
                <w:lang w:val="en-GB"/>
              </w:rPr>
              <w:t>OPTIONAL</w:t>
            </w:r>
            <w:r>
              <w:rPr>
                <w:color w:val="000000"/>
                <w:lang w:val="en-GB"/>
              </w:rPr>
              <w:t xml:space="preserve">,   </w:t>
            </w:r>
            <w:r>
              <w:rPr>
                <w:color w:val="808080"/>
                <w:lang w:val="en-GB"/>
              </w:rPr>
              <w:t>-- Need R</w:t>
            </w:r>
          </w:p>
          <w:p w14:paraId="2D8C7BCA" w14:textId="77777777" w:rsidR="00E81849" w:rsidRDefault="00E81849" w:rsidP="00E81849">
            <w:pPr>
              <w:pStyle w:val="PL"/>
              <w:rPr>
                <w:color w:val="808080"/>
                <w:lang w:val="en-GB"/>
              </w:rPr>
            </w:pPr>
            <w:r>
              <w:rPr>
                <w:color w:val="000000"/>
                <w:lang w:val="en-GB"/>
              </w:rPr>
              <w:t>    pathlossReferenceRS-Id-r17          PathlossReferenceRS-Id-r17                                  </w:t>
            </w:r>
            <w:r>
              <w:rPr>
                <w:color w:val="993366"/>
                <w:lang w:val="en-GB"/>
              </w:rPr>
              <w:t>OPTIONAL</w:t>
            </w:r>
            <w:r>
              <w:rPr>
                <w:color w:val="000000"/>
                <w:lang w:val="en-GB"/>
              </w:rPr>
              <w:t xml:space="preserve">,   </w:t>
            </w:r>
            <w:r>
              <w:rPr>
                <w:color w:val="808080"/>
                <w:lang w:val="en-GB"/>
              </w:rPr>
              <w:t>-- Cond JointTCI1</w:t>
            </w:r>
          </w:p>
          <w:p w14:paraId="0175BEA4" w14:textId="77777777" w:rsidR="00E81849" w:rsidRDefault="00E81849" w:rsidP="00E81849">
            <w:pPr>
              <w:pStyle w:val="PL"/>
              <w:rPr>
                <w:color w:val="808080"/>
                <w:lang w:val="en-GB"/>
              </w:rPr>
            </w:pPr>
            <w:r>
              <w:rPr>
                <w:color w:val="000000"/>
                <w:lang w:val="en-GB"/>
              </w:rPr>
              <w:lastRenderedPageBreak/>
              <w:t xml:space="preserve">    ul-powerControl-r17                 Uplink-powerControlId-r17                                   </w:t>
            </w:r>
            <w:r>
              <w:rPr>
                <w:color w:val="993366"/>
                <w:lang w:val="en-GB"/>
              </w:rPr>
              <w:t>OPTIONAL</w:t>
            </w:r>
            <w:r>
              <w:rPr>
                <w:color w:val="000000"/>
                <w:lang w:val="en-GB"/>
              </w:rPr>
              <w:t xml:space="preserve">    </w:t>
            </w:r>
            <w:r>
              <w:rPr>
                <w:color w:val="808080"/>
                <w:lang w:val="en-GB"/>
              </w:rPr>
              <w:t>-- Cond JointTCI</w:t>
            </w:r>
          </w:p>
          <w:p w14:paraId="1D1F4D48" w14:textId="77777777" w:rsidR="00E81849" w:rsidRDefault="00E81849" w:rsidP="00E81849">
            <w:pPr>
              <w:pStyle w:val="PL"/>
              <w:rPr>
                <w:lang w:val="en-GB"/>
              </w:rPr>
            </w:pPr>
            <w:r>
              <w:rPr>
                <w:color w:val="000000"/>
                <w:lang w:val="en-GB"/>
              </w:rPr>
              <w:t>    ]],</w:t>
            </w:r>
          </w:p>
          <w:p w14:paraId="54E4835F" w14:textId="77777777" w:rsidR="00E81849" w:rsidRDefault="00E81849" w:rsidP="00E81849">
            <w:pPr>
              <w:pStyle w:val="PL"/>
              <w:rPr>
                <w:lang w:val="en-GB"/>
              </w:rPr>
            </w:pPr>
            <w:r>
              <w:rPr>
                <w:color w:val="000000"/>
                <w:lang w:val="en-GB"/>
              </w:rPr>
              <w:t>    [[</w:t>
            </w:r>
          </w:p>
          <w:p w14:paraId="5D90AC0A" w14:textId="77777777" w:rsidR="00E81849" w:rsidRDefault="00E81849" w:rsidP="00E81849">
            <w:pPr>
              <w:pStyle w:val="PL"/>
              <w:rPr>
                <w:color w:val="808080"/>
                <w:lang w:val="en-GB"/>
              </w:rPr>
            </w:pPr>
            <w:r>
              <w:rPr>
                <w:color w:val="000000"/>
                <w:lang w:val="en-GB"/>
              </w:rPr>
              <w:t xml:space="preserve">    </w:t>
            </w:r>
            <w:r>
              <w:rPr>
                <w:color w:val="000000"/>
                <w:highlight w:val="yellow"/>
                <w:lang w:val="en-GB"/>
              </w:rPr>
              <w:t>tag-Id-ptr-r18</w:t>
            </w:r>
            <w:r>
              <w:rPr>
                <w:color w:val="000000"/>
                <w:lang w:val="en-GB"/>
              </w:rPr>
              <w:t xml:space="preserve">                      </w:t>
            </w:r>
            <w:r>
              <w:rPr>
                <w:color w:val="993366"/>
                <w:lang w:val="en-GB"/>
              </w:rPr>
              <w:t>ENUMERATED</w:t>
            </w:r>
            <w:r>
              <w:rPr>
                <w:color w:val="000000"/>
                <w:lang w:val="en-GB"/>
              </w:rPr>
              <w:t xml:space="preserve"> {n0,n1}                                          </w:t>
            </w:r>
            <w:r>
              <w:rPr>
                <w:color w:val="993366"/>
                <w:lang w:val="en-GB"/>
              </w:rPr>
              <w:t>OPTIONAL</w:t>
            </w:r>
            <w:r>
              <w:rPr>
                <w:color w:val="000000"/>
                <w:lang w:val="en-GB"/>
              </w:rPr>
              <w:t xml:space="preserve">    </w:t>
            </w:r>
            <w:r>
              <w:rPr>
                <w:color w:val="808080"/>
                <w:lang w:val="en-GB"/>
              </w:rPr>
              <w:t>-- Cond 2TA</w:t>
            </w:r>
          </w:p>
          <w:p w14:paraId="1224D999" w14:textId="77777777" w:rsidR="00E81849" w:rsidRDefault="00E81849" w:rsidP="00E81849">
            <w:pPr>
              <w:pStyle w:val="PL"/>
              <w:rPr>
                <w:lang w:val="en-GB"/>
              </w:rPr>
            </w:pPr>
            <w:r>
              <w:rPr>
                <w:color w:val="000000"/>
                <w:lang w:val="en-GB"/>
              </w:rPr>
              <w:t>    ]]</w:t>
            </w:r>
          </w:p>
          <w:p w14:paraId="57B5A5E0" w14:textId="6EA97516" w:rsidR="00E81849" w:rsidRPr="00E81849" w:rsidRDefault="00E81849" w:rsidP="00E81849">
            <w:pPr>
              <w:pStyle w:val="PL"/>
              <w:rPr>
                <w:color w:val="000000"/>
                <w:lang w:val="en-GB"/>
              </w:rPr>
            </w:pPr>
            <w:r>
              <w:rPr>
                <w:color w:val="000000"/>
                <w:lang w:val="en-GB"/>
              </w:rPr>
              <w:t>}</w:t>
            </w:r>
          </w:p>
          <w:p w14:paraId="253CE2E9" w14:textId="77777777" w:rsidR="00E81849" w:rsidRDefault="00E81849" w:rsidP="00FE0648">
            <w:pPr>
              <w:spacing w:beforeLines="50" w:before="120" w:afterLines="50" w:after="120"/>
              <w:jc w:val="left"/>
              <w:rPr>
                <w:color w:val="000000" w:themeColor="text1"/>
                <w:kern w:val="24"/>
              </w:rPr>
            </w:pPr>
          </w:p>
          <w:p w14:paraId="64F64895" w14:textId="77777777" w:rsidR="00E81849" w:rsidRDefault="00E81849" w:rsidP="00E81849">
            <w:pPr>
              <w:pStyle w:val="PL"/>
              <w:rPr>
                <w:lang w:val="en-GB"/>
              </w:rPr>
            </w:pPr>
            <w:r>
              <w:rPr>
                <w:color w:val="000000"/>
                <w:lang w:val="en-GB"/>
              </w:rPr>
              <w:t xml:space="preserve">TCI-UL-State-r17 ::=             </w:t>
            </w:r>
            <w:r>
              <w:rPr>
                <w:color w:val="993366"/>
                <w:lang w:val="en-GB"/>
              </w:rPr>
              <w:t>SEQUENCE</w:t>
            </w:r>
            <w:r>
              <w:rPr>
                <w:color w:val="000000"/>
                <w:lang w:val="en-GB"/>
              </w:rPr>
              <w:t xml:space="preserve"> {</w:t>
            </w:r>
          </w:p>
          <w:p w14:paraId="574B6BD9" w14:textId="77777777" w:rsidR="00E81849" w:rsidRDefault="00E81849" w:rsidP="00E81849">
            <w:pPr>
              <w:pStyle w:val="PL"/>
              <w:rPr>
                <w:lang w:val="en-GB"/>
              </w:rPr>
            </w:pPr>
            <w:r>
              <w:rPr>
                <w:color w:val="000000"/>
                <w:lang w:val="en-GB"/>
              </w:rPr>
              <w:t>    tci-UL-StateId-r17              TCI-UL-StateId-r17,</w:t>
            </w:r>
          </w:p>
          <w:p w14:paraId="03753702" w14:textId="77777777" w:rsidR="00E81849" w:rsidRDefault="00E81849" w:rsidP="00E81849">
            <w:pPr>
              <w:pStyle w:val="PL"/>
              <w:rPr>
                <w:color w:val="808080"/>
                <w:lang w:val="en-GB"/>
              </w:rPr>
            </w:pPr>
            <w:r>
              <w:rPr>
                <w:color w:val="000000"/>
                <w:lang w:val="en-GB"/>
              </w:rPr>
              <w:t>    servingCellId-r17                ServCellIndex                                         </w:t>
            </w:r>
            <w:r>
              <w:rPr>
                <w:color w:val="993366"/>
                <w:lang w:val="en-GB"/>
              </w:rPr>
              <w:t>OPTIONAL</w:t>
            </w:r>
            <w:r>
              <w:rPr>
                <w:color w:val="000000"/>
                <w:lang w:val="en-GB"/>
              </w:rPr>
              <w:t xml:space="preserve">,   </w:t>
            </w:r>
            <w:r>
              <w:rPr>
                <w:color w:val="808080"/>
                <w:lang w:val="en-GB"/>
              </w:rPr>
              <w:t>-- Need R</w:t>
            </w:r>
          </w:p>
          <w:p w14:paraId="42CBECAB" w14:textId="77777777" w:rsidR="00E81849" w:rsidRDefault="00E81849" w:rsidP="00E81849">
            <w:pPr>
              <w:pStyle w:val="PL"/>
              <w:rPr>
                <w:color w:val="808080"/>
                <w:lang w:val="en-GB"/>
              </w:rPr>
            </w:pPr>
            <w:r>
              <w:rPr>
                <w:color w:val="000000"/>
                <w:lang w:val="en-GB"/>
              </w:rPr>
              <w:t xml:space="preserve">    bwp-Id-r17                       BWP-Id                                                </w:t>
            </w:r>
            <w:r>
              <w:rPr>
                <w:color w:val="993366"/>
                <w:lang w:val="en-GB"/>
              </w:rPr>
              <w:t>OPTIONAL</w:t>
            </w:r>
            <w:r>
              <w:rPr>
                <w:color w:val="000000"/>
                <w:lang w:val="en-GB"/>
              </w:rPr>
              <w:t xml:space="preserve">,   </w:t>
            </w:r>
            <w:r>
              <w:rPr>
                <w:color w:val="808080"/>
                <w:lang w:val="en-GB"/>
              </w:rPr>
              <w:t>-- Cond CSI-RSorSRS-Indicated</w:t>
            </w:r>
          </w:p>
          <w:p w14:paraId="244324A7" w14:textId="77777777" w:rsidR="00E81849" w:rsidRDefault="00E81849" w:rsidP="00E81849">
            <w:pPr>
              <w:pStyle w:val="PL"/>
              <w:rPr>
                <w:lang w:val="en-GB"/>
              </w:rPr>
            </w:pPr>
            <w:r>
              <w:rPr>
                <w:color w:val="000000"/>
                <w:lang w:val="en-GB"/>
              </w:rPr>
              <w:t xml:space="preserve">    referenceSignal-r17              </w:t>
            </w:r>
            <w:r>
              <w:rPr>
                <w:color w:val="993366"/>
                <w:lang w:val="en-GB"/>
              </w:rPr>
              <w:t>CHOICE</w:t>
            </w:r>
            <w:r>
              <w:rPr>
                <w:color w:val="000000"/>
                <w:lang w:val="en-GB"/>
              </w:rPr>
              <w:t xml:space="preserve"> {</w:t>
            </w:r>
          </w:p>
          <w:p w14:paraId="3EE1EDEA" w14:textId="77777777" w:rsidR="00E81849" w:rsidRDefault="00E81849" w:rsidP="00E81849">
            <w:pPr>
              <w:pStyle w:val="PL"/>
              <w:rPr>
                <w:lang w:val="en-GB"/>
              </w:rPr>
            </w:pPr>
            <w:r>
              <w:rPr>
                <w:color w:val="000000"/>
                <w:lang w:val="en-GB"/>
              </w:rPr>
              <w:t>        ssb-Index-r17                    SSB-Index,</w:t>
            </w:r>
          </w:p>
          <w:p w14:paraId="7C70FC47" w14:textId="77777777" w:rsidR="00E81849" w:rsidRDefault="00E81849" w:rsidP="00E81849">
            <w:pPr>
              <w:pStyle w:val="PL"/>
              <w:rPr>
                <w:lang w:val="en-GB"/>
              </w:rPr>
            </w:pPr>
            <w:r>
              <w:rPr>
                <w:color w:val="000000"/>
                <w:lang w:val="en-GB"/>
              </w:rPr>
              <w:t>        csi-RS-Index-r17                 NZP-CSI-RS-ResourceId,</w:t>
            </w:r>
          </w:p>
          <w:p w14:paraId="158B1A92" w14:textId="77777777" w:rsidR="00E81849" w:rsidRDefault="00E81849" w:rsidP="00E81849">
            <w:pPr>
              <w:pStyle w:val="PL"/>
              <w:rPr>
                <w:lang w:val="en-GB"/>
              </w:rPr>
            </w:pPr>
            <w:r>
              <w:rPr>
                <w:color w:val="000000"/>
                <w:lang w:val="en-GB"/>
              </w:rPr>
              <w:t>        srs-r17                          SRS-ResourceId</w:t>
            </w:r>
          </w:p>
          <w:p w14:paraId="14870060" w14:textId="77777777" w:rsidR="00E81849" w:rsidRDefault="00E81849" w:rsidP="00E81849">
            <w:pPr>
              <w:pStyle w:val="PL"/>
              <w:rPr>
                <w:lang w:val="en-GB"/>
              </w:rPr>
            </w:pPr>
            <w:r>
              <w:rPr>
                <w:color w:val="000000"/>
                <w:lang w:val="en-GB"/>
              </w:rPr>
              <w:t>    },</w:t>
            </w:r>
          </w:p>
          <w:p w14:paraId="1A26123B" w14:textId="77777777" w:rsidR="00E81849" w:rsidRDefault="00E81849" w:rsidP="00E81849">
            <w:pPr>
              <w:pStyle w:val="PL"/>
              <w:rPr>
                <w:color w:val="808080"/>
                <w:lang w:val="en-GB"/>
              </w:rPr>
            </w:pPr>
            <w:r>
              <w:rPr>
                <w:color w:val="000000"/>
                <w:lang w:val="en-GB"/>
              </w:rPr>
              <w:t xml:space="preserve">    additionalPCI-r17                AdditionalPCIIndex-r17                                </w:t>
            </w:r>
            <w:r>
              <w:rPr>
                <w:color w:val="993366"/>
                <w:lang w:val="en-GB"/>
              </w:rPr>
              <w:t>OPTIONAL</w:t>
            </w:r>
            <w:r>
              <w:rPr>
                <w:color w:val="000000"/>
                <w:lang w:val="en-GB"/>
              </w:rPr>
              <w:t xml:space="preserve">,   </w:t>
            </w:r>
            <w:r>
              <w:rPr>
                <w:color w:val="808080"/>
                <w:lang w:val="en-GB"/>
              </w:rPr>
              <w:t>-- Need R</w:t>
            </w:r>
          </w:p>
          <w:p w14:paraId="4196337B" w14:textId="77777777" w:rsidR="00E81849" w:rsidRDefault="00E81849" w:rsidP="00E81849">
            <w:pPr>
              <w:pStyle w:val="PL"/>
              <w:rPr>
                <w:color w:val="808080"/>
                <w:lang w:val="en-GB"/>
              </w:rPr>
            </w:pPr>
            <w:r>
              <w:rPr>
                <w:color w:val="000000"/>
                <w:lang w:val="en-GB"/>
              </w:rPr>
              <w:t xml:space="preserve">    ul-powerControl-r17              Uplink-powerControlId-r17                             </w:t>
            </w:r>
            <w:r>
              <w:rPr>
                <w:color w:val="993366"/>
                <w:lang w:val="en-GB"/>
              </w:rPr>
              <w:t>OPTIONAL</w:t>
            </w:r>
            <w:r>
              <w:rPr>
                <w:color w:val="000000"/>
                <w:lang w:val="en-GB"/>
              </w:rPr>
              <w:t xml:space="preserve">,   </w:t>
            </w:r>
            <w:r>
              <w:rPr>
                <w:color w:val="808080"/>
                <w:lang w:val="en-GB"/>
              </w:rPr>
              <w:t>-- Need R</w:t>
            </w:r>
          </w:p>
          <w:p w14:paraId="3A41CB8D" w14:textId="77777777" w:rsidR="00E81849" w:rsidRDefault="00E81849" w:rsidP="00E81849">
            <w:pPr>
              <w:pStyle w:val="PL"/>
              <w:rPr>
                <w:color w:val="808080"/>
                <w:lang w:val="en-GB"/>
              </w:rPr>
            </w:pPr>
            <w:r>
              <w:rPr>
                <w:color w:val="000000"/>
                <w:lang w:val="en-GB"/>
              </w:rPr>
              <w:t xml:space="preserve">    pathlossReferenceRS-Id-r17       PathlossReferenceRS-Id-r17                            </w:t>
            </w:r>
            <w:r>
              <w:rPr>
                <w:color w:val="993366"/>
                <w:lang w:val="en-GB"/>
              </w:rPr>
              <w:t>OPTIONAL</w:t>
            </w:r>
            <w:r>
              <w:rPr>
                <w:color w:val="000000"/>
                <w:lang w:val="en-GB"/>
              </w:rPr>
              <w:t xml:space="preserve">,   </w:t>
            </w:r>
            <w:r>
              <w:rPr>
                <w:color w:val="808080"/>
                <w:lang w:val="en-GB"/>
              </w:rPr>
              <w:t>-- Cond Mandatory</w:t>
            </w:r>
          </w:p>
          <w:p w14:paraId="092AC036" w14:textId="77777777" w:rsidR="00E81849" w:rsidRDefault="00E81849" w:rsidP="00E81849">
            <w:pPr>
              <w:pStyle w:val="PL"/>
              <w:rPr>
                <w:lang w:val="en-GB"/>
              </w:rPr>
            </w:pPr>
            <w:r>
              <w:rPr>
                <w:color w:val="000000"/>
                <w:lang w:val="en-GB"/>
              </w:rPr>
              <w:t>    ...,</w:t>
            </w:r>
          </w:p>
          <w:p w14:paraId="481C7EE1" w14:textId="77777777" w:rsidR="00E81849" w:rsidRDefault="00E81849" w:rsidP="00E81849">
            <w:pPr>
              <w:pStyle w:val="PL"/>
              <w:rPr>
                <w:lang w:val="en-GB"/>
              </w:rPr>
            </w:pPr>
            <w:r>
              <w:rPr>
                <w:color w:val="000000"/>
                <w:lang w:val="en-GB"/>
              </w:rPr>
              <w:t>    [[</w:t>
            </w:r>
          </w:p>
          <w:p w14:paraId="083C5E79" w14:textId="77777777" w:rsidR="00E81849" w:rsidRDefault="00E81849" w:rsidP="00E81849">
            <w:pPr>
              <w:pStyle w:val="PL"/>
              <w:rPr>
                <w:color w:val="808080"/>
                <w:lang w:val="en-GB"/>
              </w:rPr>
            </w:pPr>
            <w:r>
              <w:rPr>
                <w:color w:val="000000"/>
                <w:lang w:val="en-GB"/>
              </w:rPr>
              <w:t xml:space="preserve">    </w:t>
            </w:r>
            <w:r>
              <w:rPr>
                <w:color w:val="000000"/>
                <w:highlight w:val="yellow"/>
                <w:lang w:val="en-GB"/>
              </w:rPr>
              <w:t>tag-Id-ptr-r18</w:t>
            </w:r>
            <w:r>
              <w:rPr>
                <w:color w:val="000000"/>
                <w:lang w:val="en-GB"/>
              </w:rPr>
              <w:t xml:space="preserve">                   </w:t>
            </w:r>
            <w:r>
              <w:rPr>
                <w:color w:val="993366"/>
                <w:lang w:val="en-GB"/>
              </w:rPr>
              <w:t>ENUMERATED</w:t>
            </w:r>
            <w:r>
              <w:rPr>
                <w:color w:val="000000"/>
                <w:lang w:val="en-GB"/>
              </w:rPr>
              <w:t xml:space="preserve"> {n0,n1}                                    </w:t>
            </w:r>
            <w:r>
              <w:rPr>
                <w:color w:val="993366"/>
                <w:lang w:val="en-GB"/>
              </w:rPr>
              <w:t>OPTIONAL</w:t>
            </w:r>
            <w:r>
              <w:rPr>
                <w:color w:val="000000"/>
                <w:lang w:val="en-GB"/>
              </w:rPr>
              <w:t xml:space="preserve">    </w:t>
            </w:r>
            <w:r>
              <w:rPr>
                <w:color w:val="808080"/>
                <w:lang w:val="en-GB"/>
              </w:rPr>
              <w:t>-- Cond 2TA</w:t>
            </w:r>
          </w:p>
          <w:p w14:paraId="0F010E8B" w14:textId="77777777" w:rsidR="00E81849" w:rsidRDefault="00E81849" w:rsidP="00E81849">
            <w:pPr>
              <w:pStyle w:val="PL"/>
              <w:rPr>
                <w:lang w:val="en-GB"/>
              </w:rPr>
            </w:pPr>
            <w:r>
              <w:rPr>
                <w:color w:val="000000"/>
                <w:lang w:val="en-GB"/>
              </w:rPr>
              <w:t>    ]]</w:t>
            </w:r>
          </w:p>
          <w:p w14:paraId="3697A205" w14:textId="77777777" w:rsidR="00E81849" w:rsidRDefault="00E81849" w:rsidP="00E81849">
            <w:pPr>
              <w:pStyle w:val="PL"/>
              <w:rPr>
                <w:lang w:val="en-GB"/>
              </w:rPr>
            </w:pPr>
            <w:r>
              <w:rPr>
                <w:color w:val="000000"/>
                <w:lang w:val="en-GB"/>
              </w:rPr>
              <w:t>}</w:t>
            </w:r>
          </w:p>
          <w:p w14:paraId="466350B4" w14:textId="75FDD0B7" w:rsidR="00E81849" w:rsidRDefault="00E81849" w:rsidP="00FE0648">
            <w:pPr>
              <w:spacing w:beforeLines="50" w:before="120" w:afterLines="50" w:after="120"/>
              <w:jc w:val="left"/>
              <w:rPr>
                <w:color w:val="000000" w:themeColor="text1"/>
                <w:kern w:val="24"/>
              </w:rPr>
            </w:pPr>
          </w:p>
        </w:tc>
      </w:tr>
    </w:tbl>
    <w:p w14:paraId="16B00A8C" w14:textId="7D465454" w:rsidR="00E81849" w:rsidRDefault="00E81849" w:rsidP="00FE064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hint="eastAsia"/>
          <w:color w:val="000000" w:themeColor="text1"/>
          <w:kern w:val="24"/>
          <w:sz w:val="20"/>
          <w:szCs w:val="20"/>
        </w:rPr>
        <w:t>I</w:t>
      </w:r>
      <w:r>
        <w:rPr>
          <w:rFonts w:ascii="Times New Roman" w:eastAsia="宋体" w:hAnsi="Times New Roman" w:cs="Times New Roman"/>
          <w:color w:val="000000" w:themeColor="text1"/>
          <w:kern w:val="24"/>
          <w:sz w:val="20"/>
          <w:szCs w:val="20"/>
        </w:rPr>
        <w:t xml:space="preserve">f follow the principle of that in Rel-18, the uplink shall be timing advanced before a downlink reference point. </w:t>
      </w:r>
    </w:p>
    <w:p w14:paraId="0C733E0D" w14:textId="590D6FD8" w:rsidR="00C46421" w:rsidRDefault="00C46421" w:rsidP="00FE064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color w:val="000000" w:themeColor="text1"/>
          <w:kern w:val="24"/>
          <w:sz w:val="20"/>
          <w:szCs w:val="20"/>
        </w:rPr>
        <w:t>In last RAN1</w:t>
      </w:r>
      <w:r w:rsidR="00D339CD">
        <w:rPr>
          <w:rFonts w:ascii="Times New Roman" w:eastAsia="宋体" w:hAnsi="Times New Roman" w:cs="Times New Roman"/>
          <w:color w:val="000000" w:themeColor="text1"/>
          <w:kern w:val="24"/>
          <w:sz w:val="20"/>
          <w:szCs w:val="20"/>
        </w:rPr>
        <w:t>#119 meeting, RAN1 sent reply LS to RAN4 in [4]:</w:t>
      </w:r>
    </w:p>
    <w:tbl>
      <w:tblPr>
        <w:tblStyle w:val="a7"/>
        <w:tblW w:w="0" w:type="auto"/>
        <w:tblLook w:val="04A0" w:firstRow="1" w:lastRow="0" w:firstColumn="1" w:lastColumn="0" w:noHBand="0" w:noVBand="1"/>
      </w:tblPr>
      <w:tblGrid>
        <w:gridCol w:w="9629"/>
      </w:tblGrid>
      <w:tr w:rsidR="00D339CD" w14:paraId="74963DB7" w14:textId="77777777" w:rsidTr="00D339CD">
        <w:tc>
          <w:tcPr>
            <w:tcW w:w="9629" w:type="dxa"/>
          </w:tcPr>
          <w:p w14:paraId="42954C20" w14:textId="6F2B1FC6" w:rsidR="00D339CD" w:rsidRPr="00D339CD" w:rsidRDefault="00D339CD" w:rsidP="00D339CD">
            <w:pPr>
              <w:pStyle w:val="af0"/>
              <w:spacing w:after="0"/>
              <w:contextualSpacing/>
              <w:rPr>
                <w:rFonts w:ascii="Times New Roman" w:hAnsi="Times New Roman"/>
              </w:rPr>
            </w:pPr>
            <w:r w:rsidRPr="00E0482E">
              <w:rPr>
                <w:rFonts w:ascii="Times New Roman" w:hAnsi="Times New Roman"/>
                <w:b/>
                <w:bCs/>
              </w:rPr>
              <w:t>Reply for Question 1:</w:t>
            </w:r>
            <w:r>
              <w:rPr>
                <w:rFonts w:ascii="Times New Roman" w:hAnsi="Times New Roman" w:hint="eastAsia"/>
                <w:b/>
                <w:bCs/>
              </w:rPr>
              <w:t xml:space="preserve"> </w:t>
            </w:r>
            <w:r w:rsidRPr="009C401C">
              <w:rPr>
                <w:rFonts w:ascii="Times New Roman" w:hAnsi="Times New Roman"/>
              </w:rPr>
              <w:t>From the perspective of UE: if UE is configured with PL offset in joint/UL TCI state(s), UE does not expect to receive SSB from UL TRP(s), else, UE may expect to receive SSB from UL TRP(s).</w:t>
            </w:r>
          </w:p>
        </w:tc>
      </w:tr>
    </w:tbl>
    <w:p w14:paraId="7388A66E" w14:textId="77777777" w:rsidR="00D339CD" w:rsidRPr="00D339CD" w:rsidRDefault="00D339CD" w:rsidP="00FE0648">
      <w:pPr>
        <w:spacing w:beforeLines="50" w:before="120" w:afterLines="50" w:after="120"/>
        <w:jc w:val="left"/>
        <w:rPr>
          <w:rFonts w:ascii="Times New Roman" w:eastAsia="宋体" w:hAnsi="Times New Roman" w:cs="Times New Roman"/>
          <w:color w:val="000000" w:themeColor="text1"/>
          <w:kern w:val="24"/>
          <w:sz w:val="20"/>
          <w:szCs w:val="20"/>
        </w:rPr>
      </w:pPr>
    </w:p>
    <w:p w14:paraId="10FAB2F8" w14:textId="15949892" w:rsidR="00FE0648" w:rsidRDefault="00FE0648" w:rsidP="00FE064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color w:val="000000" w:themeColor="text1"/>
          <w:kern w:val="24"/>
          <w:sz w:val="20"/>
          <w:szCs w:val="20"/>
        </w:rPr>
        <w:lastRenderedPageBreak/>
        <w:t xml:space="preserve">In Rel-19 asymmetric DL sTRP/UL mTRP, the scenarios are: UE can receive DL transmission and may transmit UL transmission from the TRP#1 while transmit UL transmission from </w:t>
      </w:r>
      <w:r w:rsidR="00E81849">
        <w:rPr>
          <w:rFonts w:ascii="Times New Roman" w:eastAsia="宋体" w:hAnsi="Times New Roman" w:cs="Times New Roman"/>
          <w:color w:val="000000" w:themeColor="text1"/>
          <w:kern w:val="24"/>
          <w:sz w:val="20"/>
          <w:szCs w:val="20"/>
        </w:rPr>
        <w:t>TRP#2 (TRP#2 might be a UL-TRP with PL-RS offset configured)</w:t>
      </w:r>
      <w:r>
        <w:rPr>
          <w:rFonts w:ascii="Times New Roman" w:eastAsia="宋体" w:hAnsi="Times New Roman" w:cs="Times New Roman"/>
          <w:color w:val="000000" w:themeColor="text1"/>
          <w:kern w:val="24"/>
          <w:sz w:val="20"/>
          <w:szCs w:val="20"/>
        </w:rPr>
        <w:t xml:space="preserve">. </w:t>
      </w:r>
    </w:p>
    <w:p w14:paraId="00ADC972" w14:textId="22EEE0D5" w:rsidR="00DB3A2D" w:rsidRDefault="00DB3A2D" w:rsidP="00FE064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color w:val="000000" w:themeColor="text1"/>
          <w:kern w:val="24"/>
          <w:sz w:val="20"/>
          <w:szCs w:val="20"/>
        </w:rPr>
        <w:t xml:space="preserve">From this reply from RAN1, it can be observed: if UE is configured with PL offset in joint/UL TCI states, UE only receive DL signal from one TRP. </w:t>
      </w:r>
    </w:p>
    <w:p w14:paraId="7CB09EDE" w14:textId="77777777" w:rsidR="00FE0648" w:rsidRDefault="00FE0648" w:rsidP="00FE064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hint="eastAsia"/>
          <w:color w:val="000000" w:themeColor="text1"/>
          <w:kern w:val="24"/>
          <w:sz w:val="20"/>
          <w:szCs w:val="20"/>
        </w:rPr>
        <w:t>I</w:t>
      </w:r>
      <w:r>
        <w:rPr>
          <w:rFonts w:ascii="Times New Roman" w:eastAsia="宋体" w:hAnsi="Times New Roman" w:cs="Times New Roman"/>
          <w:color w:val="000000" w:themeColor="text1"/>
          <w:kern w:val="24"/>
          <w:sz w:val="20"/>
          <w:szCs w:val="20"/>
        </w:rPr>
        <w:t xml:space="preserve">n Rel-18 two TA mechanism, two uplink transmission </w:t>
      </w:r>
      <w:r w:rsidRPr="00C307F6">
        <w:rPr>
          <w:rFonts w:ascii="Times New Roman" w:eastAsia="宋体" w:hAnsi="Times New Roman" w:cs="Times New Roman"/>
          <w:color w:val="000000" w:themeColor="text1"/>
          <w:kern w:val="24"/>
          <w:sz w:val="20"/>
          <w:szCs w:val="20"/>
        </w:rPr>
        <w:t>timing are related to the reception of the downlink reference point for each TAG</w:t>
      </w:r>
      <w:r>
        <w:rPr>
          <w:rFonts w:ascii="Times New Roman" w:eastAsia="宋体" w:hAnsi="Times New Roman" w:cs="Times New Roman"/>
          <w:color w:val="000000" w:themeColor="text1"/>
          <w:kern w:val="24"/>
          <w:sz w:val="20"/>
          <w:szCs w:val="20"/>
        </w:rPr>
        <w:t xml:space="preserve">, which means for each TAG, there can be dedicated downlink reference point. </w:t>
      </w:r>
    </w:p>
    <w:p w14:paraId="7EF377B3" w14:textId="063D97D0" w:rsidR="00380ED1" w:rsidRPr="00CC5CE5" w:rsidRDefault="00667392" w:rsidP="00FE0648">
      <w:pPr>
        <w:spacing w:beforeLines="50" w:before="120" w:afterLines="50" w:after="120"/>
        <w:jc w:val="left"/>
        <w:rPr>
          <w:rFonts w:ascii="Times New Roman" w:eastAsia="宋体" w:hAnsi="Times New Roman" w:cs="Times New Roman"/>
          <w:b/>
          <w:bCs/>
          <w:color w:val="000000" w:themeColor="text1"/>
          <w:kern w:val="24"/>
          <w:sz w:val="20"/>
          <w:szCs w:val="20"/>
        </w:rPr>
      </w:pPr>
      <w:r w:rsidRPr="00CC5CE5">
        <w:rPr>
          <w:rFonts w:ascii="Times New Roman" w:hAnsi="Times New Roman" w:cs="Times New Roman"/>
          <w:b/>
          <w:bCs/>
          <w:sz w:val="20"/>
          <w:szCs w:val="20"/>
        </w:rPr>
        <w:t xml:space="preserve">Proposal </w:t>
      </w:r>
      <w:r w:rsidRPr="00CC5CE5">
        <w:rPr>
          <w:rFonts w:ascii="Times New Roman" w:hAnsi="Times New Roman" w:cs="Times New Roman"/>
          <w:b/>
          <w:bCs/>
          <w:sz w:val="20"/>
          <w:szCs w:val="20"/>
        </w:rPr>
        <w:t>3</w:t>
      </w:r>
      <w:r w:rsidRPr="00CC5CE5">
        <w:rPr>
          <w:rFonts w:ascii="Times New Roman" w:hAnsi="Times New Roman" w:cs="Times New Roman"/>
          <w:b/>
          <w:bCs/>
          <w:sz w:val="20"/>
          <w:szCs w:val="20"/>
        </w:rPr>
        <w:t>:</w:t>
      </w:r>
      <w:r w:rsidRPr="00CC5CE5">
        <w:rPr>
          <w:rFonts w:ascii="Times New Roman" w:eastAsia="宋体" w:hAnsi="Times New Roman" w:cs="Times New Roman"/>
          <w:b/>
          <w:bCs/>
          <w:color w:val="000000" w:themeColor="text1"/>
          <w:kern w:val="24"/>
          <w:sz w:val="20"/>
          <w:szCs w:val="20"/>
        </w:rPr>
        <w:t xml:space="preserve"> </w:t>
      </w:r>
      <w:r w:rsidRPr="00CC5CE5">
        <w:rPr>
          <w:rFonts w:ascii="Times New Roman" w:eastAsia="宋体" w:hAnsi="Times New Roman" w:cs="Times New Roman"/>
          <w:b/>
          <w:bCs/>
          <w:color w:val="000000" w:themeColor="text1"/>
          <w:kern w:val="24"/>
          <w:sz w:val="20"/>
          <w:szCs w:val="20"/>
        </w:rPr>
        <w:t>In Rel-19 asymmetric DL sTRP/UL mTRP</w:t>
      </w:r>
      <w:r w:rsidR="00AC3F93" w:rsidRPr="00CC5CE5">
        <w:rPr>
          <w:rFonts w:ascii="Times New Roman" w:eastAsia="宋体" w:hAnsi="Times New Roman" w:cs="Times New Roman"/>
          <w:b/>
          <w:bCs/>
          <w:color w:val="000000" w:themeColor="text1"/>
          <w:kern w:val="24"/>
          <w:sz w:val="20"/>
          <w:szCs w:val="20"/>
        </w:rPr>
        <w:t xml:space="preserve"> with two TAs</w:t>
      </w:r>
      <w:r w:rsidRPr="00CC5CE5">
        <w:rPr>
          <w:rFonts w:ascii="Times New Roman" w:eastAsia="宋体" w:hAnsi="Times New Roman" w:cs="Times New Roman"/>
          <w:b/>
          <w:bCs/>
          <w:color w:val="000000" w:themeColor="text1"/>
          <w:kern w:val="24"/>
          <w:sz w:val="20"/>
          <w:szCs w:val="20"/>
        </w:rPr>
        <w:t xml:space="preserve">, if UE is configured with PL offset in joint/UL TCI states, </w:t>
      </w:r>
      <w:r w:rsidR="00AC3F93" w:rsidRPr="00CC5CE5">
        <w:rPr>
          <w:rFonts w:ascii="Times New Roman" w:hAnsi="Times New Roman" w:cs="Times New Roman"/>
          <w:b/>
          <w:bCs/>
          <w:sz w:val="20"/>
          <w:szCs w:val="20"/>
        </w:rPr>
        <w:t xml:space="preserve">for </w:t>
      </w:r>
      <w:r w:rsidR="00AC3F93" w:rsidRPr="00CC5CE5">
        <w:rPr>
          <w:rFonts w:ascii="Times New Roman" w:hAnsi="Times New Roman" w:cs="Times New Roman"/>
          <w:b/>
          <w:bCs/>
          <w:sz w:val="20"/>
          <w:szCs w:val="20"/>
        </w:rPr>
        <w:t>both</w:t>
      </w:r>
      <w:r w:rsidR="00AC3F93" w:rsidRPr="00CC5CE5">
        <w:rPr>
          <w:rFonts w:ascii="Times New Roman" w:hAnsi="Times New Roman" w:cs="Times New Roman"/>
          <w:b/>
          <w:bCs/>
          <w:sz w:val="20"/>
          <w:szCs w:val="20"/>
        </w:rPr>
        <w:t xml:space="preserve"> TAG</w:t>
      </w:r>
      <w:r w:rsidR="00AC3F93" w:rsidRPr="00CC5CE5">
        <w:rPr>
          <w:rFonts w:ascii="Times New Roman" w:hAnsi="Times New Roman" w:cs="Times New Roman"/>
          <w:b/>
          <w:bCs/>
          <w:sz w:val="20"/>
          <w:szCs w:val="20"/>
        </w:rPr>
        <w:t>s</w:t>
      </w:r>
      <w:r w:rsidR="00AC3F93" w:rsidRPr="00CC5CE5">
        <w:rPr>
          <w:rFonts w:ascii="Times New Roman" w:hAnsi="Times New Roman" w:cs="Times New Roman"/>
          <w:b/>
          <w:bCs/>
          <w:sz w:val="20"/>
          <w:szCs w:val="20"/>
        </w:rPr>
        <w:t xml:space="preserve">, the uplink transmission timing takes place </w:t>
      </w:r>
      <m:oMath>
        <m:r>
          <m:rPr>
            <m:sty m:val="bi"/>
          </m:rPr>
          <w:rPr>
            <w:rFonts w:ascii="Cambria Math" w:hAnsi="Cambria Math" w:cs="Times New Roman"/>
            <w:sz w:val="20"/>
            <w:szCs w:val="20"/>
          </w:rPr>
          <m:t>(</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N</m:t>
            </m:r>
          </m:e>
          <m:sub>
            <m:r>
              <m:rPr>
                <m:nor/>
              </m:rPr>
              <w:rPr>
                <w:rFonts w:ascii="Times New Roman" w:hAnsi="Times New Roman" w:cs="Times New Roman"/>
                <w:b/>
                <w:bCs/>
                <w:sz w:val="20"/>
                <w:szCs w:val="20"/>
              </w:rPr>
              <m:t>TA</m:t>
            </m:r>
            <m:ctrlPr>
              <w:rPr>
                <w:rFonts w:ascii="Cambria Math" w:hAnsi="Cambria Math" w:cs="Times New Roman"/>
                <w:b/>
                <w:bCs/>
                <w:sz w:val="20"/>
                <w:szCs w:val="20"/>
              </w:rPr>
            </m:ctrlPr>
          </m:sub>
        </m:sSub>
        <m:r>
          <m:rPr>
            <m:sty m:val="bi"/>
          </m:rPr>
          <w:rPr>
            <w:rFonts w:ascii="Cambria Math" w:hAnsi="Cambria Math" w:cs="Times New Roman"/>
            <w:sz w:val="20"/>
            <w:szCs w:val="20"/>
          </w:rPr>
          <m:t>+</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N</m:t>
            </m:r>
          </m:e>
          <m:sub>
            <m:r>
              <m:rPr>
                <m:nor/>
              </m:rPr>
              <w:rPr>
                <w:rFonts w:ascii="Times New Roman" w:hAnsi="Times New Roman" w:cs="Times New Roman"/>
                <w:b/>
                <w:bCs/>
                <w:sz w:val="20"/>
                <w:szCs w:val="20"/>
              </w:rPr>
              <m:t>TA offset</m:t>
            </m:r>
            <m:ctrlPr>
              <w:rPr>
                <w:rFonts w:ascii="Cambria Math" w:hAnsi="Cambria Math" w:cs="Times New Roman"/>
                <w:b/>
                <w:bCs/>
                <w:sz w:val="20"/>
                <w:szCs w:val="20"/>
              </w:rPr>
            </m:ctrlPr>
          </m:sub>
        </m:sSub>
        <m:r>
          <m:rPr>
            <m:sty m:val="bi"/>
          </m:rPr>
          <w:rPr>
            <w:rFonts w:ascii="Cambria Math" w:hAnsi="Cambria Math" w:cs="Times New Roman"/>
            <w:sz w:val="20"/>
            <w:szCs w:val="20"/>
          </w:rPr>
          <m:t>)×</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rPr>
              <m:t>c</m:t>
            </m:r>
          </m:sub>
        </m:sSub>
      </m:oMath>
      <w:r w:rsidR="00AC3F93" w:rsidRPr="00CC5CE5">
        <w:rPr>
          <w:rFonts w:ascii="Times New Roman" w:hAnsi="Times New Roman" w:cs="Times New Roman"/>
          <w:b/>
          <w:bCs/>
          <w:sz w:val="20"/>
          <w:szCs w:val="20"/>
        </w:rPr>
        <w:t xml:space="preserve"> before the reception of the downlink reference point.</w:t>
      </w:r>
      <w:r w:rsidR="00AC3F93" w:rsidRPr="00CC5CE5">
        <w:rPr>
          <w:rFonts w:ascii="Times New Roman" w:hAnsi="Times New Roman" w:cs="Times New Roman"/>
          <w:b/>
          <w:bCs/>
          <w:sz w:val="20"/>
          <w:szCs w:val="20"/>
        </w:rPr>
        <w:t xml:space="preserve"> T</w:t>
      </w:r>
      <w:r w:rsidR="00AC3F93" w:rsidRPr="00CC5CE5">
        <w:rPr>
          <w:rFonts w:ascii="Times New Roman" w:hAnsi="Times New Roman" w:cs="Times New Roman"/>
          <w:b/>
          <w:bCs/>
          <w:sz w:val="20"/>
          <w:szCs w:val="20"/>
        </w:rPr>
        <w:t xml:space="preserve">he reference point for PUCCH/PUSCH/SRS, is the first detected path (in time) of one of the corresponding downlink reference signal(s) of the reference cell associated with one of the </w:t>
      </w:r>
      <w:r w:rsidR="00AC3F93" w:rsidRPr="00CC5CE5">
        <w:rPr>
          <w:rFonts w:ascii="Times New Roman" w:hAnsi="Times New Roman" w:cs="Times New Roman"/>
          <w:b/>
          <w:bCs/>
          <w:i/>
          <w:iCs/>
          <w:color w:val="000000"/>
          <w:sz w:val="20"/>
          <w:szCs w:val="20"/>
        </w:rPr>
        <w:t>DLorJointTCIState</w:t>
      </w:r>
      <w:r w:rsidR="00AC3F93" w:rsidRPr="00CC5CE5">
        <w:rPr>
          <w:rFonts w:ascii="Times New Roman" w:hAnsi="Times New Roman" w:cs="Times New Roman"/>
          <w:b/>
          <w:bCs/>
          <w:color w:val="000000"/>
          <w:sz w:val="20"/>
          <w:szCs w:val="20"/>
        </w:rPr>
        <w:t>.</w:t>
      </w:r>
    </w:p>
    <w:p w14:paraId="74FF2A9F" w14:textId="73281C14" w:rsidR="00CC5CE5" w:rsidRPr="00CC5CE5" w:rsidRDefault="00CC5CE5" w:rsidP="00CC5CE5">
      <w:pPr>
        <w:rPr>
          <w:rFonts w:ascii="Times New Roman" w:hAnsi="Times New Roman" w:cs="Times New Roman"/>
          <w:b/>
          <w:bCs/>
          <w:sz w:val="20"/>
          <w:szCs w:val="20"/>
        </w:rPr>
      </w:pPr>
      <w:r w:rsidRPr="00CC5CE5">
        <w:rPr>
          <w:rFonts w:ascii="Times New Roman" w:hAnsi="Times New Roman" w:cs="Times New Roman"/>
          <w:b/>
          <w:bCs/>
          <w:color w:val="000000"/>
          <w:sz w:val="20"/>
          <w:szCs w:val="20"/>
        </w:rPr>
        <w:t xml:space="preserve">Where </w:t>
      </w:r>
      <m:oMath>
        <m:sSub>
          <m:sSubPr>
            <m:ctrlPr>
              <w:rPr>
                <w:rFonts w:ascii="Cambria Math" w:hAnsi="Cambria Math" w:cs="Times New Roman"/>
                <w:b/>
                <w:bCs/>
                <w:i/>
                <w:sz w:val="20"/>
                <w:szCs w:val="20"/>
              </w:rPr>
            </m:ctrlPr>
          </m:sSubPr>
          <m:e>
            <m:r>
              <m:rPr>
                <m:sty m:val="bi"/>
              </m:rPr>
              <w:rPr>
                <w:rFonts w:ascii="Cambria Math" w:hAnsi="Cambria Math" w:cs="Times New Roman"/>
                <w:sz w:val="20"/>
                <w:szCs w:val="20"/>
              </w:rPr>
              <m:t>N</m:t>
            </m:r>
          </m:e>
          <m:sub>
            <m:r>
              <m:rPr>
                <m:nor/>
              </m:rPr>
              <w:rPr>
                <w:rFonts w:ascii="Times New Roman" w:hAnsi="Times New Roman" w:cs="Times New Roman"/>
                <w:b/>
                <w:bCs/>
                <w:sz w:val="20"/>
                <w:szCs w:val="20"/>
              </w:rPr>
              <m:t>TA</m:t>
            </m:r>
            <m:ctrlPr>
              <w:rPr>
                <w:rFonts w:ascii="Cambria Math" w:hAnsi="Cambria Math" w:cs="Times New Roman"/>
                <w:b/>
                <w:bCs/>
                <w:sz w:val="20"/>
                <w:szCs w:val="20"/>
              </w:rPr>
            </m:ctrlPr>
          </m:sub>
        </m:sSub>
      </m:oMath>
      <w:r w:rsidRPr="00CC5CE5">
        <w:rPr>
          <w:rFonts w:ascii="Times New Roman" w:hAnsi="Times New Roman" w:cs="Times New Roman"/>
          <w:b/>
          <w:bCs/>
          <w:sz w:val="20"/>
          <w:szCs w:val="20"/>
        </w:rPr>
        <w:t xml:space="preserve"> and </w:t>
      </w:r>
      <m:oMath>
        <m:sSub>
          <m:sSubPr>
            <m:ctrlPr>
              <w:rPr>
                <w:rFonts w:ascii="Cambria Math" w:hAnsi="Cambria Math" w:cs="Times New Roman"/>
                <w:b/>
                <w:bCs/>
                <w:i/>
                <w:sz w:val="20"/>
                <w:szCs w:val="20"/>
              </w:rPr>
            </m:ctrlPr>
          </m:sSubPr>
          <m:e>
            <m:r>
              <m:rPr>
                <m:sty m:val="bi"/>
              </m:rPr>
              <w:rPr>
                <w:rFonts w:ascii="Cambria Math" w:hAnsi="Cambria Math" w:cs="Times New Roman"/>
                <w:sz w:val="20"/>
                <w:szCs w:val="20"/>
              </w:rPr>
              <m:t>N</m:t>
            </m:r>
          </m:e>
          <m:sub>
            <m:r>
              <m:rPr>
                <m:nor/>
              </m:rPr>
              <w:rPr>
                <w:rFonts w:ascii="Times New Roman" w:hAnsi="Times New Roman" w:cs="Times New Roman"/>
                <w:b/>
                <w:bCs/>
                <w:sz w:val="20"/>
                <w:szCs w:val="20"/>
              </w:rPr>
              <m:t>TA offset</m:t>
            </m:r>
            <m:ctrlPr>
              <w:rPr>
                <w:rFonts w:ascii="Cambria Math" w:hAnsi="Cambria Math" w:cs="Times New Roman"/>
                <w:b/>
                <w:bCs/>
                <w:sz w:val="20"/>
                <w:szCs w:val="20"/>
              </w:rPr>
            </m:ctrlPr>
          </m:sub>
        </m:sSub>
      </m:oMath>
      <w:r w:rsidRPr="00CC5CE5">
        <w:rPr>
          <w:rFonts w:ascii="Times New Roman" w:hAnsi="Times New Roman" w:cs="Times New Roman"/>
          <w:b/>
          <w:bCs/>
          <w:sz w:val="20"/>
          <w:szCs w:val="20"/>
        </w:rPr>
        <w:t xml:space="preserve"> are commanded by the network independently for </w:t>
      </w:r>
      <w:r w:rsidRPr="00CC5CE5">
        <w:rPr>
          <w:rFonts w:ascii="Times New Roman" w:hAnsi="Times New Roman" w:cs="Times New Roman"/>
          <w:b/>
          <w:bCs/>
          <w:sz w:val="20"/>
          <w:szCs w:val="20"/>
        </w:rPr>
        <w:t>both</w:t>
      </w:r>
      <w:r w:rsidRPr="00CC5CE5">
        <w:rPr>
          <w:rFonts w:ascii="Times New Roman" w:hAnsi="Times New Roman" w:cs="Times New Roman"/>
          <w:b/>
          <w:bCs/>
          <w:sz w:val="20"/>
          <w:szCs w:val="20"/>
        </w:rPr>
        <w:t xml:space="preserve"> TAG</w:t>
      </w:r>
      <w:r w:rsidRPr="00CC5CE5">
        <w:rPr>
          <w:rFonts w:ascii="Times New Roman" w:hAnsi="Times New Roman" w:cs="Times New Roman"/>
          <w:b/>
          <w:bCs/>
          <w:sz w:val="20"/>
          <w:szCs w:val="20"/>
        </w:rPr>
        <w:t xml:space="preserve">s. only one </w:t>
      </w:r>
      <w:r w:rsidRPr="00CC5CE5">
        <w:rPr>
          <w:rFonts w:ascii="Times New Roman" w:eastAsia="MS Mincho" w:hAnsi="Times New Roman" w:cs="Times New Roman"/>
          <w:b/>
          <w:bCs/>
          <w:sz w:val="20"/>
          <w:szCs w:val="20"/>
        </w:rPr>
        <w:t xml:space="preserve">n-TimingAdvanceOffset </w:t>
      </w:r>
      <w:r w:rsidRPr="00CC5CE5">
        <w:rPr>
          <w:rFonts w:ascii="Times New Roman" w:eastAsia="MS Mincho" w:hAnsi="Times New Roman" w:cs="Times New Roman"/>
          <w:b/>
          <w:bCs/>
          <w:sz w:val="20"/>
          <w:szCs w:val="20"/>
        </w:rPr>
        <w:t>is configured</w:t>
      </w:r>
      <w:r w:rsidRPr="00CC5CE5">
        <w:rPr>
          <w:rFonts w:ascii="Times New Roman" w:eastAsia="MS Mincho" w:hAnsi="Times New Roman" w:cs="Times New Roman"/>
          <w:b/>
          <w:bCs/>
          <w:sz w:val="20"/>
          <w:szCs w:val="20"/>
        </w:rPr>
        <w:t xml:space="preserve">, otherwise </w:t>
      </w:r>
      <w:r w:rsidRPr="00CC5CE5">
        <w:rPr>
          <w:rFonts w:ascii="Times New Roman" w:hAnsi="Times New Roman" w:cs="Times New Roman"/>
          <w:b/>
          <w:bCs/>
          <w:sz w:val="20"/>
          <w:szCs w:val="20"/>
        </w:rPr>
        <w:t xml:space="preserve">it is </w:t>
      </w:r>
      <m:oMath>
        <m:sSub>
          <m:sSubPr>
            <m:ctrlPr>
              <w:rPr>
                <w:rFonts w:ascii="Cambria Math" w:eastAsia="MS Mincho" w:hAnsi="Cambria Math" w:cs="Times New Roman"/>
                <w:b/>
                <w:bCs/>
                <w:i/>
                <w:sz w:val="20"/>
                <w:szCs w:val="20"/>
              </w:rPr>
            </m:ctrlPr>
          </m:sSubPr>
          <m:e>
            <m:r>
              <m:rPr>
                <m:sty m:val="bi"/>
              </m:rPr>
              <w:rPr>
                <w:rFonts w:ascii="Cambria Math" w:eastAsia="MS Mincho" w:hAnsi="Cambria Math" w:cs="Times New Roman"/>
                <w:sz w:val="20"/>
                <w:szCs w:val="20"/>
              </w:rPr>
              <m:t>N</m:t>
            </m:r>
          </m:e>
          <m:sub>
            <m:r>
              <m:rPr>
                <m:nor/>
              </m:rPr>
              <w:rPr>
                <w:rFonts w:ascii="Times New Roman" w:eastAsia="MS Mincho" w:hAnsi="Times New Roman" w:cs="Times New Roman"/>
                <w:b/>
                <w:bCs/>
                <w:sz w:val="20"/>
                <w:szCs w:val="20"/>
              </w:rPr>
              <m:t>TA offset</m:t>
            </m:r>
            <m:ctrlPr>
              <w:rPr>
                <w:rFonts w:ascii="Cambria Math" w:eastAsia="MS Mincho" w:hAnsi="Cambria Math" w:cs="Times New Roman"/>
                <w:b/>
                <w:bCs/>
                <w:sz w:val="20"/>
                <w:szCs w:val="20"/>
              </w:rPr>
            </m:ctrlPr>
          </m:sub>
        </m:sSub>
      </m:oMath>
      <w:r w:rsidRPr="00CC5CE5">
        <w:rPr>
          <w:rFonts w:ascii="Times New Roman" w:hAnsi="Times New Roman" w:cs="Times New Roman"/>
          <w:b/>
          <w:bCs/>
          <w:sz w:val="20"/>
          <w:szCs w:val="20"/>
          <w:vertAlign w:val="subscript"/>
        </w:rPr>
        <w:t xml:space="preserve"> </w:t>
      </w:r>
      <w:r w:rsidRPr="00CC5CE5">
        <w:rPr>
          <w:rFonts w:ascii="Times New Roman" w:hAnsi="Times New Roman" w:cs="Times New Roman"/>
          <w:b/>
          <w:bCs/>
          <w:sz w:val="20"/>
          <w:szCs w:val="20"/>
        </w:rPr>
        <w:t>defined in table 7.1.2-2.</w:t>
      </w:r>
    </w:p>
    <w:p w14:paraId="693BDDC4" w14:textId="77777777" w:rsidR="00FE0648" w:rsidRDefault="00FE0648" w:rsidP="00FE0648">
      <w:pPr>
        <w:spacing w:beforeLines="50" w:before="120" w:afterLines="50" w:after="120"/>
        <w:rPr>
          <w:b/>
          <w:bCs/>
        </w:rPr>
      </w:pPr>
    </w:p>
    <w:p w14:paraId="38B78737" w14:textId="77777777" w:rsidR="00FE0648" w:rsidRPr="008B2069" w:rsidRDefault="00FE0648" w:rsidP="00FE0648">
      <w:pPr>
        <w:spacing w:beforeLines="50" w:before="120" w:afterLines="50" w:after="120"/>
        <w:jc w:val="left"/>
        <w:rPr>
          <w:rFonts w:ascii="Times New Roman" w:eastAsia="宋体" w:hAnsi="Times New Roman" w:cs="Times New Roman"/>
          <w:color w:val="000000" w:themeColor="text1"/>
          <w:kern w:val="24"/>
          <w:sz w:val="20"/>
          <w:szCs w:val="20"/>
        </w:rPr>
      </w:pPr>
      <w:r w:rsidRPr="008B2069">
        <w:rPr>
          <w:rFonts w:ascii="Times New Roman" w:eastAsia="宋体" w:hAnsi="Times New Roman" w:cs="Times New Roman"/>
          <w:color w:val="000000" w:themeColor="text1"/>
          <w:kern w:val="24"/>
          <w:sz w:val="20"/>
          <w:szCs w:val="20"/>
        </w:rPr>
        <w:t>For the TCI state switching delay requitements</w:t>
      </w:r>
      <w:r>
        <w:rPr>
          <w:rFonts w:ascii="Times New Roman" w:eastAsia="宋体" w:hAnsi="Times New Roman" w:cs="Times New Roman"/>
          <w:color w:val="000000" w:themeColor="text1"/>
          <w:kern w:val="24"/>
          <w:sz w:val="20"/>
          <w:szCs w:val="20"/>
        </w:rPr>
        <w:t xml:space="preserve"> of Rel-19 asymmetric DL sTRP/UL mTRP scenarios, it is still open and the options are listed in [2] as below:</w:t>
      </w:r>
    </w:p>
    <w:tbl>
      <w:tblPr>
        <w:tblStyle w:val="a7"/>
        <w:tblW w:w="0" w:type="auto"/>
        <w:tblLook w:val="04A0" w:firstRow="1" w:lastRow="0" w:firstColumn="1" w:lastColumn="0" w:noHBand="0" w:noVBand="1"/>
      </w:tblPr>
      <w:tblGrid>
        <w:gridCol w:w="9629"/>
      </w:tblGrid>
      <w:tr w:rsidR="00FE0648" w14:paraId="564F1662" w14:textId="77777777" w:rsidTr="00E34891">
        <w:tc>
          <w:tcPr>
            <w:tcW w:w="9629" w:type="dxa"/>
          </w:tcPr>
          <w:p w14:paraId="120E9688" w14:textId="77777777" w:rsidR="00B34A5E" w:rsidRDefault="00B34A5E" w:rsidP="00B34A5E">
            <w:pPr>
              <w:rPr>
                <w:b/>
                <w:u w:val="single"/>
                <w:lang w:eastAsia="ko-KR"/>
              </w:rPr>
            </w:pPr>
            <w:r>
              <w:rPr>
                <w:b/>
                <w:u w:val="single"/>
                <w:lang w:eastAsia="ko-KR"/>
              </w:rPr>
              <w:t>Issue 4-2: Whether to define UL TCI state activation requirement based on SRS?</w:t>
            </w:r>
          </w:p>
          <w:p w14:paraId="54B1AB9B" w14:textId="77777777" w:rsidR="00B34A5E" w:rsidRPr="00152BA2" w:rsidRDefault="00B34A5E" w:rsidP="00B34A5E">
            <w:pPr>
              <w:rPr>
                <w:highlight w:val="yellow"/>
                <w:lang w:eastAsia="ko-KR"/>
              </w:rPr>
            </w:pPr>
            <w:r w:rsidRPr="00152BA2">
              <w:rPr>
                <w:lang w:eastAsia="ko-KR"/>
              </w:rPr>
              <w:t>Way forward:</w:t>
            </w:r>
          </w:p>
          <w:p w14:paraId="3F114F19" w14:textId="77777777" w:rsidR="00B34A5E" w:rsidRPr="00152BA2" w:rsidRDefault="00B34A5E" w:rsidP="00B34A5E">
            <w:pPr>
              <w:pStyle w:val="a8"/>
              <w:numPr>
                <w:ilvl w:val="0"/>
                <w:numId w:val="21"/>
              </w:numPr>
              <w:overflowPunct/>
              <w:autoSpaceDE/>
              <w:adjustRightInd/>
              <w:spacing w:after="120"/>
              <w:ind w:left="620" w:firstLineChars="0"/>
              <w:textAlignment w:val="auto"/>
              <w:rPr>
                <w:rFonts w:eastAsiaTheme="minorEastAsia"/>
                <w:lang w:eastAsia="zh-CN"/>
              </w:rPr>
            </w:pPr>
            <w:r w:rsidRPr="00152BA2">
              <w:t>Option 1: Not define requirement (Samsung, HW, vivo)</w:t>
            </w:r>
          </w:p>
          <w:p w14:paraId="16143A3E" w14:textId="77777777" w:rsidR="00B34A5E" w:rsidRPr="00152BA2" w:rsidRDefault="00B34A5E" w:rsidP="00B34A5E">
            <w:pPr>
              <w:pStyle w:val="a8"/>
              <w:numPr>
                <w:ilvl w:val="0"/>
                <w:numId w:val="21"/>
              </w:numPr>
              <w:overflowPunct/>
              <w:autoSpaceDE/>
              <w:adjustRightInd/>
              <w:spacing w:after="120"/>
              <w:ind w:left="620" w:firstLineChars="0"/>
              <w:textAlignment w:val="auto"/>
            </w:pPr>
            <w:r w:rsidRPr="00152BA2">
              <w:t>Option 2: RAN4 to define UL TCI state activation requirement based on SRS. (Xiaomi, Ericsson, Nokia)</w:t>
            </w:r>
          </w:p>
          <w:p w14:paraId="31564984" w14:textId="338CB123" w:rsidR="00FE0648" w:rsidRPr="00B34A5E" w:rsidRDefault="00B34A5E" w:rsidP="00B34A5E">
            <w:pPr>
              <w:pStyle w:val="a8"/>
              <w:numPr>
                <w:ilvl w:val="0"/>
                <w:numId w:val="21"/>
              </w:numPr>
              <w:overflowPunct/>
              <w:autoSpaceDE/>
              <w:adjustRightInd/>
              <w:spacing w:after="120"/>
              <w:ind w:left="620" w:firstLineChars="0"/>
              <w:textAlignment w:val="auto"/>
              <w:rPr>
                <w:rFonts w:hint="eastAsia"/>
              </w:rPr>
            </w:pPr>
            <w:r w:rsidRPr="00152BA2">
              <w:t>Option 3: Further discuss based on the feasibility of defining requirement and testing (QC, Apple, MTK)</w:t>
            </w:r>
          </w:p>
        </w:tc>
      </w:tr>
    </w:tbl>
    <w:p w14:paraId="7BF4CD15" w14:textId="72515153" w:rsidR="000F61D2" w:rsidRDefault="000F61D2" w:rsidP="00B34A5E">
      <w:pPr>
        <w:spacing w:beforeLines="50" w:before="120" w:afterLines="50" w:after="120"/>
        <w:rPr>
          <w:rFonts w:eastAsia="宋体"/>
          <w:b/>
          <w:bCs/>
          <w:color w:val="000000" w:themeColor="text1"/>
          <w:kern w:val="24"/>
        </w:rPr>
      </w:pPr>
    </w:p>
    <w:p w14:paraId="34A9C5AE" w14:textId="288B8C42" w:rsidR="002C1149" w:rsidRPr="002C1149" w:rsidRDefault="002C1149" w:rsidP="002C1149">
      <w:pPr>
        <w:spacing w:beforeLines="50" w:before="120" w:afterLines="50" w:after="120"/>
        <w:jc w:val="left"/>
        <w:rPr>
          <w:rFonts w:ascii="Times New Roman" w:eastAsia="宋体" w:hAnsi="Times New Roman" w:cs="Times New Roman" w:hint="eastAsia"/>
          <w:color w:val="000000" w:themeColor="text1"/>
          <w:kern w:val="24"/>
          <w:sz w:val="20"/>
          <w:szCs w:val="20"/>
        </w:rPr>
      </w:pPr>
      <w:r w:rsidRPr="002C1149">
        <w:rPr>
          <w:rFonts w:ascii="Times New Roman" w:eastAsia="宋体" w:hAnsi="Times New Roman" w:cs="Times New Roman"/>
          <w:color w:val="000000" w:themeColor="text1"/>
          <w:kern w:val="24"/>
          <w:sz w:val="20"/>
          <w:szCs w:val="20"/>
        </w:rPr>
        <w:t xml:space="preserve">In last meeting, </w:t>
      </w:r>
      <w:r>
        <w:rPr>
          <w:rFonts w:ascii="Times New Roman" w:eastAsia="宋体" w:hAnsi="Times New Roman" w:cs="Times New Roman"/>
          <w:color w:val="000000" w:themeColor="text1"/>
          <w:kern w:val="24"/>
          <w:sz w:val="20"/>
          <w:szCs w:val="20"/>
        </w:rPr>
        <w:t xml:space="preserve">we analyzed the UL TCI state switching based on SRS. Companies still want to check whether there is feasibility to define the requirements and the test. Let’s </w:t>
      </w:r>
      <w:r w:rsidR="002849F3" w:rsidRPr="002849F3">
        <w:rPr>
          <w:rFonts w:ascii="Times New Roman" w:eastAsia="宋体" w:hAnsi="Times New Roman" w:cs="Times New Roman"/>
          <w:color w:val="000000" w:themeColor="text1"/>
          <w:kern w:val="24"/>
          <w:sz w:val="20"/>
          <w:szCs w:val="20"/>
        </w:rPr>
        <w:t>emphasize</w:t>
      </w:r>
      <w:r w:rsidR="002849F3">
        <w:rPr>
          <w:rFonts w:ascii="Times New Roman" w:eastAsia="宋体" w:hAnsi="Times New Roman" w:cs="Times New Roman"/>
          <w:color w:val="000000" w:themeColor="text1"/>
          <w:kern w:val="24"/>
          <w:sz w:val="20"/>
          <w:szCs w:val="20"/>
        </w:rPr>
        <w:t xml:space="preserve"> our analysis again.</w:t>
      </w:r>
    </w:p>
    <w:p w14:paraId="232ADB89" w14:textId="051C9344" w:rsidR="000235EA" w:rsidRDefault="000235EA" w:rsidP="00FE064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hint="eastAsia"/>
          <w:color w:val="000000" w:themeColor="text1"/>
          <w:kern w:val="24"/>
          <w:sz w:val="20"/>
          <w:szCs w:val="20"/>
        </w:rPr>
        <w:t>F</w:t>
      </w:r>
      <w:r>
        <w:rPr>
          <w:rFonts w:ascii="Times New Roman" w:eastAsia="宋体" w:hAnsi="Times New Roman" w:cs="Times New Roman"/>
          <w:color w:val="000000" w:themeColor="text1"/>
          <w:kern w:val="24"/>
          <w:sz w:val="20"/>
          <w:szCs w:val="20"/>
        </w:rPr>
        <w:t>irstly, for FR2, it seems the common understanding</w:t>
      </w:r>
      <w:r w:rsidR="000F61D2">
        <w:rPr>
          <w:rFonts w:ascii="Times New Roman" w:eastAsia="宋体" w:hAnsi="Times New Roman" w:cs="Times New Roman"/>
          <w:color w:val="000000" w:themeColor="text1"/>
          <w:kern w:val="24"/>
          <w:sz w:val="20"/>
          <w:szCs w:val="20"/>
        </w:rPr>
        <w:t xml:space="preserve"> in group</w:t>
      </w:r>
      <w:r>
        <w:rPr>
          <w:rFonts w:ascii="Times New Roman" w:eastAsia="宋体" w:hAnsi="Times New Roman" w:cs="Times New Roman"/>
          <w:color w:val="000000" w:themeColor="text1"/>
          <w:kern w:val="24"/>
          <w:sz w:val="20"/>
          <w:szCs w:val="20"/>
        </w:rPr>
        <w:t xml:space="preserve"> is that the UL TCI state can be associated to SRS</w:t>
      </w:r>
      <w:r w:rsidR="000F61D2">
        <w:rPr>
          <w:rFonts w:ascii="Times New Roman" w:eastAsia="宋体" w:hAnsi="Times New Roman" w:cs="Times New Roman"/>
          <w:color w:val="000000" w:themeColor="text1"/>
          <w:kern w:val="24"/>
          <w:sz w:val="20"/>
          <w:szCs w:val="20"/>
        </w:rPr>
        <w:t xml:space="preserve"> only</w:t>
      </w:r>
      <w:r>
        <w:rPr>
          <w:rFonts w:ascii="Times New Roman" w:eastAsia="宋体" w:hAnsi="Times New Roman" w:cs="Times New Roman"/>
          <w:color w:val="000000" w:themeColor="text1"/>
          <w:kern w:val="24"/>
          <w:sz w:val="20"/>
          <w:szCs w:val="20"/>
        </w:rPr>
        <w:t xml:space="preserve">. </w:t>
      </w:r>
    </w:p>
    <w:p w14:paraId="7C3114FA" w14:textId="4F99A728" w:rsidR="000235EA" w:rsidRDefault="000235EA" w:rsidP="00FE064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color w:val="000000" w:themeColor="text1"/>
          <w:kern w:val="24"/>
          <w:sz w:val="20"/>
          <w:szCs w:val="20"/>
        </w:rPr>
        <w:t xml:space="preserve">According to RAN1 agreement, joint TCI states is not supported in FR2. Only separate TCI UL state can be supported in FR2. </w:t>
      </w:r>
    </w:p>
    <w:p w14:paraId="54AE9C8C" w14:textId="4B7A3443" w:rsidR="000235EA" w:rsidRDefault="000235EA" w:rsidP="00FE064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hint="eastAsia"/>
          <w:color w:val="000000" w:themeColor="text1"/>
          <w:kern w:val="24"/>
          <w:sz w:val="20"/>
          <w:szCs w:val="20"/>
        </w:rPr>
        <w:t>I</w:t>
      </w:r>
      <w:r>
        <w:rPr>
          <w:rFonts w:ascii="Times New Roman" w:eastAsia="宋体" w:hAnsi="Times New Roman" w:cs="Times New Roman"/>
          <w:color w:val="000000" w:themeColor="text1"/>
          <w:kern w:val="24"/>
          <w:sz w:val="20"/>
          <w:szCs w:val="20"/>
        </w:rPr>
        <w:t xml:space="preserve">f the </w:t>
      </w:r>
      <w:r w:rsidRPr="000235EA">
        <w:rPr>
          <w:rFonts w:ascii="Times New Roman" w:eastAsia="宋体" w:hAnsi="Times New Roman" w:cs="Times New Roman"/>
          <w:color w:val="000000" w:themeColor="text1"/>
          <w:kern w:val="24"/>
          <w:sz w:val="20"/>
          <w:szCs w:val="20"/>
        </w:rPr>
        <w:t>UL TCI state switching</w:t>
      </w:r>
      <w:r>
        <w:rPr>
          <w:rFonts w:ascii="Times New Roman" w:eastAsia="宋体" w:hAnsi="Times New Roman" w:cs="Times New Roman"/>
          <w:color w:val="000000" w:themeColor="text1"/>
          <w:kern w:val="24"/>
          <w:sz w:val="20"/>
          <w:szCs w:val="20"/>
        </w:rPr>
        <w:t xml:space="preserve"> requirements are needed to be defined for SRS source, let’s discuss what can be defined. </w:t>
      </w:r>
    </w:p>
    <w:p w14:paraId="0175761D" w14:textId="46762FB9" w:rsidR="000235EA" w:rsidRDefault="000235EA" w:rsidP="00FE064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color w:val="000000" w:themeColor="text1"/>
          <w:kern w:val="24"/>
          <w:sz w:val="20"/>
          <w:szCs w:val="20"/>
        </w:rPr>
        <w:t xml:space="preserve">If the target TCI state is associated with SRS, there is no time for measurement and UL beam refinement. In other word, if there is the delay, the delay is corresponding to the MAC-CE decoding time. </w:t>
      </w:r>
    </w:p>
    <w:p w14:paraId="3F11AE37" w14:textId="0B64BB82" w:rsidR="000235EA" w:rsidRDefault="000235EA" w:rsidP="00FE064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hint="eastAsia"/>
          <w:color w:val="000000" w:themeColor="text1"/>
          <w:kern w:val="24"/>
          <w:sz w:val="20"/>
          <w:szCs w:val="20"/>
        </w:rPr>
        <w:t>T</w:t>
      </w:r>
      <w:r>
        <w:rPr>
          <w:rFonts w:ascii="Times New Roman" w:eastAsia="宋体" w:hAnsi="Times New Roman" w:cs="Times New Roman"/>
          <w:color w:val="000000" w:themeColor="text1"/>
          <w:kern w:val="24"/>
          <w:sz w:val="20"/>
          <w:szCs w:val="20"/>
        </w:rPr>
        <w:t xml:space="preserve">he other thing is </w:t>
      </w:r>
      <w:r w:rsidR="004B7800">
        <w:rPr>
          <w:rFonts w:ascii="Times New Roman" w:eastAsia="宋体" w:hAnsi="Times New Roman" w:cs="Times New Roman"/>
          <w:color w:val="000000" w:themeColor="text1"/>
          <w:kern w:val="24"/>
          <w:sz w:val="20"/>
          <w:szCs w:val="20"/>
        </w:rPr>
        <w:t xml:space="preserve">the known condition. For uplink TCI state, the only thing is the spatial info of the beams. </w:t>
      </w:r>
    </w:p>
    <w:p w14:paraId="31A91EAA" w14:textId="77777777" w:rsidR="00B409A9" w:rsidRDefault="00FC4353" w:rsidP="00FE064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hint="eastAsia"/>
          <w:color w:val="000000" w:themeColor="text1"/>
          <w:kern w:val="24"/>
          <w:sz w:val="20"/>
          <w:szCs w:val="20"/>
        </w:rPr>
        <w:t>I</w:t>
      </w:r>
      <w:r>
        <w:rPr>
          <w:rFonts w:ascii="Times New Roman" w:eastAsia="宋体" w:hAnsi="Times New Roman" w:cs="Times New Roman"/>
          <w:color w:val="000000" w:themeColor="text1"/>
          <w:kern w:val="24"/>
          <w:sz w:val="20"/>
          <w:szCs w:val="20"/>
        </w:rPr>
        <w:t xml:space="preserve">n uplink TCI, there are two types of RS. One if </w:t>
      </w:r>
      <w:r w:rsidRPr="00FC4353">
        <w:rPr>
          <w:rFonts w:ascii="Times New Roman" w:eastAsia="宋体" w:hAnsi="Times New Roman" w:cs="Times New Roman"/>
          <w:color w:val="000000" w:themeColor="text1"/>
          <w:kern w:val="24"/>
          <w:sz w:val="20"/>
          <w:szCs w:val="20"/>
        </w:rPr>
        <w:t>referenceSignal which we called source RS (SRS in FR2 above)</w:t>
      </w:r>
      <w:r>
        <w:rPr>
          <w:rFonts w:ascii="Times New Roman" w:eastAsia="宋体" w:hAnsi="Times New Roman" w:cs="Times New Roman"/>
          <w:color w:val="000000" w:themeColor="text1"/>
          <w:kern w:val="24"/>
          <w:sz w:val="20"/>
          <w:szCs w:val="20"/>
        </w:rPr>
        <w:t xml:space="preserve">. The other is </w:t>
      </w:r>
      <w:r w:rsidRPr="00FC4353">
        <w:rPr>
          <w:rFonts w:ascii="Times New Roman" w:eastAsia="宋体" w:hAnsi="Times New Roman" w:cs="Times New Roman"/>
          <w:color w:val="000000" w:themeColor="text1"/>
          <w:kern w:val="24"/>
          <w:sz w:val="20"/>
          <w:szCs w:val="20"/>
        </w:rPr>
        <w:t>pathlossReferenceRS</w:t>
      </w:r>
      <w:r>
        <w:rPr>
          <w:rFonts w:ascii="Times New Roman" w:eastAsia="宋体" w:hAnsi="Times New Roman" w:cs="Times New Roman"/>
          <w:color w:val="000000" w:themeColor="text1"/>
          <w:kern w:val="24"/>
          <w:sz w:val="20"/>
          <w:szCs w:val="20"/>
        </w:rPr>
        <w:t>. In UL-TRP, the power control is using PL-RS offset + PL-RS in DL/UL TRP.</w:t>
      </w:r>
    </w:p>
    <w:p w14:paraId="327A189C" w14:textId="1C039F0E" w:rsidR="00FC4353" w:rsidRDefault="00B409A9" w:rsidP="00FE064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color w:val="000000" w:themeColor="text1"/>
          <w:kern w:val="24"/>
          <w:sz w:val="20"/>
          <w:szCs w:val="20"/>
        </w:rPr>
        <w:t xml:space="preserve">If the known condition of target TCI is defined, it can contain: known condition of source RS as SRS. known condition of PL-RS in another TRP and relationship with PL-RS offset. </w:t>
      </w:r>
    </w:p>
    <w:p w14:paraId="6FB9CEA3" w14:textId="664B20C9" w:rsidR="002849F3" w:rsidRDefault="00B409A9" w:rsidP="00FE064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color w:val="000000" w:themeColor="text1"/>
          <w:kern w:val="24"/>
          <w:sz w:val="20"/>
          <w:szCs w:val="20"/>
        </w:rPr>
        <w:t xml:space="preserve">In legacy Rel-17 feMIMO discussion, </w:t>
      </w:r>
      <w:r w:rsidR="002849F3">
        <w:rPr>
          <w:rFonts w:ascii="Times New Roman" w:eastAsia="宋体" w:hAnsi="Times New Roman" w:cs="Times New Roman"/>
          <w:color w:val="000000" w:themeColor="text1"/>
          <w:kern w:val="24"/>
          <w:sz w:val="20"/>
          <w:szCs w:val="20"/>
        </w:rPr>
        <w:t xml:space="preserve">the similar discussion on the known condition of source RS as SRS were discussed and finally, the conclusion is it is hard to define the known condition of SRS. </w:t>
      </w:r>
    </w:p>
    <w:p w14:paraId="51F98AB1" w14:textId="79C5ED5C" w:rsidR="00B409A9" w:rsidRDefault="002849F3" w:rsidP="002849F3">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hint="eastAsia"/>
          <w:color w:val="000000" w:themeColor="text1"/>
          <w:kern w:val="24"/>
          <w:sz w:val="20"/>
          <w:szCs w:val="20"/>
        </w:rPr>
        <w:t>C</w:t>
      </w:r>
      <w:r>
        <w:rPr>
          <w:rFonts w:ascii="Times New Roman" w:eastAsia="宋体" w:hAnsi="Times New Roman" w:cs="Times New Roman"/>
          <w:color w:val="000000" w:themeColor="text1"/>
          <w:kern w:val="24"/>
          <w:sz w:val="20"/>
          <w:szCs w:val="20"/>
        </w:rPr>
        <w:t xml:space="preserve">ompare the difference between Rel-17 feMIMO such discussion and current Rel-19 discussion, there is no difference. </w:t>
      </w:r>
      <w:r w:rsidR="00B409A9">
        <w:rPr>
          <w:rFonts w:ascii="Times New Roman" w:eastAsia="宋体" w:hAnsi="Times New Roman" w:cs="Times New Roman"/>
          <w:color w:val="000000" w:themeColor="text1"/>
          <w:kern w:val="24"/>
          <w:sz w:val="20"/>
          <w:szCs w:val="20"/>
        </w:rPr>
        <w:t>By our understanding, it is the reason that why current requirements “</w:t>
      </w:r>
      <w:r w:rsidR="00B409A9" w:rsidRPr="00B409A9">
        <w:rPr>
          <w:rFonts w:ascii="Times New Roman" w:eastAsia="宋体" w:hAnsi="Times New Roman" w:cs="Times New Roman"/>
          <w:color w:val="000000" w:themeColor="text1"/>
          <w:kern w:val="24"/>
          <w:sz w:val="20"/>
          <w:szCs w:val="20"/>
        </w:rPr>
        <w:t>There is no requirement when the UE is requested to switch to a TCI state with the higher layer parameter TCI-UL-State associated to SRS</w:t>
      </w:r>
      <w:r w:rsidR="00B409A9">
        <w:rPr>
          <w:rFonts w:ascii="Times New Roman" w:eastAsia="宋体" w:hAnsi="Times New Roman" w:cs="Times New Roman"/>
          <w:color w:val="000000" w:themeColor="text1"/>
          <w:kern w:val="24"/>
          <w:sz w:val="20"/>
          <w:szCs w:val="20"/>
        </w:rPr>
        <w:t>” and why we proposed to follow no requirements</w:t>
      </w:r>
      <w:r w:rsidR="007667D9">
        <w:rPr>
          <w:rFonts w:ascii="Times New Roman" w:eastAsia="宋体" w:hAnsi="Times New Roman" w:cs="Times New Roman"/>
          <w:color w:val="000000" w:themeColor="text1"/>
          <w:kern w:val="24"/>
          <w:sz w:val="20"/>
          <w:szCs w:val="20"/>
        </w:rPr>
        <w:t xml:space="preserve"> when </w:t>
      </w:r>
      <w:r w:rsidR="007667D9" w:rsidRPr="007667D9">
        <w:rPr>
          <w:rFonts w:ascii="Times New Roman" w:eastAsia="宋体" w:hAnsi="Times New Roman" w:cs="Times New Roman"/>
          <w:color w:val="000000" w:themeColor="text1"/>
          <w:kern w:val="24"/>
          <w:sz w:val="20"/>
          <w:szCs w:val="20"/>
        </w:rPr>
        <w:t>UE is requested to switch to a TCI state with the higher layer parameter TCI-UL-State associated to SRS</w:t>
      </w:r>
      <w:r w:rsidR="007667D9">
        <w:rPr>
          <w:rFonts w:ascii="Times New Roman" w:eastAsia="宋体" w:hAnsi="Times New Roman" w:cs="Times New Roman"/>
          <w:color w:val="000000" w:themeColor="text1"/>
          <w:kern w:val="24"/>
          <w:sz w:val="20"/>
          <w:szCs w:val="20"/>
        </w:rPr>
        <w:t xml:space="preserve"> in this asymmetric DL sTRP/UL mTRP scenarios.</w:t>
      </w:r>
    </w:p>
    <w:p w14:paraId="7507EA1E" w14:textId="79E58A99" w:rsidR="007667D9" w:rsidRDefault="007667D9" w:rsidP="00FE0648">
      <w:pPr>
        <w:spacing w:beforeLines="50" w:before="120" w:afterLines="50" w:after="120"/>
        <w:jc w:val="left"/>
        <w:rPr>
          <w:rFonts w:ascii="Times New Roman" w:hAnsi="Times New Roman" w:cs="Times New Roman"/>
          <w:b/>
          <w:bCs/>
          <w:sz w:val="20"/>
          <w:szCs w:val="20"/>
        </w:rPr>
      </w:pPr>
      <w:r w:rsidRPr="003F0333">
        <w:rPr>
          <w:rFonts w:ascii="Times New Roman" w:hAnsi="Times New Roman" w:cs="Times New Roman"/>
          <w:b/>
          <w:bCs/>
          <w:sz w:val="20"/>
          <w:szCs w:val="20"/>
        </w:rPr>
        <w:t>Propos</w:t>
      </w:r>
      <w:r w:rsidRPr="000F61D2">
        <w:rPr>
          <w:rFonts w:ascii="Times New Roman" w:hAnsi="Times New Roman" w:cs="Times New Roman"/>
          <w:b/>
          <w:bCs/>
          <w:sz w:val="20"/>
          <w:szCs w:val="20"/>
        </w:rPr>
        <w:t xml:space="preserve">al </w:t>
      </w:r>
      <w:r w:rsidR="002849F3">
        <w:rPr>
          <w:rFonts w:ascii="Times New Roman" w:hAnsi="Times New Roman" w:cs="Times New Roman"/>
          <w:b/>
          <w:bCs/>
          <w:sz w:val="20"/>
          <w:szCs w:val="20"/>
        </w:rPr>
        <w:t>4</w:t>
      </w:r>
      <w:r w:rsidRPr="000F61D2">
        <w:rPr>
          <w:rFonts w:ascii="Times New Roman" w:hAnsi="Times New Roman" w:cs="Times New Roman"/>
          <w:b/>
          <w:bCs/>
          <w:sz w:val="20"/>
          <w:szCs w:val="20"/>
        </w:rPr>
        <w:t>:</w:t>
      </w:r>
      <w:r>
        <w:rPr>
          <w:rFonts w:ascii="Times New Roman" w:hAnsi="Times New Roman" w:cs="Times New Roman"/>
          <w:b/>
          <w:bCs/>
          <w:sz w:val="20"/>
          <w:szCs w:val="20"/>
        </w:rPr>
        <w:t xml:space="preserve"> For FR2, no joint TCI state is supported. </w:t>
      </w:r>
      <w:r w:rsidRPr="007667D9">
        <w:rPr>
          <w:rFonts w:ascii="Times New Roman" w:hAnsi="Times New Roman" w:cs="Times New Roman"/>
          <w:b/>
          <w:bCs/>
          <w:sz w:val="20"/>
          <w:szCs w:val="20"/>
        </w:rPr>
        <w:t>Only separate TCI UL state can be supported</w:t>
      </w:r>
      <w:r>
        <w:rPr>
          <w:rFonts w:ascii="Times New Roman" w:hAnsi="Times New Roman" w:cs="Times New Roman"/>
          <w:b/>
          <w:bCs/>
          <w:sz w:val="20"/>
          <w:szCs w:val="20"/>
        </w:rPr>
        <w:t>. Only the UL TCI states can only be associated to SRS.</w:t>
      </w:r>
    </w:p>
    <w:p w14:paraId="4881EDF3" w14:textId="617DD68C" w:rsidR="007667D9" w:rsidRDefault="007667D9" w:rsidP="00FE0648">
      <w:pPr>
        <w:spacing w:beforeLines="50" w:before="120" w:afterLines="50" w:after="120"/>
        <w:jc w:val="left"/>
        <w:rPr>
          <w:rFonts w:ascii="Times New Roman" w:hAnsi="Times New Roman" w:cs="Times New Roman"/>
          <w:b/>
          <w:bCs/>
          <w:sz w:val="20"/>
          <w:szCs w:val="20"/>
        </w:rPr>
      </w:pPr>
      <w:r>
        <w:rPr>
          <w:rFonts w:ascii="Times New Roman" w:hAnsi="Times New Roman" w:cs="Times New Roman" w:hint="eastAsia"/>
          <w:b/>
          <w:bCs/>
          <w:sz w:val="20"/>
          <w:szCs w:val="20"/>
        </w:rPr>
        <w:t>O</w:t>
      </w:r>
      <w:r>
        <w:rPr>
          <w:rFonts w:ascii="Times New Roman" w:hAnsi="Times New Roman" w:cs="Times New Roman"/>
          <w:b/>
          <w:bCs/>
          <w:sz w:val="20"/>
          <w:szCs w:val="20"/>
        </w:rPr>
        <w:t>bservation</w:t>
      </w:r>
      <w:r w:rsidR="002849F3">
        <w:rPr>
          <w:rFonts w:ascii="Times New Roman" w:hAnsi="Times New Roman" w:cs="Times New Roman"/>
          <w:b/>
          <w:bCs/>
          <w:sz w:val="20"/>
          <w:szCs w:val="20"/>
        </w:rPr>
        <w:t xml:space="preserve"> 3</w:t>
      </w:r>
      <w:r>
        <w:rPr>
          <w:rFonts w:ascii="Times New Roman" w:hAnsi="Times New Roman" w:cs="Times New Roman"/>
          <w:b/>
          <w:bCs/>
          <w:sz w:val="20"/>
          <w:szCs w:val="20"/>
        </w:rPr>
        <w:t xml:space="preserve">: For UL TCI states switching delay </w:t>
      </w:r>
      <w:r>
        <w:rPr>
          <w:rFonts w:ascii="Times New Roman" w:hAnsi="Times New Roman" w:cs="Times New Roman" w:hint="eastAsia"/>
          <w:b/>
          <w:bCs/>
          <w:sz w:val="20"/>
          <w:szCs w:val="20"/>
        </w:rPr>
        <w:t>if</w:t>
      </w:r>
      <w:r>
        <w:rPr>
          <w:rFonts w:ascii="Times New Roman" w:hAnsi="Times New Roman" w:cs="Times New Roman"/>
          <w:b/>
          <w:bCs/>
          <w:sz w:val="20"/>
          <w:szCs w:val="20"/>
        </w:rPr>
        <w:t xml:space="preserve"> the UL TCI state is associated to SRS, no RAN4 requirement in Rel-17/Rel-18.</w:t>
      </w:r>
    </w:p>
    <w:p w14:paraId="1033807A" w14:textId="19052B15" w:rsidR="007667D9" w:rsidRDefault="00FE0648" w:rsidP="007667D9">
      <w:pPr>
        <w:spacing w:beforeLines="50" w:before="120" w:afterLines="50" w:after="120"/>
        <w:jc w:val="left"/>
        <w:rPr>
          <w:rFonts w:ascii="Times New Roman" w:hAnsi="Times New Roman" w:cs="Times New Roman"/>
          <w:b/>
          <w:bCs/>
          <w:sz w:val="20"/>
          <w:szCs w:val="20"/>
        </w:rPr>
      </w:pPr>
      <w:r>
        <w:rPr>
          <w:rFonts w:ascii="Times New Roman" w:hAnsi="Times New Roman" w:cs="Times New Roman" w:hint="eastAsia"/>
          <w:b/>
          <w:bCs/>
          <w:sz w:val="20"/>
          <w:szCs w:val="20"/>
        </w:rPr>
        <w:lastRenderedPageBreak/>
        <w:t>P</w:t>
      </w:r>
      <w:r>
        <w:rPr>
          <w:rFonts w:ascii="Times New Roman" w:hAnsi="Times New Roman" w:cs="Times New Roman"/>
          <w:b/>
          <w:bCs/>
          <w:sz w:val="20"/>
          <w:szCs w:val="20"/>
        </w:rPr>
        <w:t xml:space="preserve">roposal </w:t>
      </w:r>
      <w:r w:rsidR="002849F3">
        <w:rPr>
          <w:rFonts w:ascii="Times New Roman" w:hAnsi="Times New Roman" w:cs="Times New Roman"/>
          <w:b/>
          <w:bCs/>
          <w:sz w:val="20"/>
          <w:szCs w:val="20"/>
        </w:rPr>
        <w:t>5</w:t>
      </w:r>
      <w:r>
        <w:rPr>
          <w:rFonts w:ascii="Times New Roman" w:hAnsi="Times New Roman" w:cs="Times New Roman"/>
          <w:b/>
          <w:bCs/>
          <w:sz w:val="20"/>
          <w:szCs w:val="20"/>
        </w:rPr>
        <w:t xml:space="preserve">: </w:t>
      </w:r>
      <w:r w:rsidR="007667D9">
        <w:rPr>
          <w:rFonts w:ascii="Times New Roman" w:hAnsi="Times New Roman" w:cs="Times New Roman"/>
          <w:b/>
          <w:bCs/>
          <w:sz w:val="20"/>
          <w:szCs w:val="20"/>
        </w:rPr>
        <w:t xml:space="preserve">RAN4 to decide: </w:t>
      </w:r>
      <w:r w:rsidR="007667D9" w:rsidRPr="007667D9">
        <w:rPr>
          <w:rFonts w:ascii="Times New Roman" w:hAnsi="Times New Roman" w:cs="Times New Roman"/>
          <w:b/>
          <w:bCs/>
          <w:sz w:val="20"/>
          <w:szCs w:val="20"/>
        </w:rPr>
        <w:t xml:space="preserve">If </w:t>
      </w:r>
      <w:r w:rsidR="007667D9">
        <w:rPr>
          <w:rFonts w:ascii="Times New Roman" w:hAnsi="Times New Roman" w:cs="Times New Roman"/>
          <w:b/>
          <w:bCs/>
          <w:sz w:val="20"/>
          <w:szCs w:val="20"/>
        </w:rPr>
        <w:t>UL TCI states can only be associated to SRS</w:t>
      </w:r>
    </w:p>
    <w:p w14:paraId="780F63F0" w14:textId="7CE3EAA2" w:rsidR="007667D9" w:rsidRDefault="007667D9" w:rsidP="007667D9">
      <w:pPr>
        <w:pStyle w:val="a8"/>
        <w:numPr>
          <w:ilvl w:val="2"/>
          <w:numId w:val="4"/>
        </w:numPr>
        <w:spacing w:beforeLines="50" w:before="120" w:afterLines="50" w:after="120"/>
        <w:ind w:firstLineChars="0"/>
        <w:rPr>
          <w:rFonts w:eastAsiaTheme="minorEastAsia"/>
          <w:b/>
          <w:bCs/>
          <w:lang w:eastAsia="zh-CN"/>
        </w:rPr>
      </w:pPr>
      <w:r>
        <w:rPr>
          <w:rFonts w:eastAsiaTheme="minorEastAsia"/>
          <w:b/>
          <w:bCs/>
          <w:lang w:eastAsia="zh-CN"/>
        </w:rPr>
        <w:t xml:space="preserve">Alt1: Follow same principle in Rel-17 which is no </w:t>
      </w:r>
      <w:r w:rsidR="00F40CC0">
        <w:rPr>
          <w:rFonts w:eastAsiaTheme="minorEastAsia"/>
          <w:b/>
          <w:bCs/>
          <w:lang w:eastAsia="zh-CN"/>
        </w:rPr>
        <w:t>requirement</w:t>
      </w:r>
      <w:r>
        <w:rPr>
          <w:rFonts w:eastAsiaTheme="minorEastAsia"/>
          <w:b/>
          <w:bCs/>
          <w:lang w:eastAsia="zh-CN"/>
        </w:rPr>
        <w:t xml:space="preserve"> for UE is requested to a separate UL TCI state. </w:t>
      </w:r>
    </w:p>
    <w:p w14:paraId="209F8D7A" w14:textId="62FA6609" w:rsidR="002211DE" w:rsidRDefault="007667D9" w:rsidP="00D81106">
      <w:pPr>
        <w:pStyle w:val="a8"/>
        <w:numPr>
          <w:ilvl w:val="2"/>
          <w:numId w:val="4"/>
        </w:numPr>
        <w:spacing w:beforeLines="50" w:before="120" w:afterLines="50" w:after="120"/>
        <w:ind w:firstLineChars="0"/>
        <w:rPr>
          <w:rFonts w:eastAsiaTheme="minorEastAsia"/>
          <w:b/>
          <w:bCs/>
          <w:lang w:eastAsia="zh-CN"/>
        </w:rPr>
      </w:pPr>
      <w:r>
        <w:rPr>
          <w:rFonts w:eastAsiaTheme="minorEastAsia" w:hint="eastAsia"/>
          <w:b/>
          <w:bCs/>
          <w:lang w:eastAsia="zh-CN"/>
        </w:rPr>
        <w:t>A</w:t>
      </w:r>
      <w:r>
        <w:rPr>
          <w:rFonts w:eastAsiaTheme="minorEastAsia"/>
          <w:b/>
          <w:bCs/>
          <w:lang w:eastAsia="zh-CN"/>
        </w:rPr>
        <w:t xml:space="preserve">lt2: </w:t>
      </w:r>
      <w:r w:rsidR="00F40CC0">
        <w:rPr>
          <w:rFonts w:eastAsiaTheme="minorEastAsia"/>
          <w:b/>
          <w:bCs/>
          <w:lang w:eastAsia="zh-CN"/>
        </w:rPr>
        <w:t xml:space="preserve">The delay is MAC-CE processing time if define the known condition of target TCI state. </w:t>
      </w:r>
    </w:p>
    <w:p w14:paraId="54B9B6C6" w14:textId="5D73FD76" w:rsidR="002849F3" w:rsidRPr="00881228" w:rsidRDefault="00881228" w:rsidP="006C1FC5">
      <w:pPr>
        <w:spacing w:beforeLines="50" w:before="120" w:afterLines="50" w:after="120"/>
        <w:jc w:val="left"/>
        <w:rPr>
          <w:rFonts w:ascii="Times New Roman" w:hAnsi="Times New Roman" w:cs="Times New Roman"/>
          <w:b/>
          <w:bCs/>
          <w:sz w:val="20"/>
          <w:szCs w:val="20"/>
        </w:rPr>
      </w:pPr>
      <w:r>
        <w:rPr>
          <w:rFonts w:ascii="Times New Roman" w:hAnsi="Times New Roman" w:cs="Times New Roman" w:hint="eastAsia"/>
          <w:b/>
          <w:bCs/>
          <w:sz w:val="20"/>
          <w:szCs w:val="20"/>
        </w:rPr>
        <w:t>P</w:t>
      </w:r>
      <w:r>
        <w:rPr>
          <w:rFonts w:ascii="Times New Roman" w:hAnsi="Times New Roman" w:cs="Times New Roman"/>
          <w:b/>
          <w:bCs/>
          <w:sz w:val="20"/>
          <w:szCs w:val="20"/>
        </w:rPr>
        <w:t xml:space="preserve">roposal </w:t>
      </w:r>
      <w:r>
        <w:rPr>
          <w:rFonts w:ascii="Times New Roman" w:hAnsi="Times New Roman" w:cs="Times New Roman"/>
          <w:b/>
          <w:bCs/>
          <w:sz w:val="20"/>
          <w:szCs w:val="20"/>
        </w:rPr>
        <w:t>6</w:t>
      </w:r>
      <w:r>
        <w:rPr>
          <w:rFonts w:ascii="Times New Roman" w:hAnsi="Times New Roman" w:cs="Times New Roman"/>
          <w:b/>
          <w:bCs/>
          <w:sz w:val="20"/>
          <w:szCs w:val="20"/>
        </w:rPr>
        <w:t xml:space="preserve">: </w:t>
      </w:r>
      <w:r w:rsidRPr="00881228">
        <w:rPr>
          <w:rFonts w:ascii="Times New Roman" w:hAnsi="Times New Roman" w:cs="Times New Roman"/>
          <w:b/>
          <w:bCs/>
          <w:sz w:val="20"/>
          <w:szCs w:val="20"/>
        </w:rPr>
        <w:t>We prefer Alt in Proposal 5. Otherwise, it is a little strange of “</w:t>
      </w:r>
      <w:r w:rsidRPr="00881228">
        <w:rPr>
          <w:rFonts w:ascii="Times New Roman" w:hAnsi="Times New Roman" w:cs="Times New Roman"/>
          <w:b/>
          <w:bCs/>
          <w:sz w:val="20"/>
          <w:szCs w:val="20"/>
        </w:rPr>
        <w:t>There is no requirement when the UE is requested to switch to a TCI state with the higher layer parameter TCI-UL-State associated to SRS</w:t>
      </w:r>
      <w:r w:rsidRPr="00881228">
        <w:rPr>
          <w:rFonts w:ascii="Times New Roman" w:hAnsi="Times New Roman" w:cs="Times New Roman"/>
          <w:b/>
          <w:bCs/>
          <w:sz w:val="20"/>
          <w:szCs w:val="20"/>
        </w:rPr>
        <w:t>” in Rel-17 and new definition of Rel-19</w:t>
      </w:r>
      <w:r w:rsidRPr="00881228">
        <w:rPr>
          <w:rFonts w:ascii="Times New Roman" w:hAnsi="Times New Roman" w:cs="Times New Roman" w:hint="eastAsia"/>
          <w:b/>
          <w:bCs/>
          <w:sz w:val="20"/>
          <w:szCs w:val="20"/>
        </w:rPr>
        <w:t>,</w:t>
      </w:r>
      <w:r w:rsidRPr="00881228">
        <w:rPr>
          <w:rFonts w:ascii="Times New Roman" w:hAnsi="Times New Roman" w:cs="Times New Roman"/>
          <w:b/>
          <w:bCs/>
          <w:sz w:val="20"/>
          <w:szCs w:val="20"/>
        </w:rPr>
        <w:t xml:space="preserve"> although there is no difference for </w:t>
      </w:r>
      <w:r>
        <w:rPr>
          <w:rFonts w:ascii="Times New Roman" w:hAnsi="Times New Roman" w:cs="Times New Roman"/>
          <w:b/>
          <w:bCs/>
          <w:sz w:val="20"/>
          <w:szCs w:val="20"/>
        </w:rPr>
        <w:t>the same thing</w:t>
      </w:r>
      <w:r w:rsidRPr="00881228">
        <w:rPr>
          <w:rFonts w:ascii="Times New Roman" w:hAnsi="Times New Roman" w:cs="Times New Roman"/>
          <w:b/>
          <w:bCs/>
          <w:sz w:val="20"/>
          <w:szCs w:val="20"/>
        </w:rPr>
        <w:t xml:space="preserve">. </w:t>
      </w:r>
    </w:p>
    <w:tbl>
      <w:tblPr>
        <w:tblStyle w:val="a7"/>
        <w:tblW w:w="0" w:type="auto"/>
        <w:tblLook w:val="04A0" w:firstRow="1" w:lastRow="0" w:firstColumn="1" w:lastColumn="0" w:noHBand="0" w:noVBand="1"/>
      </w:tblPr>
      <w:tblGrid>
        <w:gridCol w:w="9629"/>
      </w:tblGrid>
      <w:tr w:rsidR="00627E6C" w14:paraId="0DA0A4F1" w14:textId="77777777" w:rsidTr="00627E6C">
        <w:tc>
          <w:tcPr>
            <w:tcW w:w="9629" w:type="dxa"/>
          </w:tcPr>
          <w:p w14:paraId="66E4622D" w14:textId="77777777" w:rsidR="00627E6C" w:rsidRDefault="00627E6C" w:rsidP="00627E6C">
            <w:pPr>
              <w:rPr>
                <w:b/>
                <w:u w:val="single"/>
                <w:lang w:eastAsia="ko-KR"/>
              </w:rPr>
            </w:pPr>
            <w:r>
              <w:rPr>
                <w:b/>
                <w:u w:val="single"/>
                <w:lang w:eastAsia="ko-KR"/>
              </w:rPr>
              <w:t>Issue 4-3: RRM core impacts of active uplink TCI state switching delay for unified TCI?</w:t>
            </w:r>
          </w:p>
          <w:p w14:paraId="62975421" w14:textId="77777777" w:rsidR="00627E6C" w:rsidRDefault="00627E6C" w:rsidP="00627E6C">
            <w:pPr>
              <w:spacing w:after="120"/>
            </w:pPr>
            <w:r>
              <w:t>Way forward:</w:t>
            </w:r>
          </w:p>
          <w:p w14:paraId="62835286" w14:textId="77777777" w:rsidR="00627E6C" w:rsidRDefault="00627E6C" w:rsidP="00627E6C">
            <w:pPr>
              <w:pStyle w:val="a8"/>
              <w:numPr>
                <w:ilvl w:val="0"/>
                <w:numId w:val="21"/>
              </w:numPr>
              <w:overflowPunct/>
              <w:autoSpaceDE/>
              <w:adjustRightInd/>
              <w:spacing w:after="120"/>
              <w:ind w:left="620" w:firstLineChars="0"/>
              <w:textAlignment w:val="auto"/>
              <w:rPr>
                <w:rFonts w:eastAsia="宋体"/>
                <w:lang w:eastAsia="zh-CN"/>
              </w:rPr>
            </w:pPr>
            <w:r w:rsidRPr="004D2914">
              <w:rPr>
                <w:rFonts w:eastAsia="宋体"/>
                <w:lang w:eastAsia="zh-CN"/>
              </w:rPr>
              <w:t>Option 1: No RRM impacts on UL TCI state switching delay requirement for unified TCI states.</w:t>
            </w:r>
          </w:p>
          <w:p w14:paraId="6301C508" w14:textId="77777777" w:rsidR="00627E6C" w:rsidRPr="004D2914" w:rsidRDefault="00627E6C" w:rsidP="00627E6C">
            <w:pPr>
              <w:pStyle w:val="a8"/>
              <w:numPr>
                <w:ilvl w:val="0"/>
                <w:numId w:val="21"/>
              </w:numPr>
              <w:overflowPunct/>
              <w:autoSpaceDE/>
              <w:adjustRightInd/>
              <w:spacing w:after="120"/>
              <w:ind w:left="620" w:firstLineChars="0"/>
              <w:textAlignment w:val="auto"/>
              <w:rPr>
                <w:rFonts w:eastAsia="宋体"/>
                <w:lang w:eastAsia="zh-CN"/>
              </w:rPr>
            </w:pPr>
            <w:r>
              <w:rPr>
                <w:rFonts w:eastAsia="宋体"/>
                <w:lang w:eastAsia="zh-CN"/>
              </w:rPr>
              <w:t>Option 2:</w:t>
            </w:r>
            <w:r w:rsidRPr="004D2914">
              <w:rPr>
                <w:szCs w:val="24"/>
                <w:lang w:eastAsia="zh-CN"/>
              </w:rPr>
              <w:t xml:space="preserve"> </w:t>
            </w:r>
            <w:r>
              <w:rPr>
                <w:szCs w:val="24"/>
                <w:lang w:eastAsia="zh-CN"/>
              </w:rPr>
              <w:t>RAN4 to specify UL TCI state switching requirements.</w:t>
            </w:r>
          </w:p>
          <w:p w14:paraId="1A60C635" w14:textId="5E5DC902" w:rsidR="00627E6C" w:rsidRPr="00627E6C" w:rsidRDefault="00627E6C" w:rsidP="00627E6C">
            <w:pPr>
              <w:pStyle w:val="a8"/>
              <w:numPr>
                <w:ilvl w:val="0"/>
                <w:numId w:val="21"/>
              </w:numPr>
              <w:overflowPunct/>
              <w:autoSpaceDE/>
              <w:adjustRightInd/>
              <w:spacing w:after="120"/>
              <w:ind w:left="620" w:firstLineChars="0"/>
              <w:textAlignment w:val="auto"/>
              <w:rPr>
                <w:rFonts w:eastAsia="宋体" w:hint="eastAsia"/>
                <w:lang w:eastAsia="zh-CN"/>
              </w:rPr>
            </w:pPr>
            <w:r>
              <w:rPr>
                <w:szCs w:val="24"/>
                <w:lang w:eastAsia="zh-CN"/>
              </w:rPr>
              <w:t>Option 3: FFS.</w:t>
            </w:r>
          </w:p>
        </w:tc>
      </w:tr>
    </w:tbl>
    <w:p w14:paraId="3B2957BD" w14:textId="7B4B0683" w:rsidR="006C1FC5" w:rsidRDefault="00627E6C" w:rsidP="00627E6C">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color w:val="000000" w:themeColor="text1"/>
          <w:kern w:val="24"/>
          <w:sz w:val="20"/>
          <w:szCs w:val="20"/>
        </w:rPr>
        <w:t>When we can achieve the agreement for Issue 4-2, the only open part in Issue 4-3 is</w:t>
      </w:r>
      <w:r w:rsidR="006C1FC5">
        <w:rPr>
          <w:rFonts w:ascii="Times New Roman" w:eastAsia="宋体" w:hAnsi="Times New Roman" w:cs="Times New Roman"/>
          <w:color w:val="000000" w:themeColor="text1"/>
          <w:kern w:val="24"/>
          <w:sz w:val="20"/>
          <w:szCs w:val="20"/>
        </w:rPr>
        <w:t xml:space="preserve"> </w:t>
      </w:r>
      <w:r w:rsidR="002026EA">
        <w:rPr>
          <w:rFonts w:ascii="Times New Roman" w:eastAsia="宋体" w:hAnsi="Times New Roman" w:cs="Times New Roman"/>
          <w:color w:val="000000" w:themeColor="text1"/>
          <w:kern w:val="24"/>
          <w:sz w:val="20"/>
          <w:szCs w:val="20"/>
        </w:rPr>
        <w:t xml:space="preserve">how to handle joint TCI state switching </w:t>
      </w:r>
      <w:r w:rsidR="006C1FC5">
        <w:rPr>
          <w:rFonts w:ascii="Times New Roman" w:eastAsia="宋体" w:hAnsi="Times New Roman" w:cs="Times New Roman"/>
          <w:color w:val="000000" w:themeColor="text1"/>
          <w:kern w:val="24"/>
          <w:sz w:val="20"/>
          <w:szCs w:val="20"/>
        </w:rPr>
        <w:t xml:space="preserve">FR1. </w:t>
      </w:r>
    </w:p>
    <w:p w14:paraId="5D239B25" w14:textId="385FB199" w:rsidR="00357060" w:rsidRDefault="00357060" w:rsidP="006C1FC5">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hint="eastAsia"/>
          <w:color w:val="000000" w:themeColor="text1"/>
          <w:kern w:val="24"/>
          <w:sz w:val="20"/>
          <w:szCs w:val="20"/>
        </w:rPr>
        <w:t>I</w:t>
      </w:r>
      <w:r>
        <w:rPr>
          <w:rFonts w:ascii="Times New Roman" w:eastAsia="宋体" w:hAnsi="Times New Roman" w:cs="Times New Roman"/>
          <w:color w:val="000000" w:themeColor="text1"/>
          <w:kern w:val="24"/>
          <w:sz w:val="20"/>
          <w:szCs w:val="20"/>
        </w:rPr>
        <w:t>f it is joint TCI in FR1,</w:t>
      </w:r>
      <w:r w:rsidR="00662F63">
        <w:rPr>
          <w:rFonts w:ascii="Times New Roman" w:eastAsia="宋体" w:hAnsi="Times New Roman" w:cs="Times New Roman"/>
          <w:color w:val="000000" w:themeColor="text1"/>
          <w:kern w:val="24"/>
          <w:sz w:val="20"/>
          <w:szCs w:val="20"/>
        </w:rPr>
        <w:t xml:space="preserve"> no matter one joint TCI or two joint TCIs, when joint TCI#1 is changed to joint TCI#2, the source RS is only applicable for DL reception which the source RS can be the DL RS which is only from DL/UL-TRP. And the PL-RS is only available from DL/UL-TRP, UE is indicated by PL-offset and perform UL transmission on UL-TRP.</w:t>
      </w:r>
    </w:p>
    <w:p w14:paraId="718A66B9" w14:textId="4DDFD06F" w:rsidR="00662F63" w:rsidRDefault="00662F63" w:rsidP="006C1FC5">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hint="eastAsia"/>
          <w:color w:val="000000" w:themeColor="text1"/>
          <w:kern w:val="24"/>
          <w:sz w:val="20"/>
          <w:szCs w:val="20"/>
        </w:rPr>
        <w:t>I</w:t>
      </w:r>
      <w:r>
        <w:rPr>
          <w:rFonts w:ascii="Times New Roman" w:eastAsia="宋体" w:hAnsi="Times New Roman" w:cs="Times New Roman"/>
          <w:color w:val="000000" w:themeColor="text1"/>
          <w:kern w:val="24"/>
          <w:sz w:val="20"/>
          <w:szCs w:val="20"/>
        </w:rPr>
        <w:t xml:space="preserve">f joint TCI is switching in FR1 mentioned above, there is no difference from legacy, the joint TCI state switching is the same as legacy. </w:t>
      </w:r>
    </w:p>
    <w:p w14:paraId="7A3409C9" w14:textId="4C560C67" w:rsidR="00472CA0" w:rsidRDefault="00662F63" w:rsidP="006C1FC5">
      <w:pPr>
        <w:spacing w:beforeLines="50" w:before="120" w:afterLines="50" w:after="120"/>
        <w:jc w:val="left"/>
        <w:rPr>
          <w:rFonts w:ascii="Times New Roman" w:hAnsi="Times New Roman" w:cs="Times New Roman"/>
          <w:b/>
          <w:bCs/>
          <w:sz w:val="20"/>
          <w:szCs w:val="20"/>
        </w:rPr>
      </w:pPr>
      <w:r>
        <w:rPr>
          <w:rFonts w:ascii="Times New Roman" w:hAnsi="Times New Roman" w:cs="Times New Roman" w:hint="eastAsia"/>
          <w:b/>
          <w:bCs/>
          <w:sz w:val="20"/>
          <w:szCs w:val="20"/>
        </w:rPr>
        <w:t>P</w:t>
      </w:r>
      <w:r>
        <w:rPr>
          <w:rFonts w:ascii="Times New Roman" w:hAnsi="Times New Roman" w:cs="Times New Roman"/>
          <w:b/>
          <w:bCs/>
          <w:sz w:val="20"/>
          <w:szCs w:val="20"/>
        </w:rPr>
        <w:t>roposal 7:</w:t>
      </w:r>
      <w:r w:rsidRPr="00662F63">
        <w:rPr>
          <w:rFonts w:ascii="Times New Roman" w:hAnsi="Times New Roman" w:cs="Times New Roman" w:hint="eastAsia"/>
          <w:b/>
          <w:bCs/>
          <w:sz w:val="20"/>
          <w:szCs w:val="20"/>
        </w:rPr>
        <w:t xml:space="preserve"> </w:t>
      </w:r>
      <w:r w:rsidR="00472CA0" w:rsidRPr="00472CA0">
        <w:rPr>
          <w:rFonts w:ascii="Times New Roman" w:hAnsi="Times New Roman" w:cs="Times New Roman"/>
          <w:b/>
          <w:bCs/>
          <w:sz w:val="20"/>
          <w:szCs w:val="20"/>
        </w:rPr>
        <w:t>RRM core impacts of active uplink TCI state switching delay for unified TCI</w:t>
      </w:r>
    </w:p>
    <w:p w14:paraId="12CF7618" w14:textId="724EB88A" w:rsidR="00662F63" w:rsidRDefault="00472CA0" w:rsidP="003D7F57">
      <w:pPr>
        <w:pStyle w:val="a8"/>
        <w:numPr>
          <w:ilvl w:val="2"/>
          <w:numId w:val="4"/>
        </w:numPr>
        <w:spacing w:beforeLines="50" w:before="120" w:afterLines="50" w:after="120"/>
        <w:ind w:firstLineChars="0"/>
        <w:rPr>
          <w:b/>
          <w:bCs/>
        </w:rPr>
      </w:pPr>
      <w:r w:rsidRPr="00472CA0">
        <w:rPr>
          <w:rFonts w:eastAsiaTheme="minorEastAsia" w:hint="eastAsia"/>
          <w:b/>
          <w:bCs/>
          <w:lang w:eastAsia="zh-CN"/>
        </w:rPr>
        <w:t>FR</w:t>
      </w:r>
      <w:r w:rsidRPr="00472CA0">
        <w:rPr>
          <w:rFonts w:eastAsiaTheme="minorEastAsia"/>
          <w:b/>
          <w:bCs/>
          <w:lang w:eastAsia="zh-CN"/>
        </w:rPr>
        <w:t>1</w:t>
      </w:r>
      <w:r w:rsidRPr="00472CA0">
        <w:rPr>
          <w:rFonts w:eastAsiaTheme="minorEastAsia" w:hint="eastAsia"/>
          <w:b/>
          <w:bCs/>
          <w:lang w:eastAsia="zh-CN"/>
        </w:rPr>
        <w:t>:</w:t>
      </w:r>
      <w:r>
        <w:rPr>
          <w:rFonts w:eastAsiaTheme="minorEastAsia"/>
          <w:b/>
          <w:bCs/>
          <w:lang w:eastAsia="zh-CN"/>
        </w:rPr>
        <w:t xml:space="preserve"> </w:t>
      </w:r>
      <w:r w:rsidR="00662F63" w:rsidRPr="00472CA0">
        <w:rPr>
          <w:rFonts w:hint="eastAsia"/>
          <w:b/>
          <w:bCs/>
        </w:rPr>
        <w:t>I</w:t>
      </w:r>
      <w:r w:rsidR="00662F63" w:rsidRPr="00472CA0">
        <w:rPr>
          <w:b/>
          <w:bCs/>
        </w:rPr>
        <w:t>f joint TCI is switching in FR1 mentioned above, there is no difference from legacy, the joint TCI state switching is the same as legacy.</w:t>
      </w:r>
      <w:r w:rsidR="00627E6C" w:rsidRPr="00472CA0">
        <w:rPr>
          <w:b/>
          <w:bCs/>
        </w:rPr>
        <w:t xml:space="preserve"> </w:t>
      </w:r>
      <w:r>
        <w:rPr>
          <w:b/>
          <w:bCs/>
        </w:rPr>
        <w:t>No RRM impacts.</w:t>
      </w:r>
    </w:p>
    <w:p w14:paraId="510A82BD" w14:textId="2E1D9260" w:rsidR="00472CA0" w:rsidRPr="00472CA0" w:rsidRDefault="00472CA0" w:rsidP="003D7F57">
      <w:pPr>
        <w:pStyle w:val="a8"/>
        <w:numPr>
          <w:ilvl w:val="2"/>
          <w:numId w:val="4"/>
        </w:numPr>
        <w:spacing w:beforeLines="50" w:before="120" w:afterLines="50" w:after="120"/>
        <w:ind w:firstLineChars="0"/>
        <w:rPr>
          <w:b/>
          <w:bCs/>
        </w:rPr>
      </w:pPr>
      <w:r>
        <w:rPr>
          <w:rFonts w:eastAsiaTheme="minorEastAsia"/>
          <w:b/>
          <w:bCs/>
          <w:lang w:eastAsia="zh-CN"/>
        </w:rPr>
        <w:t>FR2:</w:t>
      </w:r>
      <w:r>
        <w:rPr>
          <w:b/>
          <w:bCs/>
        </w:rPr>
        <w:t xml:space="preserve"> depends on the conclusion of whether to specify the UL TCI state switching delay base on SRS. </w:t>
      </w: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56691A99" w14:textId="5889CEE2" w:rsidR="006E0535" w:rsidRPr="006E0535" w:rsidRDefault="006E0535" w:rsidP="006E0535">
      <w:pPr>
        <w:spacing w:beforeLines="50" w:before="120" w:afterLines="50" w:after="120"/>
        <w:jc w:val="left"/>
        <w:rPr>
          <w:rFonts w:ascii="Times New Roman" w:eastAsia="宋体" w:hAnsi="Times New Roman" w:cs="Times New Roman"/>
          <w:sz w:val="20"/>
          <w:szCs w:val="20"/>
        </w:rPr>
      </w:pPr>
      <w:r w:rsidRPr="006E0535">
        <w:rPr>
          <w:rFonts w:ascii="Times New Roman" w:eastAsia="宋体" w:hAnsi="Times New Roman" w:cs="Times New Roman"/>
          <w:sz w:val="20"/>
          <w:szCs w:val="20"/>
        </w:rPr>
        <w:t xml:space="preserve">In this contribution, we provide our proposals for RRM requirements for </w:t>
      </w:r>
      <w:r w:rsidR="009B2A76">
        <w:rPr>
          <w:rFonts w:ascii="Times New Roman" w:eastAsia="宋体" w:hAnsi="Times New Roman" w:cs="Times New Roman"/>
          <w:sz w:val="20"/>
          <w:szCs w:val="20"/>
        </w:rPr>
        <w:t>for “CJTC reporting” and “asymmetric DL sTRP/UL mTRP scenarios”</w:t>
      </w:r>
      <w:r w:rsidRPr="006E0535">
        <w:rPr>
          <w:rFonts w:ascii="Times New Roman" w:eastAsia="宋体" w:hAnsi="Times New Roman" w:cs="Times New Roman"/>
          <w:sz w:val="20"/>
          <w:szCs w:val="20"/>
        </w:rPr>
        <w:t xml:space="preserve"> in Rel-19 MIMO phase 5:</w:t>
      </w:r>
    </w:p>
    <w:p w14:paraId="509412FD" w14:textId="77777777" w:rsidR="00407C27" w:rsidRPr="00441232" w:rsidRDefault="00407C27" w:rsidP="00407C27">
      <w:pPr>
        <w:spacing w:beforeLines="50" w:before="120" w:afterLines="50" w:after="120"/>
        <w:jc w:val="left"/>
        <w:rPr>
          <w:rFonts w:ascii="Times New Roman" w:hAnsi="Times New Roman" w:cs="Times New Roman"/>
          <w:b/>
          <w:bCs/>
          <w:sz w:val="20"/>
          <w:szCs w:val="20"/>
        </w:rPr>
      </w:pPr>
      <w:r w:rsidRPr="00441232">
        <w:rPr>
          <w:rFonts w:ascii="Times New Roman" w:hAnsi="Times New Roman" w:cs="Times New Roman"/>
          <w:b/>
          <w:bCs/>
          <w:sz w:val="20"/>
          <w:szCs w:val="20"/>
        </w:rPr>
        <w:t xml:space="preserve">Observation 1: If SNR = -3dB, one shot measurement is not valid. </w:t>
      </w:r>
    </w:p>
    <w:p w14:paraId="5BA956F7" w14:textId="77777777" w:rsidR="00407C27" w:rsidRPr="00441232" w:rsidRDefault="00407C27" w:rsidP="00407C27">
      <w:pPr>
        <w:spacing w:beforeLines="50" w:before="120" w:afterLines="50" w:after="120"/>
        <w:jc w:val="left"/>
        <w:rPr>
          <w:rFonts w:ascii="Times New Roman" w:hAnsi="Times New Roman" w:cs="Times New Roman"/>
          <w:b/>
          <w:bCs/>
          <w:sz w:val="20"/>
          <w:szCs w:val="20"/>
        </w:rPr>
      </w:pPr>
      <w:r w:rsidRPr="00441232">
        <w:rPr>
          <w:rFonts w:ascii="Times New Roman" w:hAnsi="Times New Roman" w:cs="Times New Roman"/>
          <w:b/>
          <w:bCs/>
          <w:sz w:val="20"/>
          <w:szCs w:val="20"/>
        </w:rPr>
        <w:t>Observation 2: If SNR = 3dB, one shot measurement is enough for frequency offset</w:t>
      </w:r>
      <w:r>
        <w:rPr>
          <w:rFonts w:ascii="Times New Roman" w:hAnsi="Times New Roman" w:cs="Times New Roman"/>
          <w:b/>
          <w:bCs/>
          <w:sz w:val="20"/>
          <w:szCs w:val="20"/>
        </w:rPr>
        <w:t xml:space="preserve"> reporting</w:t>
      </w:r>
      <w:r w:rsidRPr="00441232">
        <w:rPr>
          <w:rFonts w:ascii="Times New Roman" w:hAnsi="Times New Roman" w:cs="Times New Roman"/>
          <w:b/>
          <w:bCs/>
          <w:sz w:val="20"/>
          <w:szCs w:val="20"/>
        </w:rPr>
        <w:t>.</w:t>
      </w:r>
    </w:p>
    <w:p w14:paraId="1024494B" w14:textId="77777777" w:rsidR="00407C27" w:rsidRDefault="00407C27" w:rsidP="00407C27">
      <w:pPr>
        <w:spacing w:beforeLines="50" w:before="120" w:afterLines="50" w:after="120"/>
        <w:jc w:val="left"/>
        <w:rPr>
          <w:rFonts w:ascii="Times New Roman" w:hAnsi="Times New Roman" w:cs="Times New Roman"/>
          <w:b/>
          <w:bCs/>
          <w:sz w:val="20"/>
          <w:szCs w:val="20"/>
        </w:rPr>
      </w:pPr>
      <w:r w:rsidRPr="00BF27EF">
        <w:rPr>
          <w:rFonts w:ascii="Times New Roman" w:hAnsi="Times New Roman" w:cs="Times New Roman"/>
          <w:b/>
          <w:bCs/>
          <w:sz w:val="20"/>
          <w:szCs w:val="20"/>
        </w:rPr>
        <w:t xml:space="preserve">Proposal 1: RAN4 to check whether use SNR 3dB to verify one shot measurement is accurate for frequency offset reporting in most cases. </w:t>
      </w:r>
    </w:p>
    <w:p w14:paraId="363FF2FF" w14:textId="77777777" w:rsidR="00407C27" w:rsidRPr="00DC2ACE" w:rsidRDefault="00407C27" w:rsidP="00407C27">
      <w:pPr>
        <w:spacing w:beforeLines="50" w:before="120" w:afterLines="50" w:after="120"/>
        <w:jc w:val="left"/>
        <w:rPr>
          <w:rFonts w:ascii="Times New Roman" w:hAnsi="Times New Roman" w:cs="Times New Roman"/>
          <w:b/>
          <w:bCs/>
          <w:sz w:val="20"/>
          <w:szCs w:val="20"/>
        </w:rPr>
      </w:pPr>
      <w:r w:rsidRPr="00DC2ACE">
        <w:rPr>
          <w:rFonts w:ascii="Times New Roman" w:hAnsi="Times New Roman" w:cs="Times New Roman"/>
          <w:b/>
          <w:bCs/>
          <w:sz w:val="20"/>
          <w:szCs w:val="20"/>
        </w:rPr>
        <w:t xml:space="preserve">Proposal 2: Use simulation results by CDF curves of </w:t>
      </w:r>
      <m:oMath>
        <m:r>
          <m:rPr>
            <m:sty m:val="bi"/>
          </m:rPr>
          <w:rPr>
            <w:rFonts w:ascii="Cambria Math" w:hAnsi="Cambria Math" w:cs="Times New Roman"/>
            <w:sz w:val="20"/>
            <w:szCs w:val="20"/>
          </w:rPr>
          <m:t>∆f</m:t>
        </m:r>
      </m:oMath>
      <w:r w:rsidRPr="00DC2ACE">
        <w:rPr>
          <w:rFonts w:ascii="Times New Roman" w:hAnsi="Times New Roman" w:cs="Times New Roman"/>
          <w:b/>
          <w:bCs/>
          <w:sz w:val="20"/>
          <w:szCs w:val="20"/>
        </w:rPr>
        <w:t xml:space="preserve"> and </w:t>
      </w:r>
      <m:oMath>
        <m:r>
          <m:rPr>
            <m:sty m:val="bi"/>
          </m:rPr>
          <w:rPr>
            <w:rFonts w:ascii="Cambria Math" w:hAnsi="Cambria Math" w:cs="Times New Roman"/>
            <w:sz w:val="20"/>
            <w:szCs w:val="20"/>
          </w:rPr>
          <m:t>∆t</m:t>
        </m:r>
      </m:oMath>
      <w:r w:rsidRPr="00DC2ACE">
        <w:rPr>
          <w:rFonts w:ascii="Times New Roman" w:hAnsi="Times New Roman" w:cs="Times New Roman"/>
          <w:b/>
          <w:bCs/>
          <w:sz w:val="20"/>
          <w:szCs w:val="20"/>
        </w:rPr>
        <w:t xml:space="preserve"> for the estimated frequency offset reporting and delay offset reporting.</w:t>
      </w:r>
    </w:p>
    <w:p w14:paraId="08355F58" w14:textId="77777777" w:rsidR="00FD3B6C" w:rsidRPr="00CC5CE5" w:rsidRDefault="00FD3B6C" w:rsidP="00FD3B6C">
      <w:pPr>
        <w:spacing w:beforeLines="50" w:before="120" w:afterLines="50" w:after="120"/>
        <w:jc w:val="left"/>
        <w:rPr>
          <w:rFonts w:ascii="Times New Roman" w:eastAsia="宋体" w:hAnsi="Times New Roman" w:cs="Times New Roman"/>
          <w:b/>
          <w:bCs/>
          <w:color w:val="000000" w:themeColor="text1"/>
          <w:kern w:val="24"/>
          <w:sz w:val="20"/>
          <w:szCs w:val="20"/>
        </w:rPr>
      </w:pPr>
      <w:r w:rsidRPr="00CC5CE5">
        <w:rPr>
          <w:rFonts w:ascii="Times New Roman" w:hAnsi="Times New Roman" w:cs="Times New Roman"/>
          <w:b/>
          <w:bCs/>
          <w:sz w:val="20"/>
          <w:szCs w:val="20"/>
        </w:rPr>
        <w:t>Proposal 3:</w:t>
      </w:r>
      <w:r w:rsidRPr="00CC5CE5">
        <w:rPr>
          <w:rFonts w:ascii="Times New Roman" w:eastAsia="宋体" w:hAnsi="Times New Roman" w:cs="Times New Roman"/>
          <w:b/>
          <w:bCs/>
          <w:color w:val="000000" w:themeColor="text1"/>
          <w:kern w:val="24"/>
          <w:sz w:val="20"/>
          <w:szCs w:val="20"/>
        </w:rPr>
        <w:t xml:space="preserve"> In Rel-19 asymmetric DL sTRP/UL mTRP with two TAs, if UE is configured with PL offset in joint/UL TCI states, </w:t>
      </w:r>
      <w:r w:rsidRPr="00CC5CE5">
        <w:rPr>
          <w:rFonts w:ascii="Times New Roman" w:hAnsi="Times New Roman" w:cs="Times New Roman"/>
          <w:b/>
          <w:bCs/>
          <w:sz w:val="20"/>
          <w:szCs w:val="20"/>
        </w:rPr>
        <w:t xml:space="preserve">for both TAGs, the uplink transmission timing takes place </w:t>
      </w:r>
      <m:oMath>
        <m:r>
          <m:rPr>
            <m:sty m:val="bi"/>
          </m:rPr>
          <w:rPr>
            <w:rFonts w:ascii="Cambria Math" w:hAnsi="Cambria Math" w:cs="Times New Roman"/>
            <w:sz w:val="20"/>
            <w:szCs w:val="20"/>
          </w:rPr>
          <m:t>(</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N</m:t>
            </m:r>
          </m:e>
          <m:sub>
            <m:r>
              <m:rPr>
                <m:nor/>
              </m:rPr>
              <w:rPr>
                <w:rFonts w:ascii="Times New Roman" w:hAnsi="Times New Roman" w:cs="Times New Roman"/>
                <w:b/>
                <w:bCs/>
                <w:sz w:val="20"/>
                <w:szCs w:val="20"/>
              </w:rPr>
              <m:t>TA</m:t>
            </m:r>
            <m:ctrlPr>
              <w:rPr>
                <w:rFonts w:ascii="Cambria Math" w:hAnsi="Cambria Math" w:cs="Times New Roman"/>
                <w:b/>
                <w:bCs/>
                <w:sz w:val="20"/>
                <w:szCs w:val="20"/>
              </w:rPr>
            </m:ctrlPr>
          </m:sub>
        </m:sSub>
        <m:r>
          <m:rPr>
            <m:sty m:val="bi"/>
          </m:rPr>
          <w:rPr>
            <w:rFonts w:ascii="Cambria Math" w:hAnsi="Cambria Math" w:cs="Times New Roman"/>
            <w:sz w:val="20"/>
            <w:szCs w:val="20"/>
          </w:rPr>
          <m:t>+</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N</m:t>
            </m:r>
          </m:e>
          <m:sub>
            <m:r>
              <m:rPr>
                <m:nor/>
              </m:rPr>
              <w:rPr>
                <w:rFonts w:ascii="Times New Roman" w:hAnsi="Times New Roman" w:cs="Times New Roman"/>
                <w:b/>
                <w:bCs/>
                <w:sz w:val="20"/>
                <w:szCs w:val="20"/>
              </w:rPr>
              <m:t>TA offset</m:t>
            </m:r>
            <m:ctrlPr>
              <w:rPr>
                <w:rFonts w:ascii="Cambria Math" w:hAnsi="Cambria Math" w:cs="Times New Roman"/>
                <w:b/>
                <w:bCs/>
                <w:sz w:val="20"/>
                <w:szCs w:val="20"/>
              </w:rPr>
            </m:ctrlPr>
          </m:sub>
        </m:sSub>
        <m:r>
          <m:rPr>
            <m:sty m:val="bi"/>
          </m:rPr>
          <w:rPr>
            <w:rFonts w:ascii="Cambria Math" w:hAnsi="Cambria Math" w:cs="Times New Roman"/>
            <w:sz w:val="20"/>
            <w:szCs w:val="20"/>
          </w:rPr>
          <m:t>)×</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rPr>
              <m:t>c</m:t>
            </m:r>
          </m:sub>
        </m:sSub>
      </m:oMath>
      <w:r w:rsidRPr="00CC5CE5">
        <w:rPr>
          <w:rFonts w:ascii="Times New Roman" w:hAnsi="Times New Roman" w:cs="Times New Roman"/>
          <w:b/>
          <w:bCs/>
          <w:sz w:val="20"/>
          <w:szCs w:val="20"/>
        </w:rPr>
        <w:t xml:space="preserve"> before the reception of the downlink reference point. The reference point for PUCCH/PUSCH/SRS, is the first detected path (in time) of one of the corresponding downlink reference signal(s) of the reference cell associated with one of the </w:t>
      </w:r>
      <w:r w:rsidRPr="00CC5CE5">
        <w:rPr>
          <w:rFonts w:ascii="Times New Roman" w:hAnsi="Times New Roman" w:cs="Times New Roman"/>
          <w:b/>
          <w:bCs/>
          <w:i/>
          <w:iCs/>
          <w:color w:val="000000"/>
          <w:sz w:val="20"/>
          <w:szCs w:val="20"/>
        </w:rPr>
        <w:t>DLorJointTCIState</w:t>
      </w:r>
      <w:r w:rsidRPr="00CC5CE5">
        <w:rPr>
          <w:rFonts w:ascii="Times New Roman" w:hAnsi="Times New Roman" w:cs="Times New Roman"/>
          <w:b/>
          <w:bCs/>
          <w:color w:val="000000"/>
          <w:sz w:val="20"/>
          <w:szCs w:val="20"/>
        </w:rPr>
        <w:t>.</w:t>
      </w:r>
    </w:p>
    <w:p w14:paraId="0297682C" w14:textId="77777777" w:rsidR="00FD3B6C" w:rsidRPr="00CC5CE5" w:rsidRDefault="00FD3B6C" w:rsidP="00FD3B6C">
      <w:pPr>
        <w:rPr>
          <w:rFonts w:ascii="Times New Roman" w:hAnsi="Times New Roman" w:cs="Times New Roman"/>
          <w:b/>
          <w:bCs/>
          <w:sz w:val="20"/>
          <w:szCs w:val="20"/>
        </w:rPr>
      </w:pPr>
      <w:r w:rsidRPr="00CC5CE5">
        <w:rPr>
          <w:rFonts w:ascii="Times New Roman" w:hAnsi="Times New Roman" w:cs="Times New Roman"/>
          <w:b/>
          <w:bCs/>
          <w:color w:val="000000"/>
          <w:sz w:val="20"/>
          <w:szCs w:val="20"/>
        </w:rPr>
        <w:t xml:space="preserve">Where </w:t>
      </w:r>
      <m:oMath>
        <m:sSub>
          <m:sSubPr>
            <m:ctrlPr>
              <w:rPr>
                <w:rFonts w:ascii="Cambria Math" w:hAnsi="Cambria Math" w:cs="Times New Roman"/>
                <w:b/>
                <w:bCs/>
                <w:i/>
                <w:sz w:val="20"/>
                <w:szCs w:val="20"/>
              </w:rPr>
            </m:ctrlPr>
          </m:sSubPr>
          <m:e>
            <m:r>
              <m:rPr>
                <m:sty m:val="bi"/>
              </m:rPr>
              <w:rPr>
                <w:rFonts w:ascii="Cambria Math" w:hAnsi="Cambria Math" w:cs="Times New Roman"/>
                <w:sz w:val="20"/>
                <w:szCs w:val="20"/>
              </w:rPr>
              <m:t>N</m:t>
            </m:r>
          </m:e>
          <m:sub>
            <m:r>
              <m:rPr>
                <m:nor/>
              </m:rPr>
              <w:rPr>
                <w:rFonts w:ascii="Times New Roman" w:hAnsi="Times New Roman" w:cs="Times New Roman"/>
                <w:b/>
                <w:bCs/>
                <w:sz w:val="20"/>
                <w:szCs w:val="20"/>
              </w:rPr>
              <m:t>TA</m:t>
            </m:r>
            <m:ctrlPr>
              <w:rPr>
                <w:rFonts w:ascii="Cambria Math" w:hAnsi="Cambria Math" w:cs="Times New Roman"/>
                <w:b/>
                <w:bCs/>
                <w:sz w:val="20"/>
                <w:szCs w:val="20"/>
              </w:rPr>
            </m:ctrlPr>
          </m:sub>
        </m:sSub>
      </m:oMath>
      <w:r w:rsidRPr="00CC5CE5">
        <w:rPr>
          <w:rFonts w:ascii="Times New Roman" w:hAnsi="Times New Roman" w:cs="Times New Roman"/>
          <w:b/>
          <w:bCs/>
          <w:sz w:val="20"/>
          <w:szCs w:val="20"/>
        </w:rPr>
        <w:t xml:space="preserve"> and </w:t>
      </w:r>
      <m:oMath>
        <m:sSub>
          <m:sSubPr>
            <m:ctrlPr>
              <w:rPr>
                <w:rFonts w:ascii="Cambria Math" w:hAnsi="Cambria Math" w:cs="Times New Roman"/>
                <w:b/>
                <w:bCs/>
                <w:i/>
                <w:sz w:val="20"/>
                <w:szCs w:val="20"/>
              </w:rPr>
            </m:ctrlPr>
          </m:sSubPr>
          <m:e>
            <m:r>
              <m:rPr>
                <m:sty m:val="bi"/>
              </m:rPr>
              <w:rPr>
                <w:rFonts w:ascii="Cambria Math" w:hAnsi="Cambria Math" w:cs="Times New Roman"/>
                <w:sz w:val="20"/>
                <w:szCs w:val="20"/>
              </w:rPr>
              <m:t>N</m:t>
            </m:r>
          </m:e>
          <m:sub>
            <m:r>
              <m:rPr>
                <m:nor/>
              </m:rPr>
              <w:rPr>
                <w:rFonts w:ascii="Times New Roman" w:hAnsi="Times New Roman" w:cs="Times New Roman"/>
                <w:b/>
                <w:bCs/>
                <w:sz w:val="20"/>
                <w:szCs w:val="20"/>
              </w:rPr>
              <m:t>TA offset</m:t>
            </m:r>
            <m:ctrlPr>
              <w:rPr>
                <w:rFonts w:ascii="Cambria Math" w:hAnsi="Cambria Math" w:cs="Times New Roman"/>
                <w:b/>
                <w:bCs/>
                <w:sz w:val="20"/>
                <w:szCs w:val="20"/>
              </w:rPr>
            </m:ctrlPr>
          </m:sub>
        </m:sSub>
      </m:oMath>
      <w:r w:rsidRPr="00CC5CE5">
        <w:rPr>
          <w:rFonts w:ascii="Times New Roman" w:hAnsi="Times New Roman" w:cs="Times New Roman"/>
          <w:b/>
          <w:bCs/>
          <w:sz w:val="20"/>
          <w:szCs w:val="20"/>
        </w:rPr>
        <w:t xml:space="preserve"> are commanded by the network independently for both TAGs. only one </w:t>
      </w:r>
      <w:r w:rsidRPr="00CC5CE5">
        <w:rPr>
          <w:rFonts w:ascii="Times New Roman" w:eastAsia="MS Mincho" w:hAnsi="Times New Roman" w:cs="Times New Roman"/>
          <w:b/>
          <w:bCs/>
          <w:sz w:val="20"/>
          <w:szCs w:val="20"/>
        </w:rPr>
        <w:t xml:space="preserve">n-TimingAdvanceOffset is configured, otherwise </w:t>
      </w:r>
      <w:r w:rsidRPr="00CC5CE5">
        <w:rPr>
          <w:rFonts w:ascii="Times New Roman" w:hAnsi="Times New Roman" w:cs="Times New Roman"/>
          <w:b/>
          <w:bCs/>
          <w:sz w:val="20"/>
          <w:szCs w:val="20"/>
        </w:rPr>
        <w:t xml:space="preserve">it is </w:t>
      </w:r>
      <m:oMath>
        <m:sSub>
          <m:sSubPr>
            <m:ctrlPr>
              <w:rPr>
                <w:rFonts w:ascii="Cambria Math" w:eastAsia="MS Mincho" w:hAnsi="Cambria Math" w:cs="Times New Roman"/>
                <w:b/>
                <w:bCs/>
                <w:i/>
                <w:sz w:val="20"/>
                <w:szCs w:val="20"/>
              </w:rPr>
            </m:ctrlPr>
          </m:sSubPr>
          <m:e>
            <m:r>
              <m:rPr>
                <m:sty m:val="bi"/>
              </m:rPr>
              <w:rPr>
                <w:rFonts w:ascii="Cambria Math" w:eastAsia="MS Mincho" w:hAnsi="Cambria Math" w:cs="Times New Roman"/>
                <w:sz w:val="20"/>
                <w:szCs w:val="20"/>
              </w:rPr>
              <m:t>N</m:t>
            </m:r>
          </m:e>
          <m:sub>
            <m:r>
              <m:rPr>
                <m:nor/>
              </m:rPr>
              <w:rPr>
                <w:rFonts w:ascii="Times New Roman" w:eastAsia="MS Mincho" w:hAnsi="Times New Roman" w:cs="Times New Roman"/>
                <w:b/>
                <w:bCs/>
                <w:sz w:val="20"/>
                <w:szCs w:val="20"/>
              </w:rPr>
              <m:t>TA offset</m:t>
            </m:r>
            <m:ctrlPr>
              <w:rPr>
                <w:rFonts w:ascii="Cambria Math" w:eastAsia="MS Mincho" w:hAnsi="Cambria Math" w:cs="Times New Roman"/>
                <w:b/>
                <w:bCs/>
                <w:sz w:val="20"/>
                <w:szCs w:val="20"/>
              </w:rPr>
            </m:ctrlPr>
          </m:sub>
        </m:sSub>
      </m:oMath>
      <w:r w:rsidRPr="00CC5CE5">
        <w:rPr>
          <w:rFonts w:ascii="Times New Roman" w:hAnsi="Times New Roman" w:cs="Times New Roman"/>
          <w:b/>
          <w:bCs/>
          <w:sz w:val="20"/>
          <w:szCs w:val="20"/>
          <w:vertAlign w:val="subscript"/>
        </w:rPr>
        <w:t xml:space="preserve"> </w:t>
      </w:r>
      <w:r w:rsidRPr="00CC5CE5">
        <w:rPr>
          <w:rFonts w:ascii="Times New Roman" w:hAnsi="Times New Roman" w:cs="Times New Roman"/>
          <w:b/>
          <w:bCs/>
          <w:sz w:val="20"/>
          <w:szCs w:val="20"/>
        </w:rPr>
        <w:t>defined in table 7.1.2-2.</w:t>
      </w:r>
    </w:p>
    <w:p w14:paraId="1E79813B" w14:textId="77777777" w:rsidR="00881228" w:rsidRDefault="00881228" w:rsidP="00881228">
      <w:pPr>
        <w:spacing w:beforeLines="50" w:before="120" w:afterLines="50" w:after="120"/>
        <w:jc w:val="left"/>
        <w:rPr>
          <w:rFonts w:ascii="Times New Roman" w:hAnsi="Times New Roman" w:cs="Times New Roman"/>
          <w:b/>
          <w:bCs/>
          <w:sz w:val="20"/>
          <w:szCs w:val="20"/>
        </w:rPr>
      </w:pPr>
      <w:r w:rsidRPr="003F0333">
        <w:rPr>
          <w:rFonts w:ascii="Times New Roman" w:hAnsi="Times New Roman" w:cs="Times New Roman"/>
          <w:b/>
          <w:bCs/>
          <w:sz w:val="20"/>
          <w:szCs w:val="20"/>
        </w:rPr>
        <w:t>Propos</w:t>
      </w:r>
      <w:r w:rsidRPr="000F61D2">
        <w:rPr>
          <w:rFonts w:ascii="Times New Roman" w:hAnsi="Times New Roman" w:cs="Times New Roman"/>
          <w:b/>
          <w:bCs/>
          <w:sz w:val="20"/>
          <w:szCs w:val="20"/>
        </w:rPr>
        <w:t xml:space="preserve">al </w:t>
      </w:r>
      <w:r>
        <w:rPr>
          <w:rFonts w:ascii="Times New Roman" w:hAnsi="Times New Roman" w:cs="Times New Roman"/>
          <w:b/>
          <w:bCs/>
          <w:sz w:val="20"/>
          <w:szCs w:val="20"/>
        </w:rPr>
        <w:t>4</w:t>
      </w:r>
      <w:r w:rsidRPr="000F61D2">
        <w:rPr>
          <w:rFonts w:ascii="Times New Roman" w:hAnsi="Times New Roman" w:cs="Times New Roman"/>
          <w:b/>
          <w:bCs/>
          <w:sz w:val="20"/>
          <w:szCs w:val="20"/>
        </w:rPr>
        <w:t>:</w:t>
      </w:r>
      <w:r>
        <w:rPr>
          <w:rFonts w:ascii="Times New Roman" w:hAnsi="Times New Roman" w:cs="Times New Roman"/>
          <w:b/>
          <w:bCs/>
          <w:sz w:val="20"/>
          <w:szCs w:val="20"/>
        </w:rPr>
        <w:t xml:space="preserve"> For FR2, no joint TCI state is supported. </w:t>
      </w:r>
      <w:r w:rsidRPr="007667D9">
        <w:rPr>
          <w:rFonts w:ascii="Times New Roman" w:hAnsi="Times New Roman" w:cs="Times New Roman"/>
          <w:b/>
          <w:bCs/>
          <w:sz w:val="20"/>
          <w:szCs w:val="20"/>
        </w:rPr>
        <w:t>Only separate TCI UL state can be supported</w:t>
      </w:r>
      <w:r>
        <w:rPr>
          <w:rFonts w:ascii="Times New Roman" w:hAnsi="Times New Roman" w:cs="Times New Roman"/>
          <w:b/>
          <w:bCs/>
          <w:sz w:val="20"/>
          <w:szCs w:val="20"/>
        </w:rPr>
        <w:t>. Only the UL TCI states can only be associated to SRS.</w:t>
      </w:r>
    </w:p>
    <w:p w14:paraId="365F83F9" w14:textId="77777777" w:rsidR="00881228" w:rsidRDefault="00881228" w:rsidP="00881228">
      <w:pPr>
        <w:spacing w:beforeLines="50" w:before="120" w:afterLines="50" w:after="120"/>
        <w:jc w:val="left"/>
        <w:rPr>
          <w:rFonts w:ascii="Times New Roman" w:hAnsi="Times New Roman" w:cs="Times New Roman"/>
          <w:b/>
          <w:bCs/>
          <w:sz w:val="20"/>
          <w:szCs w:val="20"/>
        </w:rPr>
      </w:pPr>
      <w:r>
        <w:rPr>
          <w:rFonts w:ascii="Times New Roman" w:hAnsi="Times New Roman" w:cs="Times New Roman" w:hint="eastAsia"/>
          <w:b/>
          <w:bCs/>
          <w:sz w:val="20"/>
          <w:szCs w:val="20"/>
        </w:rPr>
        <w:t>O</w:t>
      </w:r>
      <w:r>
        <w:rPr>
          <w:rFonts w:ascii="Times New Roman" w:hAnsi="Times New Roman" w:cs="Times New Roman"/>
          <w:b/>
          <w:bCs/>
          <w:sz w:val="20"/>
          <w:szCs w:val="20"/>
        </w:rPr>
        <w:t xml:space="preserve">bservation 3: For UL TCI states switching delay </w:t>
      </w:r>
      <w:r>
        <w:rPr>
          <w:rFonts w:ascii="Times New Roman" w:hAnsi="Times New Roman" w:cs="Times New Roman" w:hint="eastAsia"/>
          <w:b/>
          <w:bCs/>
          <w:sz w:val="20"/>
          <w:szCs w:val="20"/>
        </w:rPr>
        <w:t>if</w:t>
      </w:r>
      <w:r>
        <w:rPr>
          <w:rFonts w:ascii="Times New Roman" w:hAnsi="Times New Roman" w:cs="Times New Roman"/>
          <w:b/>
          <w:bCs/>
          <w:sz w:val="20"/>
          <w:szCs w:val="20"/>
        </w:rPr>
        <w:t xml:space="preserve"> the UL TCI state is associated to SRS, no RAN4 requirement in Rel-17/Rel-18.</w:t>
      </w:r>
    </w:p>
    <w:p w14:paraId="0956A6E3" w14:textId="77777777" w:rsidR="00881228" w:rsidRDefault="00881228" w:rsidP="00881228">
      <w:pPr>
        <w:spacing w:beforeLines="50" w:before="120" w:afterLines="50" w:after="120"/>
        <w:jc w:val="left"/>
        <w:rPr>
          <w:rFonts w:ascii="Times New Roman" w:hAnsi="Times New Roman" w:cs="Times New Roman"/>
          <w:b/>
          <w:bCs/>
          <w:sz w:val="20"/>
          <w:szCs w:val="20"/>
        </w:rPr>
      </w:pPr>
      <w:r>
        <w:rPr>
          <w:rFonts w:ascii="Times New Roman" w:hAnsi="Times New Roman" w:cs="Times New Roman" w:hint="eastAsia"/>
          <w:b/>
          <w:bCs/>
          <w:sz w:val="20"/>
          <w:szCs w:val="20"/>
        </w:rPr>
        <w:lastRenderedPageBreak/>
        <w:t>P</w:t>
      </w:r>
      <w:r>
        <w:rPr>
          <w:rFonts w:ascii="Times New Roman" w:hAnsi="Times New Roman" w:cs="Times New Roman"/>
          <w:b/>
          <w:bCs/>
          <w:sz w:val="20"/>
          <w:szCs w:val="20"/>
        </w:rPr>
        <w:t xml:space="preserve">roposal 5: RAN4 to decide: </w:t>
      </w:r>
      <w:r w:rsidRPr="007667D9">
        <w:rPr>
          <w:rFonts w:ascii="Times New Roman" w:hAnsi="Times New Roman" w:cs="Times New Roman"/>
          <w:b/>
          <w:bCs/>
          <w:sz w:val="20"/>
          <w:szCs w:val="20"/>
        </w:rPr>
        <w:t xml:space="preserve">If </w:t>
      </w:r>
      <w:r>
        <w:rPr>
          <w:rFonts w:ascii="Times New Roman" w:hAnsi="Times New Roman" w:cs="Times New Roman"/>
          <w:b/>
          <w:bCs/>
          <w:sz w:val="20"/>
          <w:szCs w:val="20"/>
        </w:rPr>
        <w:t>UL TCI states can only be associated to SRS</w:t>
      </w:r>
    </w:p>
    <w:p w14:paraId="5C4D0FE8" w14:textId="77777777" w:rsidR="00881228" w:rsidRDefault="00881228" w:rsidP="00881228">
      <w:pPr>
        <w:pStyle w:val="a8"/>
        <w:numPr>
          <w:ilvl w:val="2"/>
          <w:numId w:val="4"/>
        </w:numPr>
        <w:spacing w:beforeLines="50" w:before="120" w:afterLines="50" w:after="120"/>
        <w:ind w:firstLineChars="0"/>
        <w:rPr>
          <w:rFonts w:eastAsiaTheme="minorEastAsia"/>
          <w:b/>
          <w:bCs/>
          <w:lang w:eastAsia="zh-CN"/>
        </w:rPr>
      </w:pPr>
      <w:r>
        <w:rPr>
          <w:rFonts w:eastAsiaTheme="minorEastAsia"/>
          <w:b/>
          <w:bCs/>
          <w:lang w:eastAsia="zh-CN"/>
        </w:rPr>
        <w:t xml:space="preserve">Alt1: Follow same principle in Rel-17 which is no requirement for UE is requested to a separate UL TCI state. </w:t>
      </w:r>
    </w:p>
    <w:p w14:paraId="13680F06" w14:textId="77777777" w:rsidR="00881228" w:rsidRDefault="00881228" w:rsidP="00881228">
      <w:pPr>
        <w:pStyle w:val="a8"/>
        <w:numPr>
          <w:ilvl w:val="2"/>
          <w:numId w:val="4"/>
        </w:numPr>
        <w:spacing w:beforeLines="50" w:before="120" w:afterLines="50" w:after="120"/>
        <w:ind w:firstLineChars="0"/>
        <w:rPr>
          <w:rFonts w:eastAsiaTheme="minorEastAsia"/>
          <w:b/>
          <w:bCs/>
          <w:lang w:eastAsia="zh-CN"/>
        </w:rPr>
      </w:pPr>
      <w:r>
        <w:rPr>
          <w:rFonts w:eastAsiaTheme="minorEastAsia" w:hint="eastAsia"/>
          <w:b/>
          <w:bCs/>
          <w:lang w:eastAsia="zh-CN"/>
        </w:rPr>
        <w:t>A</w:t>
      </w:r>
      <w:r>
        <w:rPr>
          <w:rFonts w:eastAsiaTheme="minorEastAsia"/>
          <w:b/>
          <w:bCs/>
          <w:lang w:eastAsia="zh-CN"/>
        </w:rPr>
        <w:t xml:space="preserve">lt2: The delay is MAC-CE processing time if define the known condition of target TCI state. </w:t>
      </w:r>
    </w:p>
    <w:p w14:paraId="1A15278F" w14:textId="77777777" w:rsidR="00881228" w:rsidRPr="00881228" w:rsidRDefault="00881228" w:rsidP="00881228">
      <w:pPr>
        <w:spacing w:beforeLines="50" w:before="120" w:afterLines="50" w:after="120"/>
        <w:jc w:val="left"/>
        <w:rPr>
          <w:rFonts w:ascii="Times New Roman" w:hAnsi="Times New Roman" w:cs="Times New Roman"/>
          <w:b/>
          <w:bCs/>
          <w:sz w:val="20"/>
          <w:szCs w:val="20"/>
        </w:rPr>
      </w:pPr>
      <w:r>
        <w:rPr>
          <w:rFonts w:ascii="Times New Roman" w:hAnsi="Times New Roman" w:cs="Times New Roman" w:hint="eastAsia"/>
          <w:b/>
          <w:bCs/>
          <w:sz w:val="20"/>
          <w:szCs w:val="20"/>
        </w:rPr>
        <w:t>P</w:t>
      </w:r>
      <w:r>
        <w:rPr>
          <w:rFonts w:ascii="Times New Roman" w:hAnsi="Times New Roman" w:cs="Times New Roman"/>
          <w:b/>
          <w:bCs/>
          <w:sz w:val="20"/>
          <w:szCs w:val="20"/>
        </w:rPr>
        <w:t xml:space="preserve">roposal 6: </w:t>
      </w:r>
      <w:r w:rsidRPr="00881228">
        <w:rPr>
          <w:rFonts w:ascii="Times New Roman" w:hAnsi="Times New Roman" w:cs="Times New Roman"/>
          <w:b/>
          <w:bCs/>
          <w:sz w:val="20"/>
          <w:szCs w:val="20"/>
        </w:rPr>
        <w:t>We prefer Alt in Proposal 5. Otherwise, it is a little strange of “There is no requirement when the UE is requested to switch to a TCI state with the higher layer parameter TCI-UL-State associated to SRS” in Rel-17 and new definition of Rel-19</w:t>
      </w:r>
      <w:r w:rsidRPr="00881228">
        <w:rPr>
          <w:rFonts w:ascii="Times New Roman" w:hAnsi="Times New Roman" w:cs="Times New Roman" w:hint="eastAsia"/>
          <w:b/>
          <w:bCs/>
          <w:sz w:val="20"/>
          <w:szCs w:val="20"/>
        </w:rPr>
        <w:t>,</w:t>
      </w:r>
      <w:r w:rsidRPr="00881228">
        <w:rPr>
          <w:rFonts w:ascii="Times New Roman" w:hAnsi="Times New Roman" w:cs="Times New Roman"/>
          <w:b/>
          <w:bCs/>
          <w:sz w:val="20"/>
          <w:szCs w:val="20"/>
        </w:rPr>
        <w:t xml:space="preserve"> although there is no difference for </w:t>
      </w:r>
      <w:r>
        <w:rPr>
          <w:rFonts w:ascii="Times New Roman" w:hAnsi="Times New Roman" w:cs="Times New Roman"/>
          <w:b/>
          <w:bCs/>
          <w:sz w:val="20"/>
          <w:szCs w:val="20"/>
        </w:rPr>
        <w:t>the same thing</w:t>
      </w:r>
      <w:r w:rsidRPr="00881228">
        <w:rPr>
          <w:rFonts w:ascii="Times New Roman" w:hAnsi="Times New Roman" w:cs="Times New Roman"/>
          <w:b/>
          <w:bCs/>
          <w:sz w:val="20"/>
          <w:szCs w:val="20"/>
        </w:rPr>
        <w:t xml:space="preserve">. </w:t>
      </w:r>
    </w:p>
    <w:p w14:paraId="6FF7396F" w14:textId="77777777" w:rsidR="00472CA0" w:rsidRDefault="00472CA0" w:rsidP="00472CA0">
      <w:pPr>
        <w:spacing w:beforeLines="50" w:before="120" w:afterLines="50" w:after="120"/>
        <w:jc w:val="left"/>
        <w:rPr>
          <w:rFonts w:ascii="Times New Roman" w:hAnsi="Times New Roman" w:cs="Times New Roman"/>
          <w:b/>
          <w:bCs/>
          <w:sz w:val="20"/>
          <w:szCs w:val="20"/>
        </w:rPr>
      </w:pPr>
      <w:r>
        <w:rPr>
          <w:rFonts w:ascii="Times New Roman" w:hAnsi="Times New Roman" w:cs="Times New Roman" w:hint="eastAsia"/>
          <w:b/>
          <w:bCs/>
          <w:sz w:val="20"/>
          <w:szCs w:val="20"/>
        </w:rPr>
        <w:t>P</w:t>
      </w:r>
      <w:r>
        <w:rPr>
          <w:rFonts w:ascii="Times New Roman" w:hAnsi="Times New Roman" w:cs="Times New Roman"/>
          <w:b/>
          <w:bCs/>
          <w:sz w:val="20"/>
          <w:szCs w:val="20"/>
        </w:rPr>
        <w:t>roposal 7:</w:t>
      </w:r>
      <w:r w:rsidRPr="00662F63">
        <w:rPr>
          <w:rFonts w:ascii="Times New Roman" w:hAnsi="Times New Roman" w:cs="Times New Roman" w:hint="eastAsia"/>
          <w:b/>
          <w:bCs/>
          <w:sz w:val="20"/>
          <w:szCs w:val="20"/>
        </w:rPr>
        <w:t xml:space="preserve"> </w:t>
      </w:r>
      <w:r w:rsidRPr="00472CA0">
        <w:rPr>
          <w:rFonts w:ascii="Times New Roman" w:hAnsi="Times New Roman" w:cs="Times New Roman"/>
          <w:b/>
          <w:bCs/>
          <w:sz w:val="20"/>
          <w:szCs w:val="20"/>
        </w:rPr>
        <w:t>RRM core impacts of active uplink TCI state switching delay for unified TCI</w:t>
      </w:r>
    </w:p>
    <w:p w14:paraId="7A635D71" w14:textId="77777777" w:rsidR="00472CA0" w:rsidRDefault="00472CA0" w:rsidP="00472CA0">
      <w:pPr>
        <w:pStyle w:val="a8"/>
        <w:numPr>
          <w:ilvl w:val="2"/>
          <w:numId w:val="4"/>
        </w:numPr>
        <w:spacing w:beforeLines="50" w:before="120" w:afterLines="50" w:after="120"/>
        <w:ind w:firstLineChars="0"/>
        <w:rPr>
          <w:b/>
          <w:bCs/>
        </w:rPr>
      </w:pPr>
      <w:r w:rsidRPr="00472CA0">
        <w:rPr>
          <w:rFonts w:eastAsiaTheme="minorEastAsia" w:hint="eastAsia"/>
          <w:b/>
          <w:bCs/>
          <w:lang w:eastAsia="zh-CN"/>
        </w:rPr>
        <w:t>FR</w:t>
      </w:r>
      <w:r w:rsidRPr="00472CA0">
        <w:rPr>
          <w:rFonts w:eastAsiaTheme="minorEastAsia"/>
          <w:b/>
          <w:bCs/>
          <w:lang w:eastAsia="zh-CN"/>
        </w:rPr>
        <w:t>1</w:t>
      </w:r>
      <w:r w:rsidRPr="00472CA0">
        <w:rPr>
          <w:rFonts w:eastAsiaTheme="minorEastAsia" w:hint="eastAsia"/>
          <w:b/>
          <w:bCs/>
          <w:lang w:eastAsia="zh-CN"/>
        </w:rPr>
        <w:t>:</w:t>
      </w:r>
      <w:r>
        <w:rPr>
          <w:rFonts w:eastAsiaTheme="minorEastAsia"/>
          <w:b/>
          <w:bCs/>
          <w:lang w:eastAsia="zh-CN"/>
        </w:rPr>
        <w:t xml:space="preserve"> </w:t>
      </w:r>
      <w:r w:rsidRPr="00472CA0">
        <w:rPr>
          <w:rFonts w:hint="eastAsia"/>
          <w:b/>
          <w:bCs/>
        </w:rPr>
        <w:t>I</w:t>
      </w:r>
      <w:r w:rsidRPr="00472CA0">
        <w:rPr>
          <w:b/>
          <w:bCs/>
        </w:rPr>
        <w:t xml:space="preserve">f joint TCI is switching in FR1 mentioned above, there is no difference from legacy, the joint TCI state switching is the same as legacy. </w:t>
      </w:r>
      <w:r>
        <w:rPr>
          <w:b/>
          <w:bCs/>
        </w:rPr>
        <w:t>No RRM impacts.</w:t>
      </w:r>
    </w:p>
    <w:p w14:paraId="1EFFD55A" w14:textId="786B48C2" w:rsidR="002026EA" w:rsidRPr="00472CA0" w:rsidRDefault="00472CA0" w:rsidP="002026EA">
      <w:pPr>
        <w:pStyle w:val="a8"/>
        <w:numPr>
          <w:ilvl w:val="2"/>
          <w:numId w:val="4"/>
        </w:numPr>
        <w:spacing w:beforeLines="50" w:before="120" w:afterLines="50" w:after="120"/>
        <w:ind w:firstLineChars="0"/>
        <w:rPr>
          <w:b/>
          <w:bCs/>
        </w:rPr>
      </w:pPr>
      <w:r>
        <w:rPr>
          <w:rFonts w:eastAsiaTheme="minorEastAsia"/>
          <w:b/>
          <w:bCs/>
          <w:lang w:eastAsia="zh-CN"/>
        </w:rPr>
        <w:t>FR2:</w:t>
      </w:r>
      <w:r>
        <w:rPr>
          <w:b/>
          <w:bCs/>
        </w:rPr>
        <w:t xml:space="preserve"> </w:t>
      </w:r>
      <w:r w:rsidR="00CA054B">
        <w:rPr>
          <w:b/>
          <w:bCs/>
        </w:rPr>
        <w:t>D</w:t>
      </w:r>
      <w:r>
        <w:rPr>
          <w:b/>
          <w:bCs/>
        </w:rPr>
        <w:t xml:space="preserve">epends on the conclusion of whether to specify the UL TCI state switching delay base on SRS. </w:t>
      </w: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700CA7E7" w14:textId="30924560" w:rsidR="006E0535" w:rsidRDefault="006E0535" w:rsidP="00B41191">
      <w:pPr>
        <w:spacing w:afterLines="50" w:after="120"/>
        <w:jc w:val="left"/>
        <w:rPr>
          <w:rFonts w:ascii="Times New Roman" w:eastAsia="宋体" w:hAnsi="Times New Roman" w:cs="Times New Roman"/>
          <w:sz w:val="20"/>
          <w:szCs w:val="20"/>
        </w:rPr>
      </w:pPr>
      <w:r w:rsidRPr="00087155">
        <w:rPr>
          <w:rFonts w:ascii="Times New Roman" w:eastAsia="宋体" w:hAnsi="Times New Roman" w:cs="Times New Roman"/>
          <w:sz w:val="20"/>
          <w:szCs w:val="20"/>
        </w:rPr>
        <w:t>[1] RP-242394, WID revision: NR MIMO Phase 5, Samsung</w:t>
      </w:r>
    </w:p>
    <w:p w14:paraId="2DB1C109" w14:textId="1131C1B7" w:rsidR="005B23D1" w:rsidRDefault="005B23D1"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sidR="006E0535">
        <w:rPr>
          <w:rFonts w:ascii="Times New Roman" w:eastAsia="宋体" w:hAnsi="Times New Roman" w:cs="Times New Roman"/>
          <w:sz w:val="20"/>
          <w:szCs w:val="20"/>
        </w:rPr>
        <w:t>2</w:t>
      </w:r>
      <w:r>
        <w:rPr>
          <w:rFonts w:ascii="Times New Roman" w:eastAsia="宋体" w:hAnsi="Times New Roman" w:cs="Times New Roman"/>
          <w:sz w:val="20"/>
          <w:szCs w:val="20"/>
        </w:rPr>
        <w:t>]</w:t>
      </w:r>
      <w:r w:rsidR="00D17C30">
        <w:rPr>
          <w:rFonts w:ascii="Times New Roman" w:eastAsia="宋体" w:hAnsi="Times New Roman" w:cs="Times New Roman"/>
          <w:sz w:val="20"/>
          <w:szCs w:val="20"/>
        </w:rPr>
        <w:t xml:space="preserve"> </w:t>
      </w:r>
      <w:r w:rsidR="00D17C30" w:rsidRPr="00D17C30">
        <w:rPr>
          <w:rFonts w:ascii="Times New Roman" w:eastAsia="宋体" w:hAnsi="Times New Roman" w:cs="Times New Roman"/>
          <w:sz w:val="20"/>
          <w:szCs w:val="20"/>
        </w:rPr>
        <w:t>R</w:t>
      </w:r>
      <w:r w:rsidR="00AE2782" w:rsidRPr="00AE2782">
        <w:rPr>
          <w:rFonts w:ascii="Times New Roman" w:eastAsia="宋体" w:hAnsi="Times New Roman" w:cs="Times New Roman"/>
          <w:sz w:val="20"/>
          <w:szCs w:val="20"/>
        </w:rPr>
        <w:t>4-</w:t>
      </w:r>
      <w:r w:rsidR="00AA465A">
        <w:rPr>
          <w:rFonts w:ascii="Times New Roman" w:eastAsia="宋体" w:hAnsi="Times New Roman" w:cs="Times New Roman"/>
          <w:sz w:val="20"/>
          <w:szCs w:val="20"/>
        </w:rPr>
        <w:t>2420108</w:t>
      </w:r>
      <w:r w:rsidR="00D17C30">
        <w:rPr>
          <w:rFonts w:ascii="Times New Roman" w:eastAsia="宋体" w:hAnsi="Times New Roman" w:cs="Times New Roman"/>
          <w:sz w:val="20"/>
          <w:szCs w:val="20"/>
        </w:rPr>
        <w:t xml:space="preserve">, </w:t>
      </w:r>
      <w:r w:rsidR="00AE2782" w:rsidRPr="00AE2782">
        <w:rPr>
          <w:rFonts w:ascii="Times New Roman" w:eastAsia="宋体" w:hAnsi="Times New Roman" w:cs="Times New Roman"/>
          <w:sz w:val="20"/>
          <w:szCs w:val="20"/>
        </w:rPr>
        <w:t>WF on RRM requirements for NR_MIMO_Ph5_Part2</w:t>
      </w:r>
      <w:r w:rsidR="00D17C30">
        <w:rPr>
          <w:rFonts w:ascii="Times New Roman" w:eastAsia="宋体" w:hAnsi="Times New Roman" w:cs="Times New Roman"/>
          <w:sz w:val="20"/>
          <w:szCs w:val="20"/>
        </w:rPr>
        <w:t xml:space="preserve">, </w:t>
      </w:r>
      <w:r w:rsidR="00AE2782">
        <w:rPr>
          <w:rFonts w:ascii="Times New Roman" w:eastAsia="宋体" w:hAnsi="Times New Roman" w:cs="Times New Roman"/>
          <w:sz w:val="20"/>
          <w:szCs w:val="20"/>
        </w:rPr>
        <w:t>MediaTek</w:t>
      </w:r>
    </w:p>
    <w:p w14:paraId="3CE136D0" w14:textId="516F775D" w:rsidR="00AA465A" w:rsidRDefault="00AA465A"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3] R4-2420209, </w:t>
      </w:r>
      <w:r w:rsidRPr="00AA465A">
        <w:rPr>
          <w:rFonts w:ascii="Times New Roman" w:eastAsia="宋体" w:hAnsi="Times New Roman" w:cs="Times New Roman"/>
          <w:sz w:val="20"/>
          <w:szCs w:val="20"/>
        </w:rPr>
        <w:t>S</w:t>
      </w:r>
      <w:r w:rsidRPr="00AA465A">
        <w:rPr>
          <w:rFonts w:ascii="Times New Roman" w:eastAsia="宋体" w:hAnsi="Times New Roman" w:cs="Times New Roman" w:hint="eastAsia"/>
          <w:sz w:val="20"/>
          <w:szCs w:val="20"/>
        </w:rPr>
        <w:t>im</w:t>
      </w:r>
      <w:r w:rsidRPr="00AA465A">
        <w:rPr>
          <w:rFonts w:ascii="Times New Roman" w:eastAsia="宋体" w:hAnsi="Times New Roman" w:cs="Times New Roman"/>
          <w:sz w:val="20"/>
          <w:szCs w:val="20"/>
        </w:rPr>
        <w:t>ulation assumptions for CJT calibration, MediaTek</w:t>
      </w:r>
    </w:p>
    <w:p w14:paraId="3C431628" w14:textId="1607FF83" w:rsidR="005B3054" w:rsidRDefault="005B3054"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4] </w:t>
      </w:r>
      <w:r w:rsidRPr="005B3054">
        <w:rPr>
          <w:rFonts w:ascii="Times New Roman" w:eastAsia="宋体" w:hAnsi="Times New Roman" w:cs="Times New Roman"/>
          <w:sz w:val="20"/>
          <w:szCs w:val="20"/>
        </w:rPr>
        <w:t>R1-2410870</w:t>
      </w:r>
      <w:r>
        <w:rPr>
          <w:rFonts w:ascii="Times New Roman" w:eastAsia="宋体" w:hAnsi="Times New Roman" w:cs="Times New Roman"/>
          <w:sz w:val="20"/>
          <w:szCs w:val="20"/>
        </w:rPr>
        <w:t xml:space="preserve">, </w:t>
      </w:r>
      <w:r w:rsidRPr="005B3054">
        <w:rPr>
          <w:rFonts w:ascii="Times New Roman" w:eastAsia="宋体" w:hAnsi="Times New Roman" w:cs="Times New Roman"/>
          <w:sz w:val="20"/>
          <w:szCs w:val="20"/>
        </w:rPr>
        <w:t>Reply to RAN4 LS on UE RF issues for Rel-19 MIMO Enhancement</w:t>
      </w:r>
      <w:r w:rsidRPr="005B3054">
        <w:rPr>
          <w:rFonts w:ascii="Times New Roman" w:eastAsia="宋体" w:hAnsi="Times New Roman" w:cs="Times New Roman"/>
          <w:sz w:val="20"/>
          <w:szCs w:val="20"/>
        </w:rPr>
        <w:t>, RAN1</w:t>
      </w:r>
    </w:p>
    <w:sectPr w:rsidR="005B3054"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8ABDF" w14:textId="77777777" w:rsidR="00BD5F7B" w:rsidRDefault="00BD5F7B" w:rsidP="00F57816">
      <w:r>
        <w:separator/>
      </w:r>
    </w:p>
  </w:endnote>
  <w:endnote w:type="continuationSeparator" w:id="0">
    <w:p w14:paraId="0E7E4D89" w14:textId="77777777" w:rsidR="00BD5F7B" w:rsidRDefault="00BD5F7B"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B4587" w14:textId="77777777" w:rsidR="00BD5F7B" w:rsidRDefault="00BD5F7B" w:rsidP="00F57816">
      <w:r>
        <w:separator/>
      </w:r>
    </w:p>
  </w:footnote>
  <w:footnote w:type="continuationSeparator" w:id="0">
    <w:p w14:paraId="574074BF" w14:textId="77777777" w:rsidR="00BD5F7B" w:rsidRDefault="00BD5F7B"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3C46A8"/>
    <w:multiLevelType w:val="hybridMultilevel"/>
    <w:tmpl w:val="D0165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9767A1"/>
    <w:multiLevelType w:val="hybridMultilevel"/>
    <w:tmpl w:val="D8189E00"/>
    <w:lvl w:ilvl="0" w:tplc="75A01BB2">
      <w:start w:val="1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A4E2BE9"/>
    <w:multiLevelType w:val="hybridMultilevel"/>
    <w:tmpl w:val="ADBC790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3BBC4C73"/>
    <w:multiLevelType w:val="hybridMultilevel"/>
    <w:tmpl w:val="599E6470"/>
    <w:lvl w:ilvl="0" w:tplc="5E66FC80">
      <w:start w:val="4"/>
      <w:numFmt w:val="lowerLetter"/>
      <w:lvlText w:val="%1."/>
      <w:lvlJc w:val="left"/>
      <w:pPr>
        <w:tabs>
          <w:tab w:val="num" w:pos="360"/>
        </w:tabs>
        <w:ind w:left="360" w:hanging="360"/>
      </w:pPr>
      <w:rPr>
        <w:rFonts w:hint="eastAsia"/>
      </w:rPr>
    </w:lvl>
    <w:lvl w:ilvl="1" w:tplc="04090019" w:tentative="1">
      <w:start w:val="1"/>
      <w:numFmt w:val="lowerLetter"/>
      <w:lvlText w:val="%2)"/>
      <w:lvlJc w:val="left"/>
      <w:pPr>
        <w:ind w:left="-240" w:hanging="420"/>
      </w:pPr>
    </w:lvl>
    <w:lvl w:ilvl="2" w:tplc="0409001B" w:tentative="1">
      <w:start w:val="1"/>
      <w:numFmt w:val="lowerRoman"/>
      <w:lvlText w:val="%3."/>
      <w:lvlJc w:val="right"/>
      <w:pPr>
        <w:ind w:left="180" w:hanging="420"/>
      </w:pPr>
    </w:lvl>
    <w:lvl w:ilvl="3" w:tplc="0409000F" w:tentative="1">
      <w:start w:val="1"/>
      <w:numFmt w:val="decimal"/>
      <w:lvlText w:val="%4."/>
      <w:lvlJc w:val="left"/>
      <w:pPr>
        <w:ind w:left="600" w:hanging="420"/>
      </w:pPr>
    </w:lvl>
    <w:lvl w:ilvl="4" w:tplc="04090019" w:tentative="1">
      <w:start w:val="1"/>
      <w:numFmt w:val="lowerLetter"/>
      <w:lvlText w:val="%5)"/>
      <w:lvlJc w:val="left"/>
      <w:pPr>
        <w:ind w:left="1020" w:hanging="420"/>
      </w:pPr>
    </w:lvl>
    <w:lvl w:ilvl="5" w:tplc="0409001B" w:tentative="1">
      <w:start w:val="1"/>
      <w:numFmt w:val="lowerRoman"/>
      <w:lvlText w:val="%6."/>
      <w:lvlJc w:val="right"/>
      <w:pPr>
        <w:ind w:left="1440" w:hanging="420"/>
      </w:pPr>
    </w:lvl>
    <w:lvl w:ilvl="6" w:tplc="0409000F" w:tentative="1">
      <w:start w:val="1"/>
      <w:numFmt w:val="decimal"/>
      <w:lvlText w:val="%7."/>
      <w:lvlJc w:val="left"/>
      <w:pPr>
        <w:ind w:left="1860" w:hanging="420"/>
      </w:pPr>
    </w:lvl>
    <w:lvl w:ilvl="7" w:tplc="04090019" w:tentative="1">
      <w:start w:val="1"/>
      <w:numFmt w:val="lowerLetter"/>
      <w:lvlText w:val="%8)"/>
      <w:lvlJc w:val="left"/>
      <w:pPr>
        <w:ind w:left="2280" w:hanging="420"/>
      </w:pPr>
    </w:lvl>
    <w:lvl w:ilvl="8" w:tplc="0409001B" w:tentative="1">
      <w:start w:val="1"/>
      <w:numFmt w:val="lowerRoman"/>
      <w:lvlText w:val="%9."/>
      <w:lvlJc w:val="right"/>
      <w:pPr>
        <w:ind w:left="2700" w:hanging="420"/>
      </w:pPr>
    </w:lvl>
  </w:abstractNum>
  <w:abstractNum w:abstractNumId="12" w15:restartNumberingAfterBreak="0">
    <w:nsid w:val="421B48D1"/>
    <w:multiLevelType w:val="hybridMultilevel"/>
    <w:tmpl w:val="965021DE"/>
    <w:lvl w:ilvl="0" w:tplc="D92E397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104E60"/>
    <w:multiLevelType w:val="hybridMultilevel"/>
    <w:tmpl w:val="5E38F278"/>
    <w:lvl w:ilvl="0" w:tplc="098CA67C">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5"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F045C8"/>
    <w:multiLevelType w:val="hybridMultilevel"/>
    <w:tmpl w:val="8F564CAA"/>
    <w:lvl w:ilvl="0" w:tplc="88688C96">
      <w:start w:val="2"/>
      <w:numFmt w:val="lowerLetter"/>
      <w:lvlText w:val="%1."/>
      <w:lvlJc w:val="left"/>
      <w:pPr>
        <w:tabs>
          <w:tab w:val="num" w:pos="1440"/>
        </w:tabs>
        <w:ind w:left="144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6" w15:restartNumberingAfterBreak="0">
    <w:nsid w:val="6A2E27FA"/>
    <w:multiLevelType w:val="hybridMultilevel"/>
    <w:tmpl w:val="D7406C76"/>
    <w:lvl w:ilvl="0" w:tplc="D92E3974">
      <w:start w:val="1"/>
      <w:numFmt w:val="bullet"/>
      <w:lvlText w:val=""/>
      <w:lvlJc w:val="left"/>
      <w:pPr>
        <w:ind w:left="1520" w:hanging="440"/>
      </w:pPr>
      <w:rPr>
        <w:rFonts w:ascii="Wingdings" w:hAnsi="Wingdings" w:hint="default"/>
      </w:rPr>
    </w:lvl>
    <w:lvl w:ilvl="1" w:tplc="04090003" w:tentative="1">
      <w:start w:val="1"/>
      <w:numFmt w:val="bullet"/>
      <w:lvlText w:val=""/>
      <w:lvlJc w:val="left"/>
      <w:pPr>
        <w:ind w:left="1960" w:hanging="440"/>
      </w:pPr>
      <w:rPr>
        <w:rFonts w:ascii="Wingdings" w:hAnsi="Wingdings" w:hint="default"/>
      </w:rPr>
    </w:lvl>
    <w:lvl w:ilvl="2" w:tplc="04090005" w:tentative="1">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3" w:tentative="1">
      <w:start w:val="1"/>
      <w:numFmt w:val="bullet"/>
      <w:lvlText w:val=""/>
      <w:lvlJc w:val="left"/>
      <w:pPr>
        <w:ind w:left="3280" w:hanging="440"/>
      </w:pPr>
      <w:rPr>
        <w:rFonts w:ascii="Wingdings" w:hAnsi="Wingdings" w:hint="default"/>
      </w:rPr>
    </w:lvl>
    <w:lvl w:ilvl="5" w:tplc="04090005"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3" w:tentative="1">
      <w:start w:val="1"/>
      <w:numFmt w:val="bullet"/>
      <w:lvlText w:val=""/>
      <w:lvlJc w:val="left"/>
      <w:pPr>
        <w:ind w:left="4600" w:hanging="440"/>
      </w:pPr>
      <w:rPr>
        <w:rFonts w:ascii="Wingdings" w:hAnsi="Wingdings" w:hint="default"/>
      </w:rPr>
    </w:lvl>
    <w:lvl w:ilvl="8" w:tplc="04090005" w:tentative="1">
      <w:start w:val="1"/>
      <w:numFmt w:val="bullet"/>
      <w:lvlText w:val=""/>
      <w:lvlJc w:val="left"/>
      <w:pPr>
        <w:ind w:left="5040" w:hanging="440"/>
      </w:pPr>
      <w:rPr>
        <w:rFonts w:ascii="Wingdings" w:hAnsi="Wingdings" w:hint="default"/>
      </w:rPr>
    </w:lvl>
  </w:abstractNum>
  <w:abstractNum w:abstractNumId="27" w15:restartNumberingAfterBreak="0">
    <w:nsid w:val="6E8F2E5C"/>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numFmt w:val="decimal"/>
      <w:lvlText w:val="-"/>
      <w:lvlJc w:val="left"/>
      <w:pPr>
        <w:ind w:left="2160" w:hanging="360"/>
      </w:pPr>
      <w:rPr>
        <w:rFonts w:ascii="Times New Roman" w:eastAsia="宋体" w:hAnsi="Times New Roman" w:cs="Times New Roman"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28"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6B25EB9"/>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start w:val="2"/>
      <w:numFmt w:val="bullet"/>
      <w:lvlText w:val="-"/>
      <w:lvlJc w:val="left"/>
      <w:pPr>
        <w:ind w:left="2160" w:hanging="360"/>
      </w:pPr>
      <w:rPr>
        <w:rFonts w:ascii="Times New Roman" w:eastAsia="宋体" w:hAnsi="Times New Roman" w:cs="Times New Roman"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1"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abstractNumId w:val="10"/>
  </w:num>
  <w:num w:numId="2">
    <w:abstractNumId w:val="6"/>
  </w:num>
  <w:num w:numId="3">
    <w:abstractNumId w:val="25"/>
  </w:num>
  <w:num w:numId="4">
    <w:abstractNumId w:val="30"/>
  </w:num>
  <w:num w:numId="5">
    <w:abstractNumId w:val="13"/>
  </w:num>
  <w:num w:numId="6">
    <w:abstractNumId w:val="22"/>
  </w:num>
  <w:num w:numId="7">
    <w:abstractNumId w:val="2"/>
  </w:num>
  <w:num w:numId="8">
    <w:abstractNumId w:val="3"/>
  </w:num>
  <w:num w:numId="9">
    <w:abstractNumId w:val="8"/>
  </w:num>
  <w:num w:numId="10">
    <w:abstractNumId w:val="15"/>
  </w:num>
  <w:num w:numId="11">
    <w:abstractNumId w:val="16"/>
  </w:num>
  <w:num w:numId="12">
    <w:abstractNumId w:val="32"/>
  </w:num>
  <w:num w:numId="13">
    <w:abstractNumId w:val="18"/>
  </w:num>
  <w:num w:numId="14">
    <w:abstractNumId w:val="9"/>
  </w:num>
  <w:num w:numId="15">
    <w:abstractNumId w:val="19"/>
  </w:num>
  <w:num w:numId="16">
    <w:abstractNumId w:val="28"/>
  </w:num>
  <w:num w:numId="17">
    <w:abstractNumId w:val="0"/>
  </w:num>
  <w:num w:numId="18">
    <w:abstractNumId w:val="31"/>
  </w:num>
  <w:num w:numId="19">
    <w:abstractNumId w:val="21"/>
  </w:num>
  <w:num w:numId="20">
    <w:abstractNumId w:val="5"/>
  </w:num>
  <w:num w:numId="21">
    <w:abstractNumId w:val="20"/>
  </w:num>
  <w:num w:numId="22">
    <w:abstractNumId w:val="14"/>
  </w:num>
  <w:num w:numId="23">
    <w:abstractNumId w:val="17"/>
  </w:num>
  <w:num w:numId="24">
    <w:abstractNumId w:val="24"/>
  </w:num>
  <w:num w:numId="25">
    <w:abstractNumId w:val="4"/>
  </w:num>
  <w:num w:numId="26">
    <w:abstractNumId w:val="7"/>
  </w:num>
  <w:num w:numId="27">
    <w:abstractNumId w:val="12"/>
  </w:num>
  <w:num w:numId="28">
    <w:abstractNumId w:val="26"/>
  </w:num>
  <w:num w:numId="29">
    <w:abstractNumId w:val="11"/>
  </w:num>
  <w:num w:numId="30">
    <w:abstractNumId w:val="23"/>
  </w:num>
  <w:num w:numId="31">
    <w:abstractNumId w:val="29"/>
  </w:num>
  <w:num w:numId="32">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6DD9"/>
    <w:rsid w:val="000105CB"/>
    <w:rsid w:val="00012F9D"/>
    <w:rsid w:val="00015DAB"/>
    <w:rsid w:val="000235EA"/>
    <w:rsid w:val="00026B9A"/>
    <w:rsid w:val="00027632"/>
    <w:rsid w:val="0003319A"/>
    <w:rsid w:val="00046764"/>
    <w:rsid w:val="00052B59"/>
    <w:rsid w:val="00052CA4"/>
    <w:rsid w:val="00053818"/>
    <w:rsid w:val="00057C23"/>
    <w:rsid w:val="00060D78"/>
    <w:rsid w:val="00072893"/>
    <w:rsid w:val="00073F55"/>
    <w:rsid w:val="00074587"/>
    <w:rsid w:val="0008269C"/>
    <w:rsid w:val="00084658"/>
    <w:rsid w:val="00093977"/>
    <w:rsid w:val="00096EF2"/>
    <w:rsid w:val="000A1902"/>
    <w:rsid w:val="000A2B02"/>
    <w:rsid w:val="000B0FF3"/>
    <w:rsid w:val="000B2BE5"/>
    <w:rsid w:val="000B5183"/>
    <w:rsid w:val="000B5ADF"/>
    <w:rsid w:val="000D3C85"/>
    <w:rsid w:val="000E5597"/>
    <w:rsid w:val="000E58AC"/>
    <w:rsid w:val="000E7C20"/>
    <w:rsid w:val="000F1E0D"/>
    <w:rsid w:val="000F374B"/>
    <w:rsid w:val="000F61D2"/>
    <w:rsid w:val="000F72B6"/>
    <w:rsid w:val="00100486"/>
    <w:rsid w:val="00102086"/>
    <w:rsid w:val="001026F0"/>
    <w:rsid w:val="00112570"/>
    <w:rsid w:val="0011584F"/>
    <w:rsid w:val="001178E9"/>
    <w:rsid w:val="00134F05"/>
    <w:rsid w:val="001458A1"/>
    <w:rsid w:val="00150BDE"/>
    <w:rsid w:val="0015241F"/>
    <w:rsid w:val="00161BAA"/>
    <w:rsid w:val="00165C69"/>
    <w:rsid w:val="00166682"/>
    <w:rsid w:val="0017202C"/>
    <w:rsid w:val="001726B2"/>
    <w:rsid w:val="00174267"/>
    <w:rsid w:val="00180900"/>
    <w:rsid w:val="00181534"/>
    <w:rsid w:val="001A3E92"/>
    <w:rsid w:val="001A7751"/>
    <w:rsid w:val="001C48EF"/>
    <w:rsid w:val="001D1A6A"/>
    <w:rsid w:val="001D4F2C"/>
    <w:rsid w:val="001D7079"/>
    <w:rsid w:val="001E04C5"/>
    <w:rsid w:val="001E2D51"/>
    <w:rsid w:val="001E739A"/>
    <w:rsid w:val="001F1761"/>
    <w:rsid w:val="001F31F1"/>
    <w:rsid w:val="001F6AC6"/>
    <w:rsid w:val="002026EA"/>
    <w:rsid w:val="0020459B"/>
    <w:rsid w:val="00214063"/>
    <w:rsid w:val="00214A0F"/>
    <w:rsid w:val="002211DE"/>
    <w:rsid w:val="002221D2"/>
    <w:rsid w:val="0023072D"/>
    <w:rsid w:val="00231681"/>
    <w:rsid w:val="00231FB8"/>
    <w:rsid w:val="0023527D"/>
    <w:rsid w:val="0024546C"/>
    <w:rsid w:val="00245EDD"/>
    <w:rsid w:val="00246566"/>
    <w:rsid w:val="00267A1C"/>
    <w:rsid w:val="00270BB1"/>
    <w:rsid w:val="00272E65"/>
    <w:rsid w:val="00272F7E"/>
    <w:rsid w:val="00272F93"/>
    <w:rsid w:val="002757AF"/>
    <w:rsid w:val="00276331"/>
    <w:rsid w:val="00276972"/>
    <w:rsid w:val="002849F3"/>
    <w:rsid w:val="002875C0"/>
    <w:rsid w:val="00296592"/>
    <w:rsid w:val="002A7244"/>
    <w:rsid w:val="002B343E"/>
    <w:rsid w:val="002B66D0"/>
    <w:rsid w:val="002C1149"/>
    <w:rsid w:val="002C4587"/>
    <w:rsid w:val="002D30A9"/>
    <w:rsid w:val="002D6B43"/>
    <w:rsid w:val="002D77E9"/>
    <w:rsid w:val="002E42C0"/>
    <w:rsid w:val="002E7F6A"/>
    <w:rsid w:val="002F5473"/>
    <w:rsid w:val="002F7732"/>
    <w:rsid w:val="00300FDE"/>
    <w:rsid w:val="0030108D"/>
    <w:rsid w:val="00303839"/>
    <w:rsid w:val="00324E0A"/>
    <w:rsid w:val="00326027"/>
    <w:rsid w:val="00326980"/>
    <w:rsid w:val="00327BA9"/>
    <w:rsid w:val="003325F4"/>
    <w:rsid w:val="00336B70"/>
    <w:rsid w:val="00341B29"/>
    <w:rsid w:val="00355717"/>
    <w:rsid w:val="00357060"/>
    <w:rsid w:val="00357205"/>
    <w:rsid w:val="003577DC"/>
    <w:rsid w:val="0036194F"/>
    <w:rsid w:val="0036485D"/>
    <w:rsid w:val="003729D1"/>
    <w:rsid w:val="0037324D"/>
    <w:rsid w:val="00374E80"/>
    <w:rsid w:val="00375912"/>
    <w:rsid w:val="003803C0"/>
    <w:rsid w:val="00380ED1"/>
    <w:rsid w:val="003837A9"/>
    <w:rsid w:val="00384261"/>
    <w:rsid w:val="003856D4"/>
    <w:rsid w:val="00391015"/>
    <w:rsid w:val="003917B3"/>
    <w:rsid w:val="003929DE"/>
    <w:rsid w:val="00393BA4"/>
    <w:rsid w:val="003947EF"/>
    <w:rsid w:val="003A13B8"/>
    <w:rsid w:val="003A433A"/>
    <w:rsid w:val="003A5115"/>
    <w:rsid w:val="003A5A81"/>
    <w:rsid w:val="003B08A2"/>
    <w:rsid w:val="003B7F90"/>
    <w:rsid w:val="003C1FD7"/>
    <w:rsid w:val="003C30BC"/>
    <w:rsid w:val="003C5D6B"/>
    <w:rsid w:val="003D0AF6"/>
    <w:rsid w:val="003D3480"/>
    <w:rsid w:val="003D417F"/>
    <w:rsid w:val="003D4695"/>
    <w:rsid w:val="003F37F3"/>
    <w:rsid w:val="003F3A6C"/>
    <w:rsid w:val="003F50CD"/>
    <w:rsid w:val="003F698A"/>
    <w:rsid w:val="00407C27"/>
    <w:rsid w:val="00414E94"/>
    <w:rsid w:val="004155F7"/>
    <w:rsid w:val="004165ED"/>
    <w:rsid w:val="004240B9"/>
    <w:rsid w:val="004252B3"/>
    <w:rsid w:val="00432FAD"/>
    <w:rsid w:val="00434EDB"/>
    <w:rsid w:val="00436C63"/>
    <w:rsid w:val="00440BB6"/>
    <w:rsid w:val="00441232"/>
    <w:rsid w:val="00443D60"/>
    <w:rsid w:val="00453C63"/>
    <w:rsid w:val="0045709F"/>
    <w:rsid w:val="00463876"/>
    <w:rsid w:val="00464167"/>
    <w:rsid w:val="00471F53"/>
    <w:rsid w:val="00472CA0"/>
    <w:rsid w:val="00476345"/>
    <w:rsid w:val="004764ED"/>
    <w:rsid w:val="00483FE7"/>
    <w:rsid w:val="00491971"/>
    <w:rsid w:val="004A23BA"/>
    <w:rsid w:val="004A2E85"/>
    <w:rsid w:val="004A5A9F"/>
    <w:rsid w:val="004A6914"/>
    <w:rsid w:val="004B12BA"/>
    <w:rsid w:val="004B1AE1"/>
    <w:rsid w:val="004B3B1D"/>
    <w:rsid w:val="004B7800"/>
    <w:rsid w:val="004C3936"/>
    <w:rsid w:val="004C3E0B"/>
    <w:rsid w:val="004C4FED"/>
    <w:rsid w:val="004C5279"/>
    <w:rsid w:val="004C6CD5"/>
    <w:rsid w:val="004D2E78"/>
    <w:rsid w:val="004D7374"/>
    <w:rsid w:val="004F31BC"/>
    <w:rsid w:val="00503393"/>
    <w:rsid w:val="00504EB6"/>
    <w:rsid w:val="005058B0"/>
    <w:rsid w:val="00506CD8"/>
    <w:rsid w:val="00512B6A"/>
    <w:rsid w:val="00522D6A"/>
    <w:rsid w:val="00523EA1"/>
    <w:rsid w:val="00526F1B"/>
    <w:rsid w:val="00531B6B"/>
    <w:rsid w:val="00533C74"/>
    <w:rsid w:val="00545A98"/>
    <w:rsid w:val="0055605A"/>
    <w:rsid w:val="00570CF6"/>
    <w:rsid w:val="00575C94"/>
    <w:rsid w:val="00576B45"/>
    <w:rsid w:val="00586C22"/>
    <w:rsid w:val="00593C5A"/>
    <w:rsid w:val="005A12DD"/>
    <w:rsid w:val="005B23D1"/>
    <w:rsid w:val="005B3054"/>
    <w:rsid w:val="005B3794"/>
    <w:rsid w:val="005B53B3"/>
    <w:rsid w:val="005B6DC1"/>
    <w:rsid w:val="005C1E8E"/>
    <w:rsid w:val="005C2AD3"/>
    <w:rsid w:val="005C4511"/>
    <w:rsid w:val="005C50AB"/>
    <w:rsid w:val="005D5477"/>
    <w:rsid w:val="005D6FFF"/>
    <w:rsid w:val="005E4A63"/>
    <w:rsid w:val="005F7569"/>
    <w:rsid w:val="005F7F42"/>
    <w:rsid w:val="00601D78"/>
    <w:rsid w:val="00627E6C"/>
    <w:rsid w:val="00631E71"/>
    <w:rsid w:val="0064391C"/>
    <w:rsid w:val="0064730C"/>
    <w:rsid w:val="0065090B"/>
    <w:rsid w:val="00652015"/>
    <w:rsid w:val="00652CAA"/>
    <w:rsid w:val="0065643C"/>
    <w:rsid w:val="006624A9"/>
    <w:rsid w:val="00662F63"/>
    <w:rsid w:val="006634EE"/>
    <w:rsid w:val="00667392"/>
    <w:rsid w:val="00672483"/>
    <w:rsid w:val="0067344B"/>
    <w:rsid w:val="00676811"/>
    <w:rsid w:val="00676E35"/>
    <w:rsid w:val="00686FD1"/>
    <w:rsid w:val="00692CA4"/>
    <w:rsid w:val="006966B6"/>
    <w:rsid w:val="006A4F1E"/>
    <w:rsid w:val="006B5F86"/>
    <w:rsid w:val="006B6B4A"/>
    <w:rsid w:val="006B7867"/>
    <w:rsid w:val="006C1FC5"/>
    <w:rsid w:val="006C20A4"/>
    <w:rsid w:val="006D15A5"/>
    <w:rsid w:val="006D53A2"/>
    <w:rsid w:val="006D5B18"/>
    <w:rsid w:val="006D70D2"/>
    <w:rsid w:val="006D7360"/>
    <w:rsid w:val="006D7FBA"/>
    <w:rsid w:val="006E0535"/>
    <w:rsid w:val="006E20F2"/>
    <w:rsid w:val="006E5B4F"/>
    <w:rsid w:val="006F167A"/>
    <w:rsid w:val="006F1C44"/>
    <w:rsid w:val="006F3587"/>
    <w:rsid w:val="006F3D67"/>
    <w:rsid w:val="006F698B"/>
    <w:rsid w:val="0071111D"/>
    <w:rsid w:val="007117D5"/>
    <w:rsid w:val="007246E9"/>
    <w:rsid w:val="00741CE8"/>
    <w:rsid w:val="00755947"/>
    <w:rsid w:val="00757BAE"/>
    <w:rsid w:val="007667D9"/>
    <w:rsid w:val="00773571"/>
    <w:rsid w:val="007749B6"/>
    <w:rsid w:val="00777D0A"/>
    <w:rsid w:val="0078027D"/>
    <w:rsid w:val="00780D30"/>
    <w:rsid w:val="00784BBB"/>
    <w:rsid w:val="00785662"/>
    <w:rsid w:val="00785A90"/>
    <w:rsid w:val="007974AB"/>
    <w:rsid w:val="007A10F6"/>
    <w:rsid w:val="007A2B84"/>
    <w:rsid w:val="007B0F65"/>
    <w:rsid w:val="007D0AA7"/>
    <w:rsid w:val="007E4DED"/>
    <w:rsid w:val="00805588"/>
    <w:rsid w:val="0081009A"/>
    <w:rsid w:val="0081203F"/>
    <w:rsid w:val="00812738"/>
    <w:rsid w:val="00814460"/>
    <w:rsid w:val="00820F9E"/>
    <w:rsid w:val="00826AFD"/>
    <w:rsid w:val="00837413"/>
    <w:rsid w:val="008525C5"/>
    <w:rsid w:val="00855647"/>
    <w:rsid w:val="0086244C"/>
    <w:rsid w:val="008632BF"/>
    <w:rsid w:val="00865AB8"/>
    <w:rsid w:val="008703E7"/>
    <w:rsid w:val="00873F19"/>
    <w:rsid w:val="0088023A"/>
    <w:rsid w:val="00881228"/>
    <w:rsid w:val="00887377"/>
    <w:rsid w:val="008933F3"/>
    <w:rsid w:val="008975AE"/>
    <w:rsid w:val="008A48C6"/>
    <w:rsid w:val="008B0284"/>
    <w:rsid w:val="008B3FEB"/>
    <w:rsid w:val="008B74D5"/>
    <w:rsid w:val="008B75F1"/>
    <w:rsid w:val="008C522B"/>
    <w:rsid w:val="008D1910"/>
    <w:rsid w:val="008E037C"/>
    <w:rsid w:val="008E1412"/>
    <w:rsid w:val="008E2D8E"/>
    <w:rsid w:val="008E6C0B"/>
    <w:rsid w:val="008E7090"/>
    <w:rsid w:val="008F2335"/>
    <w:rsid w:val="008F3910"/>
    <w:rsid w:val="008F779F"/>
    <w:rsid w:val="00900EB0"/>
    <w:rsid w:val="00910075"/>
    <w:rsid w:val="00912107"/>
    <w:rsid w:val="00912EBA"/>
    <w:rsid w:val="009152E9"/>
    <w:rsid w:val="00915721"/>
    <w:rsid w:val="00915831"/>
    <w:rsid w:val="00917FB2"/>
    <w:rsid w:val="00921160"/>
    <w:rsid w:val="0092490B"/>
    <w:rsid w:val="00927F7D"/>
    <w:rsid w:val="00930245"/>
    <w:rsid w:val="00932818"/>
    <w:rsid w:val="0095041F"/>
    <w:rsid w:val="009537C2"/>
    <w:rsid w:val="009538A0"/>
    <w:rsid w:val="00957521"/>
    <w:rsid w:val="009663D2"/>
    <w:rsid w:val="009739F0"/>
    <w:rsid w:val="00974A23"/>
    <w:rsid w:val="009767E7"/>
    <w:rsid w:val="00980C2C"/>
    <w:rsid w:val="0099381E"/>
    <w:rsid w:val="00995C86"/>
    <w:rsid w:val="0099647E"/>
    <w:rsid w:val="009A0AAA"/>
    <w:rsid w:val="009B2A76"/>
    <w:rsid w:val="009B2E83"/>
    <w:rsid w:val="009B3AC5"/>
    <w:rsid w:val="009B55CE"/>
    <w:rsid w:val="009C3146"/>
    <w:rsid w:val="009C3A8B"/>
    <w:rsid w:val="009C58BC"/>
    <w:rsid w:val="009D7553"/>
    <w:rsid w:val="009D7782"/>
    <w:rsid w:val="009F2A3B"/>
    <w:rsid w:val="009F6EF0"/>
    <w:rsid w:val="00A01BED"/>
    <w:rsid w:val="00A0726B"/>
    <w:rsid w:val="00A14673"/>
    <w:rsid w:val="00A24246"/>
    <w:rsid w:val="00A51456"/>
    <w:rsid w:val="00A65BBA"/>
    <w:rsid w:val="00A823F0"/>
    <w:rsid w:val="00A85332"/>
    <w:rsid w:val="00A85CB9"/>
    <w:rsid w:val="00A86BD7"/>
    <w:rsid w:val="00A87274"/>
    <w:rsid w:val="00A87A40"/>
    <w:rsid w:val="00A92D96"/>
    <w:rsid w:val="00A93592"/>
    <w:rsid w:val="00A936C4"/>
    <w:rsid w:val="00A970CB"/>
    <w:rsid w:val="00AA009D"/>
    <w:rsid w:val="00AA465A"/>
    <w:rsid w:val="00AA4BE9"/>
    <w:rsid w:val="00AB11E5"/>
    <w:rsid w:val="00AB1A7A"/>
    <w:rsid w:val="00AB507B"/>
    <w:rsid w:val="00AB77CE"/>
    <w:rsid w:val="00AC3DE8"/>
    <w:rsid w:val="00AC3F93"/>
    <w:rsid w:val="00AC55A2"/>
    <w:rsid w:val="00AC61FB"/>
    <w:rsid w:val="00AE0E56"/>
    <w:rsid w:val="00AE2782"/>
    <w:rsid w:val="00AE4C8D"/>
    <w:rsid w:val="00AE5B38"/>
    <w:rsid w:val="00AF353D"/>
    <w:rsid w:val="00AF3C60"/>
    <w:rsid w:val="00B0176A"/>
    <w:rsid w:val="00B01E2E"/>
    <w:rsid w:val="00B10427"/>
    <w:rsid w:val="00B11EF7"/>
    <w:rsid w:val="00B13C26"/>
    <w:rsid w:val="00B208F5"/>
    <w:rsid w:val="00B22117"/>
    <w:rsid w:val="00B238EC"/>
    <w:rsid w:val="00B3143C"/>
    <w:rsid w:val="00B3281A"/>
    <w:rsid w:val="00B3285E"/>
    <w:rsid w:val="00B34A5E"/>
    <w:rsid w:val="00B40248"/>
    <w:rsid w:val="00B409A9"/>
    <w:rsid w:val="00B41191"/>
    <w:rsid w:val="00B413DA"/>
    <w:rsid w:val="00B41454"/>
    <w:rsid w:val="00B453FB"/>
    <w:rsid w:val="00B519B8"/>
    <w:rsid w:val="00B601F1"/>
    <w:rsid w:val="00B60DB1"/>
    <w:rsid w:val="00B60E57"/>
    <w:rsid w:val="00B62F88"/>
    <w:rsid w:val="00B64734"/>
    <w:rsid w:val="00B728A2"/>
    <w:rsid w:val="00B8025D"/>
    <w:rsid w:val="00B965BA"/>
    <w:rsid w:val="00B965CD"/>
    <w:rsid w:val="00BB7153"/>
    <w:rsid w:val="00BD0907"/>
    <w:rsid w:val="00BD5F7B"/>
    <w:rsid w:val="00BD7BB9"/>
    <w:rsid w:val="00BE3587"/>
    <w:rsid w:val="00BF27EF"/>
    <w:rsid w:val="00BF4D28"/>
    <w:rsid w:val="00C01BF4"/>
    <w:rsid w:val="00C02160"/>
    <w:rsid w:val="00C02404"/>
    <w:rsid w:val="00C17F95"/>
    <w:rsid w:val="00C25757"/>
    <w:rsid w:val="00C260AF"/>
    <w:rsid w:val="00C26CE0"/>
    <w:rsid w:val="00C33EB8"/>
    <w:rsid w:val="00C41AC4"/>
    <w:rsid w:val="00C45319"/>
    <w:rsid w:val="00C46421"/>
    <w:rsid w:val="00C525E9"/>
    <w:rsid w:val="00C54619"/>
    <w:rsid w:val="00C56036"/>
    <w:rsid w:val="00C60B6D"/>
    <w:rsid w:val="00C617CF"/>
    <w:rsid w:val="00C7050E"/>
    <w:rsid w:val="00C72589"/>
    <w:rsid w:val="00C77489"/>
    <w:rsid w:val="00C84AA7"/>
    <w:rsid w:val="00C87B92"/>
    <w:rsid w:val="00C942CA"/>
    <w:rsid w:val="00C94410"/>
    <w:rsid w:val="00C95EEF"/>
    <w:rsid w:val="00CA054B"/>
    <w:rsid w:val="00CA7027"/>
    <w:rsid w:val="00CC5CE5"/>
    <w:rsid w:val="00CD1C46"/>
    <w:rsid w:val="00CD293C"/>
    <w:rsid w:val="00CD2D83"/>
    <w:rsid w:val="00CD71F7"/>
    <w:rsid w:val="00CE06E6"/>
    <w:rsid w:val="00CE3303"/>
    <w:rsid w:val="00CE407E"/>
    <w:rsid w:val="00CE6062"/>
    <w:rsid w:val="00CE6961"/>
    <w:rsid w:val="00CF06BB"/>
    <w:rsid w:val="00D014C9"/>
    <w:rsid w:val="00D11ABE"/>
    <w:rsid w:val="00D17C30"/>
    <w:rsid w:val="00D23ECE"/>
    <w:rsid w:val="00D332D5"/>
    <w:rsid w:val="00D339CD"/>
    <w:rsid w:val="00D3570E"/>
    <w:rsid w:val="00D35804"/>
    <w:rsid w:val="00D4278C"/>
    <w:rsid w:val="00D450A6"/>
    <w:rsid w:val="00D46823"/>
    <w:rsid w:val="00D47DB9"/>
    <w:rsid w:val="00D61093"/>
    <w:rsid w:val="00D613AA"/>
    <w:rsid w:val="00D630CC"/>
    <w:rsid w:val="00D72411"/>
    <w:rsid w:val="00D732E5"/>
    <w:rsid w:val="00D80D88"/>
    <w:rsid w:val="00D80EFF"/>
    <w:rsid w:val="00D81106"/>
    <w:rsid w:val="00D82B72"/>
    <w:rsid w:val="00D8309A"/>
    <w:rsid w:val="00D9097E"/>
    <w:rsid w:val="00D95398"/>
    <w:rsid w:val="00DA5CDF"/>
    <w:rsid w:val="00DA7091"/>
    <w:rsid w:val="00DA71A7"/>
    <w:rsid w:val="00DB1289"/>
    <w:rsid w:val="00DB19EC"/>
    <w:rsid w:val="00DB3A2D"/>
    <w:rsid w:val="00DB45C0"/>
    <w:rsid w:val="00DC2ACE"/>
    <w:rsid w:val="00DD3622"/>
    <w:rsid w:val="00DD44CA"/>
    <w:rsid w:val="00DD56CE"/>
    <w:rsid w:val="00DE12E5"/>
    <w:rsid w:val="00DF03CD"/>
    <w:rsid w:val="00DF0CA7"/>
    <w:rsid w:val="00DF3B48"/>
    <w:rsid w:val="00E113CA"/>
    <w:rsid w:val="00E13BDC"/>
    <w:rsid w:val="00E140A1"/>
    <w:rsid w:val="00E2456A"/>
    <w:rsid w:val="00E25463"/>
    <w:rsid w:val="00E42BCF"/>
    <w:rsid w:val="00E42FAC"/>
    <w:rsid w:val="00E50B9C"/>
    <w:rsid w:val="00E57D89"/>
    <w:rsid w:val="00E60CE7"/>
    <w:rsid w:val="00E67234"/>
    <w:rsid w:val="00E675E8"/>
    <w:rsid w:val="00E6778E"/>
    <w:rsid w:val="00E778F9"/>
    <w:rsid w:val="00E81849"/>
    <w:rsid w:val="00E84D1E"/>
    <w:rsid w:val="00E92A89"/>
    <w:rsid w:val="00E963E9"/>
    <w:rsid w:val="00EA08BC"/>
    <w:rsid w:val="00EA0D2D"/>
    <w:rsid w:val="00EA7A4F"/>
    <w:rsid w:val="00EB3BF7"/>
    <w:rsid w:val="00EC48C7"/>
    <w:rsid w:val="00ED7C64"/>
    <w:rsid w:val="00EE74EC"/>
    <w:rsid w:val="00EF1B0D"/>
    <w:rsid w:val="00EF3874"/>
    <w:rsid w:val="00F006CF"/>
    <w:rsid w:val="00F01646"/>
    <w:rsid w:val="00F108C4"/>
    <w:rsid w:val="00F128F2"/>
    <w:rsid w:val="00F13505"/>
    <w:rsid w:val="00F135FD"/>
    <w:rsid w:val="00F150B5"/>
    <w:rsid w:val="00F16BB3"/>
    <w:rsid w:val="00F176C9"/>
    <w:rsid w:val="00F224A3"/>
    <w:rsid w:val="00F22E2D"/>
    <w:rsid w:val="00F26510"/>
    <w:rsid w:val="00F26F55"/>
    <w:rsid w:val="00F3059E"/>
    <w:rsid w:val="00F342A7"/>
    <w:rsid w:val="00F3469B"/>
    <w:rsid w:val="00F379EA"/>
    <w:rsid w:val="00F40CC0"/>
    <w:rsid w:val="00F479E8"/>
    <w:rsid w:val="00F50A2C"/>
    <w:rsid w:val="00F54A47"/>
    <w:rsid w:val="00F57816"/>
    <w:rsid w:val="00F6127D"/>
    <w:rsid w:val="00F72A2B"/>
    <w:rsid w:val="00F75060"/>
    <w:rsid w:val="00F80098"/>
    <w:rsid w:val="00F80330"/>
    <w:rsid w:val="00F81A34"/>
    <w:rsid w:val="00F948A5"/>
    <w:rsid w:val="00FA6BAD"/>
    <w:rsid w:val="00FA7FEA"/>
    <w:rsid w:val="00FB33E3"/>
    <w:rsid w:val="00FB43CB"/>
    <w:rsid w:val="00FB48BC"/>
    <w:rsid w:val="00FB725F"/>
    <w:rsid w:val="00FC3662"/>
    <w:rsid w:val="00FC4353"/>
    <w:rsid w:val="00FD190A"/>
    <w:rsid w:val="00FD3B6C"/>
    <w:rsid w:val="00FD5630"/>
    <w:rsid w:val="00FE0648"/>
    <w:rsid w:val="00FE2F71"/>
    <w:rsid w:val="00FE64E9"/>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basedOn w:val="a1"/>
    <w:uiPriority w:val="3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basedOn w:val="a0"/>
    <w:link w:val="2"/>
    <w:uiPriority w:val="9"/>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semiHidden/>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40">
    <w:name w:val="标题 4 字符"/>
    <w:basedOn w:val="a0"/>
    <w:link w:val="4"/>
    <w:uiPriority w:val="9"/>
    <w:semiHidden/>
    <w:rsid w:val="007974AB"/>
    <w:rPr>
      <w:rFonts w:asciiTheme="majorHAnsi" w:eastAsiaTheme="majorEastAsia" w:hAnsiTheme="majorHAnsi" w:cstheme="majorBidi"/>
      <w:b/>
      <w:bCs/>
      <w:sz w:val="28"/>
      <w:szCs w:val="28"/>
    </w:rPr>
  </w:style>
  <w:style w:type="paragraph" w:customStyle="1" w:styleId="EQ">
    <w:name w:val="EQ"/>
    <w:basedOn w:val="a"/>
    <w:next w:val="a"/>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paragraph" w:customStyle="1" w:styleId="Doc-text2">
    <w:name w:val="Doc-text2"/>
    <w:basedOn w:val="a"/>
    <w:link w:val="Doc-text2Char"/>
    <w:qFormat/>
    <w:rsid w:val="00072893"/>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072893"/>
    <w:rPr>
      <w:rFonts w:ascii="Arial" w:eastAsia="Times New Roman" w:hAnsi="Arial" w:cs="Times New Roman"/>
      <w:kern w:val="0"/>
      <w:sz w:val="20"/>
      <w:szCs w:val="20"/>
      <w:lang w:val="en-GB" w:eastAsia="ja-JP"/>
    </w:rPr>
  </w:style>
  <w:style w:type="character" w:customStyle="1" w:styleId="PLChar">
    <w:name w:val="PL Char"/>
    <w:basedOn w:val="a0"/>
    <w:link w:val="PL"/>
    <w:locked/>
    <w:rsid w:val="00E81849"/>
    <w:rPr>
      <w:rFonts w:ascii="Courier New" w:hAnsi="Courier New" w:cs="Courier New"/>
      <w:shd w:val="clear" w:color="auto" w:fill="E7E6E6"/>
    </w:rPr>
  </w:style>
  <w:style w:type="paragraph" w:customStyle="1" w:styleId="PL">
    <w:name w:val="PL"/>
    <w:basedOn w:val="a"/>
    <w:link w:val="PLChar"/>
    <w:rsid w:val="00E81849"/>
    <w:pPr>
      <w:widowControl/>
      <w:shd w:val="clear" w:color="auto" w:fill="E7E6E6"/>
      <w:overflowPunct w:val="0"/>
      <w:autoSpaceDE w:val="0"/>
      <w:autoSpaceDN w:val="0"/>
      <w:jc w:val="left"/>
    </w:pPr>
    <w:rPr>
      <w:rFonts w:ascii="Courier New" w:hAnsi="Courier New" w:cs="Courier New"/>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12"/>
    <w:qFormat/>
    <w:rsid w:val="00D339CD"/>
    <w:pPr>
      <w:spacing w:after="120"/>
    </w:pPr>
    <w:rPr>
      <w:rFonts w:ascii="Times" w:hAnsi="Times"/>
    </w:rPr>
  </w:style>
  <w:style w:type="character" w:customStyle="1" w:styleId="af1">
    <w:name w:val="正文文本 字符"/>
    <w:basedOn w:val="a0"/>
    <w:uiPriority w:val="99"/>
    <w:semiHidden/>
    <w:rsid w:val="00D339CD"/>
  </w:style>
  <w:style w:type="character" w:customStyle="1" w:styleId="1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link w:val="af0"/>
    <w:qFormat/>
    <w:rsid w:val="00D339CD"/>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767426900">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14033195">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731533637">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1487</TotalTime>
  <Pages>8</Pages>
  <Words>3101</Words>
  <Characters>17680</Characters>
  <Application>Microsoft Office Word</Application>
  <DocSecurity>0</DocSecurity>
  <Lines>147</Lines>
  <Paragraphs>41</Paragraphs>
  <ScaleCrop>false</ScaleCrop>
  <Company/>
  <LinksUpToDate>false</LinksUpToDate>
  <CharactersWithSpaces>20740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Fu</cp:lastModifiedBy>
  <cp:revision>371</cp:revision>
  <dcterms:created xsi:type="dcterms:W3CDTF">2024-01-08T02:26:00Z</dcterms:created>
  <dcterms:modified xsi:type="dcterms:W3CDTF">2025-02-07T17:40:00Z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