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BFB883" w14:textId="419F0DBA" w:rsidR="00D03EF2" w:rsidRPr="00D03EF2" w:rsidRDefault="00D03EF2" w:rsidP="00D03EF2">
      <w:pPr>
        <w:rPr>
          <w:rFonts w:ascii="Arial" w:hAnsi="Arial" w:cs="Arial"/>
          <w:b/>
          <w:bCs/>
          <w:sz w:val="24"/>
          <w:szCs w:val="24"/>
        </w:rPr>
      </w:pPr>
      <w:r w:rsidRPr="00D03EF2">
        <w:rPr>
          <w:rFonts w:ascii="Arial" w:hAnsi="Arial" w:cs="Arial"/>
          <w:b/>
          <w:bCs/>
          <w:sz w:val="24"/>
          <w:szCs w:val="24"/>
        </w:rPr>
        <w:t xml:space="preserve">3GPP TSG-RAN WG4 Meeting # 113                         </w:t>
      </w:r>
      <w:r>
        <w:rPr>
          <w:rFonts w:ascii="Arial" w:hAnsi="Arial" w:cs="Arial" w:hint="eastAsia"/>
          <w:b/>
          <w:bCs/>
          <w:sz w:val="24"/>
          <w:szCs w:val="24"/>
        </w:rPr>
        <w:t xml:space="preserve">   </w:t>
      </w:r>
      <w:r w:rsidRPr="00D03EF2">
        <w:rPr>
          <w:rFonts w:ascii="Arial" w:hAnsi="Arial" w:cs="Arial"/>
          <w:b/>
          <w:bCs/>
          <w:sz w:val="24"/>
          <w:szCs w:val="24"/>
        </w:rPr>
        <w:t xml:space="preserve">   </w:t>
      </w:r>
      <w:r w:rsidR="00EF11F5">
        <w:rPr>
          <w:rFonts w:ascii="Arial" w:hAnsi="Arial" w:cs="Arial" w:hint="eastAsia"/>
          <w:b/>
          <w:bCs/>
          <w:sz w:val="24"/>
          <w:szCs w:val="24"/>
        </w:rPr>
        <w:t xml:space="preserve">  </w:t>
      </w:r>
      <w:r w:rsidRPr="00D03EF2">
        <w:rPr>
          <w:rFonts w:ascii="Arial" w:hAnsi="Arial" w:cs="Arial"/>
          <w:b/>
          <w:bCs/>
          <w:sz w:val="24"/>
          <w:szCs w:val="24"/>
        </w:rPr>
        <w:t xml:space="preserve">   </w:t>
      </w:r>
      <w:r w:rsidR="00EF11F5" w:rsidRPr="00EF11F5">
        <w:rPr>
          <w:rFonts w:ascii="Arial" w:hAnsi="Arial" w:cs="Arial"/>
          <w:b/>
          <w:bCs/>
          <w:sz w:val="24"/>
          <w:szCs w:val="24"/>
        </w:rPr>
        <w:t>R4-2418741</w:t>
      </w:r>
    </w:p>
    <w:p w14:paraId="1341A0DE" w14:textId="11166112" w:rsidR="0095524F" w:rsidRDefault="00D03EF2" w:rsidP="00D03EF2">
      <w:pPr>
        <w:rPr>
          <w:rFonts w:ascii="Arial" w:hAnsi="Arial" w:cs="Arial"/>
          <w:b/>
          <w:bCs/>
          <w:sz w:val="24"/>
          <w:szCs w:val="24"/>
        </w:rPr>
      </w:pPr>
      <w:r w:rsidRPr="00D03EF2">
        <w:rPr>
          <w:rFonts w:ascii="Arial" w:hAnsi="Arial" w:cs="Arial"/>
          <w:b/>
          <w:bCs/>
          <w:sz w:val="24"/>
          <w:szCs w:val="24"/>
        </w:rPr>
        <w:t>Orlando, US, 18th – 22nd November, 2024</w:t>
      </w:r>
    </w:p>
    <w:p w14:paraId="57C5235D" w14:textId="77777777" w:rsidR="0095524F" w:rsidRDefault="0095524F"/>
    <w:p w14:paraId="40EA81E6" w14:textId="2AA453D0" w:rsidR="0095524F"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8E3CBE">
        <w:rPr>
          <w:rFonts w:ascii="Arial" w:hAnsi="Arial" w:cs="Arial" w:hint="eastAsia"/>
          <w:b/>
          <w:sz w:val="24"/>
          <w:szCs w:val="24"/>
        </w:rPr>
        <w:t>7</w:t>
      </w:r>
      <w:r w:rsidR="00B84F88">
        <w:rPr>
          <w:rFonts w:ascii="Arial" w:hAnsi="Arial" w:cs="Arial" w:hint="eastAsia"/>
          <w:b/>
          <w:sz w:val="24"/>
          <w:szCs w:val="24"/>
        </w:rPr>
        <w:t>.20.2.1</w:t>
      </w:r>
    </w:p>
    <w:p w14:paraId="7F862998" w14:textId="77777777" w:rsidR="0095524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58F6B2A4" w14:textId="7DD6A9FF" w:rsidR="0095524F"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new RF requirement for SBFD</w:t>
      </w:r>
    </w:p>
    <w:p w14:paraId="0B301253" w14:textId="77777777" w:rsidR="0095524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4E3BBE56"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501CE52" w14:textId="77777777" w:rsidR="0095524F"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1154FAE8" w14:textId="1A1900EA" w:rsidR="0095524F"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w:t>
      </w:r>
      <w:r w:rsidR="0006138C">
        <w:rPr>
          <w:rFonts w:ascii="Times New Roman" w:hAnsi="Times New Roman" w:hint="eastAsia"/>
          <w:sz w:val="20"/>
        </w:rPr>
        <w:t>2</w:t>
      </w:r>
      <w:r>
        <w:rPr>
          <w:rFonts w:ascii="Times New Roman" w:hAnsi="Times New Roman" w:hint="eastAsia"/>
          <w:sz w:val="20"/>
        </w:rPr>
        <w:t>]</w:t>
      </w:r>
    </w:p>
    <w:p w14:paraId="042A44F7" w14:textId="77777777" w:rsidR="0095524F" w:rsidRDefault="00000000">
      <w:pPr>
        <w:spacing w:after="180"/>
        <w:rPr>
          <w:rFonts w:ascii="Times New Roman" w:hAnsi="Times New Roman"/>
          <w:sz w:val="20"/>
        </w:rPr>
      </w:pPr>
      <w:r>
        <w:rPr>
          <w:rFonts w:ascii="Times New Roman" w:hAnsi="Times New Roman" w:hint="eastAsia"/>
          <w:sz w:val="20"/>
        </w:rPr>
        <w:t>In this contribution, we continue the RF requirements discussion based on the output of study item phase.</w:t>
      </w:r>
    </w:p>
    <w:p w14:paraId="64A4716C" w14:textId="77777777" w:rsidR="0095524F"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43AD7F9" w14:textId="5CCC02FB" w:rsidR="0095524F" w:rsidRDefault="00000000">
      <w:pPr>
        <w:pStyle w:val="3"/>
        <w:spacing w:before="156" w:after="156"/>
      </w:pPr>
      <w:r>
        <w:rPr>
          <w:rFonts w:hint="eastAsia"/>
        </w:rPr>
        <w:t>2.</w:t>
      </w:r>
      <w:r w:rsidR="00C8091E">
        <w:rPr>
          <w:rFonts w:hint="eastAsia"/>
        </w:rPr>
        <w:t>1</w:t>
      </w:r>
      <w:r>
        <w:rPr>
          <w:rFonts w:hint="eastAsia"/>
        </w:rPr>
        <w:t xml:space="preserve"> in-channel adjacent sub-band leakage ratio</w:t>
      </w:r>
    </w:p>
    <w:p w14:paraId="407C5E8C" w14:textId="77777777" w:rsidR="0095524F" w:rsidRDefault="00000000">
      <w:pPr>
        <w:rPr>
          <w:rFonts w:ascii="Times New Roman" w:hAnsi="Times New Roman"/>
          <w:sz w:val="20"/>
          <w:szCs w:val="20"/>
        </w:rPr>
      </w:pPr>
      <w:r>
        <w:rPr>
          <w:rFonts w:ascii="Times New Roman" w:hAnsi="Times New Roman"/>
          <w:sz w:val="20"/>
          <w:szCs w:val="20"/>
        </w:rPr>
        <w:t xml:space="preserve">Following capture </w:t>
      </w:r>
      <w:r>
        <w:rPr>
          <w:rFonts w:ascii="Times New Roman" w:hAnsi="Times New Roman" w:hint="eastAsia"/>
          <w:sz w:val="20"/>
          <w:szCs w:val="20"/>
        </w:rPr>
        <w:t xml:space="preserve">the agreements from TR 38.858 for in-channel adjacent </w:t>
      </w:r>
      <w:proofErr w:type="spellStart"/>
      <w:r>
        <w:rPr>
          <w:rFonts w:ascii="Times New Roman" w:hAnsi="Times New Roman" w:hint="eastAsia"/>
          <w:sz w:val="20"/>
          <w:szCs w:val="20"/>
        </w:rPr>
        <w:t>subband</w:t>
      </w:r>
      <w:proofErr w:type="spellEnd"/>
      <w:r>
        <w:rPr>
          <w:rFonts w:ascii="Times New Roman" w:hAnsi="Times New Roman" w:hint="eastAsia"/>
          <w:sz w:val="20"/>
          <w:szCs w:val="20"/>
        </w:rPr>
        <w:t xml:space="preserve"> leakage ratio requirements</w:t>
      </w:r>
      <w:r>
        <w:rPr>
          <w:rFonts w:ascii="Times New Roman" w:hAnsi="Times New Roman"/>
          <w:sz w:val="20"/>
          <w:szCs w:val="20"/>
        </w:rPr>
        <w:t>:</w:t>
      </w:r>
    </w:p>
    <w:tbl>
      <w:tblPr>
        <w:tblStyle w:val="af3"/>
        <w:tblW w:w="0" w:type="auto"/>
        <w:tblLook w:val="04A0" w:firstRow="1" w:lastRow="0" w:firstColumn="1" w:lastColumn="0" w:noHBand="0" w:noVBand="1"/>
      </w:tblPr>
      <w:tblGrid>
        <w:gridCol w:w="9736"/>
      </w:tblGrid>
      <w:tr w:rsidR="0095524F" w14:paraId="10F576B4" w14:textId="77777777">
        <w:tc>
          <w:tcPr>
            <w:tcW w:w="9962" w:type="dxa"/>
          </w:tcPr>
          <w:p w14:paraId="7E43FAB2" w14:textId="77777777" w:rsidR="0095524F" w:rsidRDefault="00000000">
            <w:pPr>
              <w:rPr>
                <w:rFonts w:ascii="Times New Roman" w:hAnsi="Times New Roman"/>
                <w:sz w:val="20"/>
                <w:szCs w:val="20"/>
              </w:rPr>
            </w:pPr>
            <w:r>
              <w:rPr>
                <w:rFonts w:ascii="Times New Roman" w:hAnsi="Times New Roman"/>
              </w:rPr>
              <w:t xml:space="preserve">For the potential new requirement of in-channel adjacent </w:t>
            </w:r>
            <w:proofErr w:type="spellStart"/>
            <w:r>
              <w:rPr>
                <w:rFonts w:ascii="Times New Roman" w:hAnsi="Times New Roman"/>
              </w:rPr>
              <w:t>subband</w:t>
            </w:r>
            <w:proofErr w:type="spellEnd"/>
            <w:r>
              <w:rPr>
                <w:rFonts w:ascii="Times New Roman" w:hAnsi="Times New Roman"/>
              </w:rPr>
              <w:t xml:space="preserve"> leakage ratio, it is concluded that further study is needed on the necessity of this requirement in normative phase.</w:t>
            </w:r>
          </w:p>
        </w:tc>
      </w:tr>
    </w:tbl>
    <w:p w14:paraId="33D78A91" w14:textId="77777777" w:rsidR="0095524F" w:rsidRDefault="0095524F">
      <w:pPr>
        <w:spacing w:after="120"/>
        <w:rPr>
          <w:rFonts w:ascii="Times New Roman" w:hAnsi="Times New Roman"/>
          <w:sz w:val="20"/>
          <w:szCs w:val="20"/>
        </w:rPr>
      </w:pPr>
    </w:p>
    <w:p w14:paraId="6EEBB8D6" w14:textId="77777777" w:rsidR="0095524F" w:rsidRDefault="00000000">
      <w:pPr>
        <w:spacing w:after="120"/>
        <w:rPr>
          <w:rFonts w:ascii="Times New Roman" w:hAnsi="Times New Roman"/>
          <w:sz w:val="20"/>
          <w:szCs w:val="20"/>
        </w:rPr>
      </w:pPr>
      <w:r>
        <w:rPr>
          <w:rFonts w:ascii="Times New Roman" w:hAnsi="Times New Roman" w:hint="eastAsia"/>
          <w:sz w:val="20"/>
          <w:szCs w:val="20"/>
        </w:rPr>
        <w:t>When sub-band Tx leakage fall into Rx sub-band within the same carrier, this interference may contribute to REFSENSE level. Previous agreements are that further study i</w:t>
      </w:r>
      <w:r>
        <w:rPr>
          <w:rFonts w:ascii="Times New Roman" w:hAnsi="Times New Roman"/>
          <w:sz w:val="20"/>
          <w:szCs w:val="20"/>
        </w:rPr>
        <w:t>f OTA sensitivity should be defined considering all of the scenarios including self-interference, inter-site interference and inter-sector interference.</w:t>
      </w:r>
      <w:r>
        <w:rPr>
          <w:rFonts w:ascii="Times New Roman" w:hAnsi="Times New Roman" w:hint="eastAsia"/>
          <w:sz w:val="20"/>
          <w:szCs w:val="20"/>
        </w:rPr>
        <w:t xml:space="preserve"> So this sub-band leakage requirements falling into the same carrier should be discussed together with OTA sensitivity requirements. </w:t>
      </w:r>
    </w:p>
    <w:p w14:paraId="0DA92134"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When sub-band Tx leakage fall into adjacent carrier, this is something like ACLR. The similar definition methodology could be reused with assumed equal Tx bandwidth and Rx bandwidth. As stated in section 2.4, this general sub-band Tx leakage not applies for co-located case. </w:t>
      </w:r>
    </w:p>
    <w:p w14:paraId="2C6B8256"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Besides, we should also keep in mind that interference may still occur even with infinitely increased SBFD performance. For example when co-exist with legacy NR network, interference may still occur even with infinitely increased SBFD performance. But when co-exist with SBFD of different configuration, interference could be avoided by increased SBFD performance. So before defining sub-band Tx leakage when falling into adjacent carrier, we should identify the assumption of adjacent network performance, i.e. with legacy 3GPP requirement or with enhanced requirements.</w:t>
      </w:r>
    </w:p>
    <w:p w14:paraId="3373EACB" w14:textId="13F72A9A" w:rsidR="0095524F" w:rsidRDefault="0099619D">
      <w:pPr>
        <w:spacing w:beforeLines="50" w:before="156" w:afterLines="50" w:after="156"/>
        <w:rPr>
          <w:rFonts w:ascii="Times New Roman" w:hAnsi="Times New Roman"/>
          <w:b/>
          <w:bCs/>
          <w:sz w:val="20"/>
          <w:szCs w:val="20"/>
        </w:rPr>
      </w:pPr>
      <w:r w:rsidRPr="0099619D">
        <w:rPr>
          <w:rFonts w:ascii="Times New Roman" w:hAnsi="Times New Roman"/>
          <w:b/>
          <w:bCs/>
          <w:sz w:val="20"/>
          <w:szCs w:val="20"/>
        </w:rPr>
        <w:t xml:space="preserve">Proposal </w:t>
      </w:r>
      <w:r>
        <w:rPr>
          <w:rFonts w:ascii="Times New Roman" w:hAnsi="Times New Roman" w:hint="eastAsia"/>
          <w:b/>
          <w:bCs/>
          <w:sz w:val="20"/>
          <w:szCs w:val="20"/>
        </w:rPr>
        <w:t>1: In-</w:t>
      </w:r>
      <w:r w:rsidRPr="0099619D">
        <w:rPr>
          <w:rFonts w:ascii="Times New Roman" w:hAnsi="Times New Roman"/>
          <w:b/>
          <w:bCs/>
          <w:sz w:val="20"/>
          <w:szCs w:val="20"/>
        </w:rPr>
        <w:t>channel adjacent sub-band leakage ratio</w:t>
      </w:r>
      <w:r>
        <w:rPr>
          <w:rFonts w:ascii="Times New Roman" w:hAnsi="Times New Roman" w:hint="eastAsia"/>
          <w:b/>
          <w:bCs/>
          <w:sz w:val="20"/>
          <w:szCs w:val="20"/>
        </w:rPr>
        <w:t xml:space="preserve"> should be defined or reflect by other requirements.</w:t>
      </w:r>
    </w:p>
    <w:p w14:paraId="01034784" w14:textId="77777777" w:rsidR="0095524F" w:rsidRDefault="00000000">
      <w:pPr>
        <w:pStyle w:val="3"/>
        <w:spacing w:before="156" w:after="156"/>
      </w:pPr>
      <w:r>
        <w:rPr>
          <w:rFonts w:hint="eastAsia"/>
        </w:rPr>
        <w:lastRenderedPageBreak/>
        <w:t>2.6 in-channel adjacent sub-band selectivity or blocking</w:t>
      </w:r>
    </w:p>
    <w:p w14:paraId="75DB374A" w14:textId="77777777" w:rsidR="0095524F" w:rsidRDefault="00000000">
      <w:pPr>
        <w:spacing w:after="180"/>
        <w:rPr>
          <w:rFonts w:ascii="Times New Roman" w:hAnsi="Times New Roman"/>
          <w:sz w:val="20"/>
          <w:szCs w:val="20"/>
        </w:rPr>
      </w:pPr>
      <w:r>
        <w:rPr>
          <w:rFonts w:ascii="Times New Roman" w:hAnsi="Times New Roman" w:hint="eastAsia"/>
          <w:sz w:val="20"/>
          <w:szCs w:val="20"/>
        </w:rPr>
        <w:t>Last meeting agreement is listed as below:</w:t>
      </w:r>
    </w:p>
    <w:tbl>
      <w:tblPr>
        <w:tblStyle w:val="af3"/>
        <w:tblW w:w="0" w:type="auto"/>
        <w:tblLook w:val="04A0" w:firstRow="1" w:lastRow="0" w:firstColumn="1" w:lastColumn="0" w:noHBand="0" w:noVBand="1"/>
      </w:tblPr>
      <w:tblGrid>
        <w:gridCol w:w="9736"/>
      </w:tblGrid>
      <w:tr w:rsidR="0095524F" w14:paraId="70808CDD" w14:textId="77777777">
        <w:tc>
          <w:tcPr>
            <w:tcW w:w="9962" w:type="dxa"/>
          </w:tcPr>
          <w:p w14:paraId="75E515C1" w14:textId="77777777" w:rsidR="0095524F" w:rsidRDefault="00000000">
            <w:pPr>
              <w:rPr>
                <w:rFonts w:ascii="Times New Roman" w:hAnsi="Times New Roman"/>
                <w:sz w:val="20"/>
                <w:szCs w:val="20"/>
              </w:rPr>
            </w:pPr>
            <w:r>
              <w:rPr>
                <w:rFonts w:ascii="Times New Roman" w:hAnsi="Times New Roman"/>
              </w:rPr>
              <w:t xml:space="preserve">For the potential new requirements of in-channel adjacent </w:t>
            </w:r>
            <w:proofErr w:type="spellStart"/>
            <w:r>
              <w:rPr>
                <w:rFonts w:ascii="Times New Roman" w:hAnsi="Times New Roman"/>
              </w:rPr>
              <w:t>subband</w:t>
            </w:r>
            <w:proofErr w:type="spellEnd"/>
            <w:r>
              <w:rPr>
                <w:rFonts w:ascii="Times New Roman" w:hAnsi="Times New Roman"/>
              </w:rPr>
              <w:t xml:space="preserve"> blocking and selectivity, it is concluded that further study is needed on the necessity of this requirement in normative phase.</w:t>
            </w:r>
          </w:p>
        </w:tc>
      </w:tr>
    </w:tbl>
    <w:p w14:paraId="0EA8EEF4" w14:textId="24CD0528"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For legacy ACS and blocking requirements, the main difference are the interference signal level and interference signal position. For ACS, the interference signal is at first adjacent channel and interference signal power is calculated based on sensitivity and ACS value. For in-band blocking, the interference signal is at second adjacent channel and interference signal power is 9dB higher derived as 95% point on CDF of all </w:t>
      </w:r>
      <w:proofErr w:type="spellStart"/>
      <w:r>
        <w:rPr>
          <w:rFonts w:ascii="Times New Roman" w:hAnsi="Times New Roman" w:hint="eastAsia"/>
          <w:sz w:val="20"/>
          <w:szCs w:val="20"/>
        </w:rPr>
        <w:t>gNB</w:t>
      </w:r>
      <w:r>
        <w:rPr>
          <w:rFonts w:ascii="Times New Roman" w:hAnsi="Times New Roman"/>
          <w:sz w:val="20"/>
          <w:szCs w:val="20"/>
        </w:rPr>
        <w:t>’</w:t>
      </w:r>
      <w:r>
        <w:rPr>
          <w:rFonts w:ascii="Times New Roman" w:hAnsi="Times New Roman" w:hint="eastAsia"/>
          <w:sz w:val="20"/>
          <w:szCs w:val="20"/>
        </w:rPr>
        <w:t>s</w:t>
      </w:r>
      <w:proofErr w:type="spellEnd"/>
      <w:r>
        <w:rPr>
          <w:rFonts w:ascii="Times New Roman" w:hAnsi="Times New Roman" w:hint="eastAsia"/>
          <w:sz w:val="20"/>
          <w:szCs w:val="20"/>
        </w:rPr>
        <w:t xml:space="preserve"> total input power level. So the ACS requirement and blocking requirement can</w:t>
      </w:r>
      <w:r>
        <w:rPr>
          <w:rFonts w:ascii="Times New Roman" w:hAnsi="Times New Roman"/>
          <w:sz w:val="20"/>
          <w:szCs w:val="20"/>
        </w:rPr>
        <w:t>’</w:t>
      </w:r>
      <w:r>
        <w:rPr>
          <w:rFonts w:ascii="Times New Roman" w:hAnsi="Times New Roman" w:hint="eastAsia"/>
          <w:sz w:val="20"/>
          <w:szCs w:val="20"/>
        </w:rPr>
        <w:t xml:space="preserve">t replace each other.  </w:t>
      </w:r>
    </w:p>
    <w:p w14:paraId="01E3B314"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 xml:space="preserve">The same story of ACS and blocking also applies for sub-band case. We need both selectivity and blocking requirements. One is based on co-existence conclusion to meet 5% throughput loss and the other is with higher interference level with another sub-band frequency offset. </w:t>
      </w:r>
    </w:p>
    <w:p w14:paraId="6690F2B5" w14:textId="5FC507E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Regarding how to conclude sub-band selectivity and blocking requirements, the story is much similar as stated in section for sub-band Tx leakage.</w:t>
      </w:r>
    </w:p>
    <w:p w14:paraId="61BBF221" w14:textId="77777777" w:rsidR="0095524F" w:rsidRDefault="00000000">
      <w:pPr>
        <w:spacing w:beforeLines="50" w:before="156" w:afterLines="50" w:after="156"/>
        <w:rPr>
          <w:rFonts w:ascii="Times New Roman" w:hAnsi="Times New Roman"/>
          <w:sz w:val="20"/>
          <w:szCs w:val="20"/>
        </w:rPr>
      </w:pPr>
      <w:r>
        <w:rPr>
          <w:rFonts w:ascii="Times New Roman" w:hAnsi="Times New Roman" w:hint="eastAsia"/>
          <w:sz w:val="20"/>
          <w:szCs w:val="20"/>
        </w:rPr>
        <w:t>When Tx interference signal is within the same carrier, this sub-band selectivity may contribute to REFSENSE degradation. Previous agreements are that further study i</w:t>
      </w:r>
      <w:r>
        <w:rPr>
          <w:rFonts w:ascii="Times New Roman" w:hAnsi="Times New Roman"/>
          <w:sz w:val="20"/>
          <w:szCs w:val="20"/>
        </w:rPr>
        <w:t>f OTA sensitivity should be defined considering all of the scenarios including self-interference, inter-site interference and inter-sector interference.</w:t>
      </w:r>
      <w:r>
        <w:rPr>
          <w:rFonts w:ascii="Times New Roman" w:hAnsi="Times New Roman" w:hint="eastAsia"/>
          <w:sz w:val="20"/>
          <w:szCs w:val="20"/>
        </w:rPr>
        <w:t xml:space="preserve"> Sub-band selectivity requirements when Tx interference is within the same carrier should be discussed together with OTA sensitivity requirements. If </w:t>
      </w:r>
      <w:r>
        <w:rPr>
          <w:rFonts w:ascii="Times New Roman" w:hAnsi="Times New Roman"/>
          <w:sz w:val="20"/>
          <w:szCs w:val="20"/>
        </w:rPr>
        <w:t>OTA sensitivity</w:t>
      </w:r>
      <w:r>
        <w:rPr>
          <w:rFonts w:ascii="Times New Roman" w:hAnsi="Times New Roman" w:hint="eastAsia"/>
          <w:sz w:val="20"/>
          <w:szCs w:val="20"/>
        </w:rPr>
        <w:t xml:space="preserve"> will consider encompass these sub-band interference, sub-band selectivity with Tx interference signal within carrier is not needed.</w:t>
      </w:r>
    </w:p>
    <w:p w14:paraId="0528C097" w14:textId="3840F5F2" w:rsidR="00C8091E" w:rsidRPr="00C8091E" w:rsidRDefault="00C8091E">
      <w:pPr>
        <w:spacing w:beforeLines="50" w:before="156" w:afterLines="50" w:after="156"/>
        <w:rPr>
          <w:rFonts w:ascii="Times New Roman" w:hAnsi="Times New Roman"/>
          <w:b/>
          <w:bCs/>
          <w:sz w:val="20"/>
          <w:szCs w:val="20"/>
        </w:rPr>
      </w:pPr>
      <w:r w:rsidRPr="00C8091E">
        <w:rPr>
          <w:rFonts w:ascii="Times New Roman" w:hAnsi="Times New Roman"/>
          <w:b/>
          <w:bCs/>
          <w:sz w:val="20"/>
          <w:szCs w:val="20"/>
        </w:rPr>
        <w:t xml:space="preserve">Proposal </w:t>
      </w:r>
      <w:r w:rsidR="0099619D">
        <w:rPr>
          <w:rFonts w:ascii="Times New Roman" w:hAnsi="Times New Roman" w:hint="eastAsia"/>
          <w:b/>
          <w:bCs/>
          <w:sz w:val="20"/>
          <w:szCs w:val="20"/>
        </w:rPr>
        <w:t>2</w:t>
      </w:r>
      <w:r w:rsidRPr="00C8091E">
        <w:rPr>
          <w:rFonts w:ascii="Times New Roman" w:hAnsi="Times New Roman"/>
          <w:b/>
          <w:bCs/>
          <w:sz w:val="20"/>
          <w:szCs w:val="20"/>
        </w:rPr>
        <w:t xml:space="preserve">: </w:t>
      </w:r>
      <w:r w:rsidR="0099619D">
        <w:rPr>
          <w:rFonts w:ascii="Times New Roman" w:hAnsi="Times New Roman" w:hint="eastAsia"/>
          <w:b/>
          <w:bCs/>
          <w:sz w:val="20"/>
          <w:szCs w:val="20"/>
        </w:rPr>
        <w:t>B</w:t>
      </w:r>
      <w:r w:rsidRPr="00C8091E">
        <w:rPr>
          <w:rFonts w:ascii="Times New Roman" w:hAnsi="Times New Roman"/>
          <w:b/>
          <w:bCs/>
          <w:sz w:val="20"/>
          <w:szCs w:val="20"/>
        </w:rPr>
        <w:t>oth sub-band selectivity and blocking requirements should be defined.</w:t>
      </w:r>
    </w:p>
    <w:p w14:paraId="082E9262"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7DB274DE" w14:textId="77777777" w:rsidR="0095524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6B616F31" w14:textId="094F618A" w:rsidR="0095524F" w:rsidRDefault="0099619D">
      <w:pPr>
        <w:spacing w:beforeLines="50" w:before="156" w:afterLines="50" w:after="156"/>
        <w:rPr>
          <w:rFonts w:ascii="Times New Roman" w:hAnsi="Times New Roman"/>
          <w:b/>
          <w:bCs/>
          <w:sz w:val="20"/>
          <w:szCs w:val="20"/>
        </w:rPr>
      </w:pPr>
      <w:r w:rsidRPr="0099619D">
        <w:rPr>
          <w:rFonts w:ascii="Times New Roman" w:hAnsi="Times New Roman"/>
          <w:b/>
          <w:bCs/>
          <w:sz w:val="20"/>
          <w:szCs w:val="20"/>
        </w:rPr>
        <w:t>Proposal 1: In-channel adjacent sub-band leakage ratio should be defined or reflect by other requirements.</w:t>
      </w:r>
    </w:p>
    <w:p w14:paraId="066711F1" w14:textId="684B9A02" w:rsidR="0095524F" w:rsidRDefault="0099619D">
      <w:pPr>
        <w:spacing w:beforeLines="50" w:before="156" w:afterLines="50" w:after="156"/>
        <w:rPr>
          <w:rFonts w:ascii="Times New Roman" w:hAnsi="Times New Roman"/>
          <w:b/>
          <w:bCs/>
          <w:sz w:val="20"/>
          <w:szCs w:val="20"/>
        </w:rPr>
      </w:pPr>
      <w:r w:rsidRPr="0099619D">
        <w:rPr>
          <w:rFonts w:ascii="Times New Roman" w:hAnsi="Times New Roman"/>
          <w:b/>
          <w:bCs/>
          <w:sz w:val="20"/>
          <w:szCs w:val="20"/>
        </w:rPr>
        <w:t xml:space="preserve">Proposal </w:t>
      </w:r>
      <w:r>
        <w:rPr>
          <w:rFonts w:ascii="Times New Roman" w:hAnsi="Times New Roman" w:hint="eastAsia"/>
          <w:b/>
          <w:bCs/>
          <w:sz w:val="20"/>
          <w:szCs w:val="20"/>
        </w:rPr>
        <w:t>2</w:t>
      </w:r>
      <w:r w:rsidRPr="0099619D">
        <w:rPr>
          <w:rFonts w:ascii="Times New Roman" w:hAnsi="Times New Roman"/>
          <w:b/>
          <w:bCs/>
          <w:sz w:val="20"/>
          <w:szCs w:val="20"/>
        </w:rPr>
        <w:t>: Both sub-band selectivity and blocking requirements should be defined.</w:t>
      </w:r>
    </w:p>
    <w:p w14:paraId="3B27F928" w14:textId="77777777" w:rsidR="0095524F"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791E4879" w14:textId="532FE18B" w:rsidR="0095524F" w:rsidRDefault="00000000" w:rsidP="003F12BF">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[1] TR 38.858</w:t>
      </w:r>
    </w:p>
    <w:p w14:paraId="0090A064" w14:textId="6E845361" w:rsidR="0099619D" w:rsidRDefault="00EC5C5E" w:rsidP="003F12BF">
      <w:pPr>
        <w:widowControl/>
        <w:overflowPunct w:val="0"/>
        <w:autoSpaceDE w:val="0"/>
        <w:autoSpaceDN w:val="0"/>
        <w:adjustRightInd w:val="0"/>
        <w:spacing w:after="180"/>
        <w:jc w:val="left"/>
        <w:textAlignment w:val="baseline"/>
        <w:rPr>
          <w:rFonts w:ascii="Times New Roman" w:hAnsi="Times New Roman"/>
          <w:sz w:val="20"/>
          <w:szCs w:val="20"/>
        </w:rPr>
      </w:pPr>
      <w:r w:rsidRPr="00EC5C5E">
        <w:rPr>
          <w:rFonts w:ascii="Times New Roman" w:hAnsi="Times New Roman"/>
          <w:sz w:val="20"/>
          <w:szCs w:val="20"/>
        </w:rPr>
        <w:t xml:space="preserve">[1] R4-2416585, Way Forward for [112bis][307] </w:t>
      </w:r>
      <w:proofErr w:type="spellStart"/>
      <w:r w:rsidRPr="00EC5C5E">
        <w:rPr>
          <w:rFonts w:ascii="Times New Roman" w:hAnsi="Times New Roman"/>
          <w:sz w:val="20"/>
          <w:szCs w:val="20"/>
        </w:rPr>
        <w:t>NR_duplex_evo_BSRF</w:t>
      </w:r>
      <w:proofErr w:type="spellEnd"/>
    </w:p>
    <w:sectPr w:rsidR="0099619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7FC4D" w14:textId="77777777" w:rsidR="00405B19" w:rsidRDefault="00405B19">
      <w:r>
        <w:separator/>
      </w:r>
    </w:p>
  </w:endnote>
  <w:endnote w:type="continuationSeparator" w:id="0">
    <w:p w14:paraId="7A9676F9" w14:textId="77777777" w:rsidR="00405B19" w:rsidRDefault="0040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89C13" w14:textId="77777777" w:rsidR="00405B19" w:rsidRDefault="00405B19">
      <w:r>
        <w:separator/>
      </w:r>
    </w:p>
  </w:footnote>
  <w:footnote w:type="continuationSeparator" w:id="0">
    <w:p w14:paraId="31598978" w14:textId="77777777" w:rsidR="00405B19" w:rsidRDefault="0040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A37A6" w14:textId="77777777" w:rsidR="0095524F" w:rsidRDefault="0095524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5812"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16cid:durableId="1846433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27F7A"/>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138C"/>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1BAF"/>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84F"/>
    <w:rsid w:val="00396D76"/>
    <w:rsid w:val="003971FA"/>
    <w:rsid w:val="00397BAF"/>
    <w:rsid w:val="003A07B8"/>
    <w:rsid w:val="003A1D04"/>
    <w:rsid w:val="003A2130"/>
    <w:rsid w:val="003A30AB"/>
    <w:rsid w:val="003A3B4E"/>
    <w:rsid w:val="003A4245"/>
    <w:rsid w:val="003A49DF"/>
    <w:rsid w:val="003A709C"/>
    <w:rsid w:val="003A79C0"/>
    <w:rsid w:val="003A7F41"/>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2BF"/>
    <w:rsid w:val="003F1C84"/>
    <w:rsid w:val="003F2035"/>
    <w:rsid w:val="003F2587"/>
    <w:rsid w:val="003F25E2"/>
    <w:rsid w:val="003F41C1"/>
    <w:rsid w:val="003F42A4"/>
    <w:rsid w:val="003F51E3"/>
    <w:rsid w:val="003F560A"/>
    <w:rsid w:val="003F7F29"/>
    <w:rsid w:val="004017E5"/>
    <w:rsid w:val="00403783"/>
    <w:rsid w:val="00403E79"/>
    <w:rsid w:val="0040406D"/>
    <w:rsid w:val="00405536"/>
    <w:rsid w:val="00405B19"/>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60A6"/>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395"/>
    <w:rsid w:val="006E5816"/>
    <w:rsid w:val="006E5911"/>
    <w:rsid w:val="006E59FD"/>
    <w:rsid w:val="006E5B04"/>
    <w:rsid w:val="006E78BD"/>
    <w:rsid w:val="006E7B77"/>
    <w:rsid w:val="006F0917"/>
    <w:rsid w:val="006F0C64"/>
    <w:rsid w:val="006F1C31"/>
    <w:rsid w:val="006F1F83"/>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1CC"/>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00C5"/>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2EA8"/>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07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3CBE"/>
    <w:rsid w:val="008E4462"/>
    <w:rsid w:val="008E6B18"/>
    <w:rsid w:val="008E7511"/>
    <w:rsid w:val="008E77DA"/>
    <w:rsid w:val="008E7A25"/>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36BF3"/>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4F"/>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9D"/>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0E4E"/>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1ED"/>
    <w:rsid w:val="00A764CF"/>
    <w:rsid w:val="00A776C7"/>
    <w:rsid w:val="00A803F2"/>
    <w:rsid w:val="00A8105F"/>
    <w:rsid w:val="00A84352"/>
    <w:rsid w:val="00A843CB"/>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DE6"/>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5FB"/>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E0A"/>
    <w:rsid w:val="00B01F4E"/>
    <w:rsid w:val="00B025A1"/>
    <w:rsid w:val="00B02AC8"/>
    <w:rsid w:val="00B02E1E"/>
    <w:rsid w:val="00B03AE4"/>
    <w:rsid w:val="00B040A1"/>
    <w:rsid w:val="00B0421D"/>
    <w:rsid w:val="00B058A5"/>
    <w:rsid w:val="00B05BDE"/>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4F8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256"/>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91E"/>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3EF2"/>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1B55"/>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583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3351"/>
    <w:rsid w:val="00EC4D82"/>
    <w:rsid w:val="00EC508A"/>
    <w:rsid w:val="00EC50F1"/>
    <w:rsid w:val="00EC5B92"/>
    <w:rsid w:val="00EC5C5E"/>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1F5"/>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C365C1"/>
    <w:rsid w:val="01DE089D"/>
    <w:rsid w:val="020970C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9686A"/>
    <w:rsid w:val="076E27BD"/>
    <w:rsid w:val="0770402F"/>
    <w:rsid w:val="07BA06BE"/>
    <w:rsid w:val="07CA6B66"/>
    <w:rsid w:val="08973524"/>
    <w:rsid w:val="08A65D3D"/>
    <w:rsid w:val="0900762B"/>
    <w:rsid w:val="09626007"/>
    <w:rsid w:val="09993AB5"/>
    <w:rsid w:val="09F66D51"/>
    <w:rsid w:val="0ABA1F25"/>
    <w:rsid w:val="0ADD2F10"/>
    <w:rsid w:val="0AE962F7"/>
    <w:rsid w:val="0AF159BB"/>
    <w:rsid w:val="0B0758A7"/>
    <w:rsid w:val="0B1B4548"/>
    <w:rsid w:val="0B98539E"/>
    <w:rsid w:val="0BB17964"/>
    <w:rsid w:val="0BE65845"/>
    <w:rsid w:val="0BF0521B"/>
    <w:rsid w:val="0BFE4B3A"/>
    <w:rsid w:val="0C8D3125"/>
    <w:rsid w:val="0CCF7411"/>
    <w:rsid w:val="0D545798"/>
    <w:rsid w:val="0D624402"/>
    <w:rsid w:val="0DB4420C"/>
    <w:rsid w:val="0E037D57"/>
    <w:rsid w:val="0E1D4B35"/>
    <w:rsid w:val="0E5F68A3"/>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5862BF"/>
    <w:rsid w:val="17A04468"/>
    <w:rsid w:val="18135A10"/>
    <w:rsid w:val="18642373"/>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3D0B9B"/>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2A4CAC"/>
    <w:rsid w:val="286036CB"/>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8A2F49"/>
    <w:rsid w:val="2C9F3BCE"/>
    <w:rsid w:val="2CA64350"/>
    <w:rsid w:val="2CF4664D"/>
    <w:rsid w:val="2D4D79AC"/>
    <w:rsid w:val="2E9C0F87"/>
    <w:rsid w:val="2EB8044F"/>
    <w:rsid w:val="2EC16B9C"/>
    <w:rsid w:val="2EDF426C"/>
    <w:rsid w:val="2EEC4E92"/>
    <w:rsid w:val="2F1C0982"/>
    <w:rsid w:val="2F283914"/>
    <w:rsid w:val="2F747966"/>
    <w:rsid w:val="2FCB6344"/>
    <w:rsid w:val="2FEC1523"/>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510879"/>
    <w:rsid w:val="372F46A7"/>
    <w:rsid w:val="37726C9D"/>
    <w:rsid w:val="379344BE"/>
    <w:rsid w:val="37B21027"/>
    <w:rsid w:val="37BD6848"/>
    <w:rsid w:val="37CC6816"/>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733C91"/>
    <w:rsid w:val="42916AC5"/>
    <w:rsid w:val="42EB4612"/>
    <w:rsid w:val="431A5724"/>
    <w:rsid w:val="436807A8"/>
    <w:rsid w:val="439901E8"/>
    <w:rsid w:val="43EC12FF"/>
    <w:rsid w:val="43F11B33"/>
    <w:rsid w:val="43F17986"/>
    <w:rsid w:val="444678CE"/>
    <w:rsid w:val="44565A46"/>
    <w:rsid w:val="447E086E"/>
    <w:rsid w:val="44B37A44"/>
    <w:rsid w:val="44B454C5"/>
    <w:rsid w:val="44C125DD"/>
    <w:rsid w:val="44DD6689"/>
    <w:rsid w:val="44E7774D"/>
    <w:rsid w:val="45127C50"/>
    <w:rsid w:val="4524487F"/>
    <w:rsid w:val="45830A1B"/>
    <w:rsid w:val="458D51A8"/>
    <w:rsid w:val="459B4244"/>
    <w:rsid w:val="45A33E4B"/>
    <w:rsid w:val="45A94422"/>
    <w:rsid w:val="45CC5F92"/>
    <w:rsid w:val="465C2D4B"/>
    <w:rsid w:val="465C457C"/>
    <w:rsid w:val="46E67A01"/>
    <w:rsid w:val="47262D4B"/>
    <w:rsid w:val="47E2567D"/>
    <w:rsid w:val="47F00216"/>
    <w:rsid w:val="48FF25D1"/>
    <w:rsid w:val="49281A93"/>
    <w:rsid w:val="492F313E"/>
    <w:rsid w:val="495010D7"/>
    <w:rsid w:val="4955555E"/>
    <w:rsid w:val="49570A61"/>
    <w:rsid w:val="49E453DD"/>
    <w:rsid w:val="49EE4458"/>
    <w:rsid w:val="4A521971"/>
    <w:rsid w:val="4A772194"/>
    <w:rsid w:val="4A9C4E28"/>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5A1A99"/>
    <w:rsid w:val="4E723844"/>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8C361F"/>
    <w:rsid w:val="53A46AC8"/>
    <w:rsid w:val="53A54549"/>
    <w:rsid w:val="53F47B4C"/>
    <w:rsid w:val="5403314B"/>
    <w:rsid w:val="544A4CD7"/>
    <w:rsid w:val="545309AA"/>
    <w:rsid w:val="54DE26CA"/>
    <w:rsid w:val="552827AD"/>
    <w:rsid w:val="55584783"/>
    <w:rsid w:val="55835CD9"/>
    <w:rsid w:val="558E2FA7"/>
    <w:rsid w:val="55B464A8"/>
    <w:rsid w:val="55BD2802"/>
    <w:rsid w:val="55F969E7"/>
    <w:rsid w:val="56024028"/>
    <w:rsid w:val="5616190A"/>
    <w:rsid w:val="567E13F4"/>
    <w:rsid w:val="56941399"/>
    <w:rsid w:val="569F71AC"/>
    <w:rsid w:val="56F83407"/>
    <w:rsid w:val="571F34FB"/>
    <w:rsid w:val="572210F5"/>
    <w:rsid w:val="572A730E"/>
    <w:rsid w:val="576146B9"/>
    <w:rsid w:val="577865C9"/>
    <w:rsid w:val="578F7CCE"/>
    <w:rsid w:val="57E1103B"/>
    <w:rsid w:val="58467715"/>
    <w:rsid w:val="587B1239"/>
    <w:rsid w:val="58B65B9B"/>
    <w:rsid w:val="593309E8"/>
    <w:rsid w:val="59BC0B47"/>
    <w:rsid w:val="59FB712C"/>
    <w:rsid w:val="5A050D40"/>
    <w:rsid w:val="5A8A0BF0"/>
    <w:rsid w:val="5AA83DCD"/>
    <w:rsid w:val="5B2F7529"/>
    <w:rsid w:val="5BBA168B"/>
    <w:rsid w:val="5BBD01B3"/>
    <w:rsid w:val="5CAC7D1A"/>
    <w:rsid w:val="5CCF11D3"/>
    <w:rsid w:val="5D1154C0"/>
    <w:rsid w:val="5D4A309B"/>
    <w:rsid w:val="5D7F7CF2"/>
    <w:rsid w:val="5D851C35"/>
    <w:rsid w:val="5E1A7EF1"/>
    <w:rsid w:val="5E2A018B"/>
    <w:rsid w:val="5E3A1833"/>
    <w:rsid w:val="5EA04BEE"/>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B41D56"/>
    <w:rsid w:val="640E1B35"/>
    <w:rsid w:val="6412053C"/>
    <w:rsid w:val="64430D0B"/>
    <w:rsid w:val="644E6752"/>
    <w:rsid w:val="648065F1"/>
    <w:rsid w:val="65046BCA"/>
    <w:rsid w:val="650A2CD2"/>
    <w:rsid w:val="651D6610"/>
    <w:rsid w:val="6566621E"/>
    <w:rsid w:val="65821697"/>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7992D"/>
  <w15:docId w15:val="{66644C20-2C84-46FB-A293-DF7198441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710</Words>
  <Characters>4050</Characters>
  <Application>Microsoft Office Word</Application>
  <DocSecurity>0</DocSecurity>
  <Lines>33</Lines>
  <Paragraphs>9</Paragraphs>
  <ScaleCrop>false</ScaleCrop>
  <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195</cp:revision>
  <dcterms:created xsi:type="dcterms:W3CDTF">2022-04-25T02:55:00Z</dcterms:created>
  <dcterms:modified xsi:type="dcterms:W3CDTF">2024-11-08T09:25:00Z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