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598C2" w14:textId="19BADDB4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560C58" w:rsidRPr="00560C58">
        <w:rPr>
          <w:rFonts w:eastAsia="SimSun" w:cs="Arial"/>
          <w:sz w:val="24"/>
          <w:szCs w:val="24"/>
          <w:lang w:eastAsia="zh-CN"/>
        </w:rPr>
        <w:t>R4-2416518</w:t>
      </w:r>
      <w:bookmarkStart w:id="4" w:name="_GoBack"/>
      <w:bookmarkEnd w:id="4"/>
    </w:p>
    <w:p w14:paraId="6AB24163" w14:textId="77777777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459B5893" w14:textId="77777777" w:rsidR="006712C1" w:rsidRDefault="005929A6" w:rsidP="006712C1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>Title:</w:t>
      </w:r>
      <w:r w:rsidRPr="00FD5D9B">
        <w:rPr>
          <w:rFonts w:ascii="Arial" w:hAnsi="Arial" w:cs="Arial"/>
          <w:sz w:val="22"/>
        </w:rPr>
        <w:t xml:space="preserve"> </w:t>
      </w:r>
      <w:r w:rsidRPr="00FD5D9B">
        <w:rPr>
          <w:rFonts w:ascii="Arial" w:hAnsi="Arial" w:cs="Arial"/>
          <w:sz w:val="22"/>
        </w:rPr>
        <w:tab/>
      </w:r>
      <w:r w:rsidR="00A8300D">
        <w:rPr>
          <w:rFonts w:ascii="Arial" w:hAnsi="Arial" w:cs="Arial"/>
          <w:sz w:val="22"/>
        </w:rPr>
        <w:tab/>
      </w:r>
      <w:r w:rsidR="006712C1" w:rsidRPr="006712C1">
        <w:rPr>
          <w:rFonts w:ascii="Arial" w:hAnsi="Arial" w:cs="Arial"/>
          <w:sz w:val="22"/>
        </w:rPr>
        <w:t>Initial analysis of the NB-IoT requirements for n87 and n88</w:t>
      </w:r>
    </w:p>
    <w:p w14:paraId="1AA54E92" w14:textId="13BFF15E" w:rsidR="005929A6" w:rsidRPr="0091017F" w:rsidRDefault="005929A6" w:rsidP="006712C1">
      <w:pPr>
        <w:tabs>
          <w:tab w:val="left" w:pos="1985"/>
        </w:tabs>
        <w:ind w:left="1980" w:hanging="1980"/>
        <w:jc w:val="both"/>
        <w:rPr>
          <w:rFonts w:ascii="Arial" w:eastAsia="SimSun" w:hAnsi="Arial" w:cs="Arial"/>
          <w:sz w:val="22"/>
          <w:lang w:eastAsia="zh-CN"/>
        </w:rPr>
      </w:pPr>
      <w:r w:rsidRPr="00F47C3D">
        <w:rPr>
          <w:rFonts w:ascii="Arial" w:hAnsi="Arial" w:cs="Arial"/>
          <w:b/>
          <w:sz w:val="22"/>
        </w:rPr>
        <w:t>Agen</w:t>
      </w:r>
      <w:r w:rsidR="007B3E89" w:rsidRPr="00F47C3D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F47C3D">
        <w:rPr>
          <w:rFonts w:ascii="Arial" w:hAnsi="Arial" w:cs="Arial"/>
          <w:b/>
          <w:sz w:val="22"/>
        </w:rPr>
        <w:t>a Item:</w:t>
      </w:r>
      <w:r w:rsidR="00291E51" w:rsidRPr="00F47C3D">
        <w:rPr>
          <w:rFonts w:ascii="Arial" w:hAnsi="Arial" w:cs="Arial"/>
          <w:sz w:val="22"/>
        </w:rPr>
        <w:tab/>
      </w:r>
      <w:r w:rsidR="006712C1">
        <w:rPr>
          <w:rFonts w:ascii="Arial" w:eastAsia="SimSun" w:hAnsi="Arial" w:cs="Arial"/>
          <w:sz w:val="22"/>
          <w:lang w:eastAsia="zh-CN"/>
        </w:rPr>
        <w:t>5.15.1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22B4F362" w14:textId="1ADA65D8" w:rsidR="00FD5D9B" w:rsidRDefault="00CE3C1C" w:rsidP="00E605DB">
      <w:pPr>
        <w:widowControl w:val="0"/>
        <w:overflowPunct/>
        <w:autoSpaceDE/>
        <w:autoSpaceDN/>
        <w:adjustRightInd/>
        <w:spacing w:after="0"/>
        <w:textAlignment w:val="auto"/>
      </w:pPr>
      <w:r w:rsidRPr="00CE3C1C">
        <w:t xml:space="preserve">In this contribution we </w:t>
      </w:r>
      <w:r w:rsidR="00953414">
        <w:t>provide i</w:t>
      </w:r>
      <w:r w:rsidR="00953414" w:rsidRPr="00953414">
        <w:t>nitial analysis of the NB-IoT requirements for n87 and n88</w:t>
      </w:r>
      <w:r w:rsidR="00953414">
        <w:t xml:space="preserve">, as per WF in </w:t>
      </w:r>
      <w:r w:rsidR="00953414" w:rsidRPr="00953414">
        <w:t>R4-2414272</w:t>
      </w:r>
      <w:r w:rsidR="003413D7">
        <w:t xml:space="preserve"> which has captured the following:</w:t>
      </w:r>
    </w:p>
    <w:p w14:paraId="4781D214" w14:textId="77777777" w:rsidR="003413D7" w:rsidRDefault="003413D7" w:rsidP="00E605DB">
      <w:pPr>
        <w:widowControl w:val="0"/>
        <w:overflowPunct/>
        <w:autoSpaceDE/>
        <w:autoSpaceDN/>
        <w:adjustRightInd/>
        <w:spacing w:after="0"/>
        <w:textAlignment w:val="auto"/>
      </w:pPr>
    </w:p>
    <w:p w14:paraId="23129B35" w14:textId="5B1961C7" w:rsidR="003413D7" w:rsidRPr="00EB24F6" w:rsidRDefault="003413D7" w:rsidP="003413D7">
      <w:pPr>
        <w:widowControl w:val="0"/>
        <w:overflowPunct/>
        <w:autoSpaceDE/>
        <w:autoSpaceDN/>
        <w:adjustRightInd/>
        <w:spacing w:after="0"/>
        <w:ind w:left="284"/>
        <w:textAlignment w:val="auto"/>
        <w:rPr>
          <w:lang w:eastAsia="zh-CN"/>
        </w:rPr>
      </w:pPr>
      <w:r w:rsidRPr="003413D7">
        <w:rPr>
          <w:lang w:eastAsia="zh-CN"/>
        </w:rPr>
        <w:t>- Analyse annex 4 in ECC/Dec</w:t>
      </w:r>
      <w:proofErr w:type="gramStart"/>
      <w:r w:rsidRPr="003413D7">
        <w:rPr>
          <w:lang w:eastAsia="zh-CN"/>
        </w:rPr>
        <w:t>/(</w:t>
      </w:r>
      <w:proofErr w:type="gramEnd"/>
      <w:r w:rsidRPr="003413D7">
        <w:rPr>
          <w:lang w:eastAsia="zh-CN"/>
        </w:rPr>
        <w:t>19)02 for the identification of any applicable requirements for in-band/</w:t>
      </w:r>
      <w:proofErr w:type="spellStart"/>
      <w:r w:rsidRPr="003413D7">
        <w:rPr>
          <w:lang w:eastAsia="zh-CN"/>
        </w:rPr>
        <w:t>guardband</w:t>
      </w:r>
      <w:proofErr w:type="spellEnd"/>
      <w:r w:rsidRPr="003413D7">
        <w:rPr>
          <w:lang w:eastAsia="zh-CN"/>
        </w:rPr>
        <w:t>/standalone NB-IoT operation in bands n87 and n88</w:t>
      </w:r>
    </w:p>
    <w:p w14:paraId="36AED793" w14:textId="40CDD5E6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3393A91B" w14:textId="72089BC7" w:rsidR="003413D7" w:rsidRPr="00ED7DAE" w:rsidRDefault="003413D7" w:rsidP="003413D7">
      <w:pPr>
        <w:rPr>
          <w:lang w:eastAsia="zh-CN"/>
        </w:rPr>
      </w:pPr>
      <w:r>
        <w:rPr>
          <w:lang w:eastAsia="zh-CN"/>
        </w:rPr>
        <w:t xml:space="preserve">Referring to </w:t>
      </w:r>
      <w:r w:rsidRPr="003413D7">
        <w:rPr>
          <w:lang w:eastAsia="zh-CN"/>
        </w:rPr>
        <w:t>ECC/Dec</w:t>
      </w:r>
      <w:proofErr w:type="gramStart"/>
      <w:r w:rsidRPr="003413D7">
        <w:rPr>
          <w:lang w:eastAsia="zh-CN"/>
        </w:rPr>
        <w:t>/(</w:t>
      </w:r>
      <w:proofErr w:type="gramEnd"/>
      <w:r w:rsidRPr="003413D7">
        <w:rPr>
          <w:lang w:eastAsia="zh-CN"/>
        </w:rPr>
        <w:t>19)02</w:t>
      </w:r>
      <w:r>
        <w:rPr>
          <w:lang w:eastAsia="zh-CN"/>
        </w:rPr>
        <w:t>, it capture</w:t>
      </w:r>
      <w:r w:rsidRPr="00ED7DAE">
        <w:rPr>
          <w:lang w:eastAsia="zh-CN"/>
        </w:rPr>
        <w:t xml:space="preserve">s NB-IoT requirements (applicable to both E-UTRA and NR) which were not addressed so far. Below, initial analysis is provided for further discussion: </w:t>
      </w:r>
    </w:p>
    <w:p w14:paraId="293F9B49" w14:textId="77777777" w:rsidR="006712C1" w:rsidRPr="00ED7DAE" w:rsidRDefault="006712C1" w:rsidP="006712C1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ED7DAE">
        <w:rPr>
          <w:rFonts w:ascii="Times New Roman" w:hAnsi="Times New Roman" w:cs="Times New Roman"/>
          <w:sz w:val="20"/>
          <w:szCs w:val="20"/>
        </w:rPr>
        <w:t>Inband</w:t>
      </w:r>
      <w:proofErr w:type="spellEnd"/>
      <w:r w:rsidRPr="00ED7DAE">
        <w:rPr>
          <w:rFonts w:ascii="Times New Roman" w:hAnsi="Times New Roman" w:cs="Times New Roman"/>
          <w:sz w:val="20"/>
          <w:szCs w:val="20"/>
        </w:rPr>
        <w:t xml:space="preserve"> NB-IoT</w:t>
      </w:r>
    </w:p>
    <w:p w14:paraId="0834FDCA" w14:textId="77777777" w:rsidR="006712C1" w:rsidRPr="00ED7DAE" w:rsidRDefault="006712C1" w:rsidP="006712C1">
      <w:pPr>
        <w:rPr>
          <w:lang w:eastAsia="zh-CN"/>
        </w:rPr>
      </w:pPr>
      <w:r w:rsidRPr="00ED7DAE">
        <w:t xml:space="preserve">According to </w:t>
      </w:r>
      <w:r w:rsidRPr="00ED7DAE">
        <w:rPr>
          <w:lang w:eastAsia="zh-CN"/>
        </w:rPr>
        <w:t>ECC/Dec</w:t>
      </w:r>
      <w:proofErr w:type="gramStart"/>
      <w:r w:rsidRPr="00ED7DAE">
        <w:rPr>
          <w:lang w:eastAsia="zh-CN"/>
        </w:rPr>
        <w:t>/(</w:t>
      </w:r>
      <w:proofErr w:type="gramEnd"/>
      <w:r w:rsidRPr="00ED7DAE">
        <w:rPr>
          <w:lang w:eastAsia="zh-CN"/>
        </w:rPr>
        <w:t xml:space="preserve">19)02 clause A4.1, there is no impact of the NB-IoT </w:t>
      </w:r>
      <w:proofErr w:type="spellStart"/>
      <w:r w:rsidRPr="00ED7DAE">
        <w:rPr>
          <w:lang w:eastAsia="zh-CN"/>
        </w:rPr>
        <w:t>inband</w:t>
      </w:r>
      <w:proofErr w:type="spellEnd"/>
      <w:r w:rsidRPr="00ED7DAE">
        <w:rPr>
          <w:lang w:eastAsia="zh-CN"/>
        </w:rPr>
        <w:t xml:space="preserve"> operation. </w:t>
      </w:r>
    </w:p>
    <w:p w14:paraId="64DCE52F" w14:textId="7D76CB43" w:rsidR="00ED7DAE" w:rsidRDefault="006712C1" w:rsidP="006712C1">
      <w:r w:rsidRPr="00ED7DAE">
        <w:t xml:space="preserve">Therefore, </w:t>
      </w:r>
      <w:r w:rsidR="00ED7DAE" w:rsidRPr="00ED7DAE">
        <w:t xml:space="preserve">it would be straightforward to capture </w:t>
      </w:r>
      <w:proofErr w:type="spellStart"/>
      <w:r w:rsidR="00ED7DAE" w:rsidRPr="00ED7DAE">
        <w:t>inband</w:t>
      </w:r>
      <w:proofErr w:type="spellEnd"/>
      <w:r w:rsidR="00ED7DAE" w:rsidRPr="00ED7DAE">
        <w:t xml:space="preserve"> NB-IoT operation in bands n87 and n88 while there are is explicit objective captured in the WID. </w:t>
      </w:r>
    </w:p>
    <w:p w14:paraId="74274FDA" w14:textId="77777777" w:rsidR="006712C1" w:rsidRPr="00996B19" w:rsidRDefault="006712C1" w:rsidP="00996B1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996B19">
        <w:rPr>
          <w:rFonts w:ascii="Times New Roman" w:hAnsi="Times New Roman" w:cs="Times New Roman"/>
          <w:sz w:val="20"/>
          <w:szCs w:val="20"/>
        </w:rPr>
        <w:t>Guardband</w:t>
      </w:r>
      <w:proofErr w:type="spellEnd"/>
      <w:r w:rsidRPr="00996B19">
        <w:rPr>
          <w:rFonts w:ascii="Times New Roman" w:hAnsi="Times New Roman" w:cs="Times New Roman"/>
          <w:sz w:val="20"/>
          <w:szCs w:val="20"/>
        </w:rPr>
        <w:t xml:space="preserve"> NB-IoT / Standalone NB-IoT</w:t>
      </w:r>
    </w:p>
    <w:p w14:paraId="232F4EE4" w14:textId="6525AF45" w:rsidR="006712C1" w:rsidRPr="000B63D2" w:rsidRDefault="006712C1" w:rsidP="006712C1">
      <w:pPr>
        <w:rPr>
          <w:lang w:eastAsia="zh-CN"/>
        </w:rPr>
      </w:pPr>
      <w:r w:rsidRPr="000B63D2">
        <w:t xml:space="preserve">According to </w:t>
      </w:r>
      <w:r w:rsidRPr="000B63D2">
        <w:rPr>
          <w:lang w:eastAsia="zh-CN"/>
        </w:rPr>
        <w:t>ECC/Dec</w:t>
      </w:r>
      <w:proofErr w:type="gramStart"/>
      <w:r w:rsidRPr="000B63D2">
        <w:rPr>
          <w:lang w:eastAsia="zh-CN"/>
        </w:rPr>
        <w:t>/(</w:t>
      </w:r>
      <w:proofErr w:type="gramEnd"/>
      <w:r w:rsidRPr="000B63D2">
        <w:rPr>
          <w:lang w:eastAsia="zh-CN"/>
        </w:rPr>
        <w:t xml:space="preserve">19)02 clause A4.2, for the </w:t>
      </w:r>
      <w:proofErr w:type="spellStart"/>
      <w:r w:rsidRPr="000B63D2">
        <w:rPr>
          <w:lang w:eastAsia="zh-CN"/>
        </w:rPr>
        <w:t>guardband</w:t>
      </w:r>
      <w:proofErr w:type="spellEnd"/>
      <w:r w:rsidRPr="000B63D2">
        <w:rPr>
          <w:lang w:eastAsia="zh-CN"/>
        </w:rPr>
        <w:t xml:space="preserve"> </w:t>
      </w:r>
      <w:r w:rsidR="00996B19" w:rsidRPr="000B63D2">
        <w:rPr>
          <w:lang w:eastAsia="zh-CN"/>
        </w:rPr>
        <w:t xml:space="preserve">and standalone </w:t>
      </w:r>
      <w:r w:rsidRPr="000B63D2">
        <w:rPr>
          <w:lang w:eastAsia="zh-CN"/>
        </w:rPr>
        <w:t>NB-IoT operation, the following applies: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96B19" w14:paraId="35DDF37E" w14:textId="77777777" w:rsidTr="00996B19">
        <w:tc>
          <w:tcPr>
            <w:tcW w:w="9631" w:type="dxa"/>
          </w:tcPr>
          <w:p w14:paraId="7D0B4EE0" w14:textId="6D2F2EA4" w:rsidR="00996B19" w:rsidRDefault="00996B19" w:rsidP="006712C1">
            <w:pPr>
              <w:jc w:val="center"/>
              <w:rPr>
                <w:highlight w:val="yellow"/>
              </w:rPr>
            </w:pPr>
            <w:r w:rsidRPr="00996B19">
              <w:rPr>
                <w:noProof/>
              </w:rPr>
              <w:drawing>
                <wp:inline distT="0" distB="0" distL="0" distR="0" wp14:anchorId="461D3639" wp14:editId="69B6113B">
                  <wp:extent cx="3743847" cy="1914792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3847" cy="1914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6B19" w14:paraId="0EB622D3" w14:textId="77777777" w:rsidTr="00996B19">
        <w:tc>
          <w:tcPr>
            <w:tcW w:w="9631" w:type="dxa"/>
          </w:tcPr>
          <w:p w14:paraId="61658542" w14:textId="5AADBB8F" w:rsidR="00996B19" w:rsidRPr="00996B19" w:rsidRDefault="00996B19" w:rsidP="006712C1">
            <w:pPr>
              <w:jc w:val="center"/>
              <w:rPr>
                <w:b/>
              </w:rPr>
            </w:pPr>
            <w:r w:rsidRPr="00996B19">
              <w:rPr>
                <w:b/>
                <w:noProof/>
              </w:rPr>
              <w:drawing>
                <wp:inline distT="0" distB="0" distL="0" distR="0" wp14:anchorId="560142C7" wp14:editId="096BA05E">
                  <wp:extent cx="4753638" cy="97168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3638" cy="971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6B19" w:rsidRPr="00D022B2" w14:paraId="2723EAA7" w14:textId="77777777" w:rsidTr="00996B19">
        <w:tc>
          <w:tcPr>
            <w:tcW w:w="9631" w:type="dxa"/>
          </w:tcPr>
          <w:p w14:paraId="27313DFD" w14:textId="58A075C1" w:rsidR="00996B19" w:rsidRPr="00D022B2" w:rsidRDefault="00996B19" w:rsidP="006712C1">
            <w:pPr>
              <w:jc w:val="center"/>
              <w:rPr>
                <w:b/>
              </w:rPr>
            </w:pPr>
            <w:r w:rsidRPr="00D022B2">
              <w:rPr>
                <w:noProof/>
              </w:rPr>
              <w:lastRenderedPageBreak/>
              <w:drawing>
                <wp:inline distT="0" distB="0" distL="0" distR="0" wp14:anchorId="1ED25AA0" wp14:editId="06EB5E55">
                  <wp:extent cx="5943600" cy="372237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72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40A852" w14:textId="0E8E8AD2" w:rsidR="00996B19" w:rsidRPr="00D022B2" w:rsidRDefault="00996B19" w:rsidP="006712C1">
      <w:pPr>
        <w:jc w:val="center"/>
      </w:pPr>
    </w:p>
    <w:p w14:paraId="3197BB04" w14:textId="77777777" w:rsidR="0034580D" w:rsidRPr="00D022B2" w:rsidRDefault="0034580D" w:rsidP="003B2697">
      <w:r w:rsidRPr="00D022B2">
        <w:t>T</w:t>
      </w:r>
      <w:r w:rsidR="003B2697" w:rsidRPr="00D022B2">
        <w:t xml:space="preserve">here are no </w:t>
      </w:r>
      <w:r w:rsidRPr="00D022B2">
        <w:t xml:space="preserve">technical </w:t>
      </w:r>
      <w:r w:rsidR="003B2697" w:rsidRPr="00D022B2">
        <w:t xml:space="preserve">issues </w:t>
      </w:r>
      <w:r w:rsidRPr="00D022B2">
        <w:t xml:space="preserve">identified </w:t>
      </w:r>
      <w:r w:rsidR="003B2697" w:rsidRPr="00D022B2">
        <w:t xml:space="preserve">with </w:t>
      </w:r>
      <w:r w:rsidRPr="00D022B2">
        <w:t xml:space="preserve">Transmissions parameters and Frequency offset as in tables 16 and 17. </w:t>
      </w:r>
    </w:p>
    <w:p w14:paraId="3A279E52" w14:textId="77777777" w:rsidR="00D022B2" w:rsidRPr="00D022B2" w:rsidRDefault="0034580D" w:rsidP="003B2697">
      <w:r w:rsidRPr="00D022B2">
        <w:t xml:space="preserve">For the BS OBUE in table 18, it was identified that the mask seems </w:t>
      </w:r>
      <w:r w:rsidR="00D022B2" w:rsidRPr="00D022B2">
        <w:t xml:space="preserve">(at least partially) </w:t>
      </w:r>
      <w:r w:rsidRPr="00D022B2">
        <w:t xml:space="preserve">aligned with </w:t>
      </w:r>
      <w:r w:rsidR="00D022B2" w:rsidRPr="00D022B2">
        <w:t xml:space="preserve">some </w:t>
      </w:r>
      <w:r w:rsidRPr="00D022B2">
        <w:t xml:space="preserve">existing </w:t>
      </w:r>
      <w:r w:rsidR="00D022B2" w:rsidRPr="00D022B2">
        <w:t xml:space="preserve">OBUE requirement, </w:t>
      </w:r>
      <w:proofErr w:type="spellStart"/>
      <w:r w:rsidR="00D022B2" w:rsidRPr="00D022B2">
        <w:t>e.g</w:t>
      </w:r>
      <w:proofErr w:type="spellEnd"/>
      <w:r w:rsidR="00D022B2" w:rsidRPr="00D022B2">
        <w:t xml:space="preserve">, </w:t>
      </w:r>
    </w:p>
    <w:p w14:paraId="0D7046A6" w14:textId="4B2689ED" w:rsidR="00996B19" w:rsidRPr="00D022B2" w:rsidRDefault="00D022B2" w:rsidP="00D022B2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022B2">
        <w:rPr>
          <w:rFonts w:ascii="Times New Roman" w:hAnsi="Times New Roman" w:cs="Times New Roman"/>
          <w:sz w:val="20"/>
          <w:szCs w:val="20"/>
        </w:rPr>
        <w:t xml:space="preserve">MSR BS spec: </w:t>
      </w:r>
      <w:r w:rsidR="0034580D" w:rsidRPr="00D022B2">
        <w:rPr>
          <w:rFonts w:ascii="Times New Roman" w:hAnsi="Times New Roman" w:cs="Times New Roman"/>
          <w:sz w:val="20"/>
          <w:szCs w:val="20"/>
        </w:rPr>
        <w:t xml:space="preserve">E-UTRA </w:t>
      </w:r>
      <w:r w:rsidR="00C45B07" w:rsidRPr="00D022B2">
        <w:rPr>
          <w:rFonts w:ascii="Times New Roman" w:hAnsi="Times New Roman" w:cs="Times New Roman"/>
          <w:sz w:val="20"/>
          <w:szCs w:val="20"/>
        </w:rPr>
        <w:t xml:space="preserve">WA </w:t>
      </w:r>
      <w:r w:rsidR="0034580D" w:rsidRPr="00D022B2">
        <w:rPr>
          <w:rFonts w:ascii="Times New Roman" w:hAnsi="Times New Roman" w:cs="Times New Roman"/>
          <w:sz w:val="20"/>
          <w:szCs w:val="20"/>
        </w:rPr>
        <w:t>BS OBUE requirement, e.g. see TS 37.105 Table 6.6.5.2.3-2:</w:t>
      </w:r>
    </w:p>
    <w:p w14:paraId="0AC7A765" w14:textId="77777777" w:rsidR="0034580D" w:rsidRPr="00D022B2" w:rsidRDefault="0034580D" w:rsidP="0034580D">
      <w:pPr>
        <w:pStyle w:val="TH"/>
        <w:rPr>
          <w:rFonts w:cs="v5.0.0"/>
        </w:rPr>
      </w:pPr>
      <w:r w:rsidRPr="00D022B2">
        <w:t>Table 6.6.5.2.3-2: WA BS OBUE</w:t>
      </w:r>
      <w:r w:rsidRPr="00D022B2" w:rsidDel="00B1128B">
        <w:t xml:space="preserve"> </w:t>
      </w:r>
      <w:r w:rsidRPr="00D022B2">
        <w:t xml:space="preserve">in BC2 bands applicable for: BS operating with E-UTRA 1.4 or 3 MHz carriers adjacent to the </w:t>
      </w:r>
      <w:r w:rsidRPr="00D022B2">
        <w:rPr>
          <w:i/>
        </w:rPr>
        <w:t xml:space="preserve">Base Station RF Bandwidth edge </w:t>
      </w:r>
      <w:r w:rsidRPr="00D022B2">
        <w:rPr>
          <w:rFonts w:eastAsia="DengXian"/>
        </w:rPr>
        <w:t>or the sub-block edge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3118"/>
        <w:gridCol w:w="3402"/>
        <w:gridCol w:w="1348"/>
      </w:tblGrid>
      <w:tr w:rsidR="0034580D" w:rsidRPr="00D022B2" w14:paraId="3D39F2A6" w14:textId="77777777" w:rsidTr="0040624B">
        <w:trPr>
          <w:cantSplit/>
          <w:jc w:val="center"/>
        </w:trPr>
        <w:tc>
          <w:tcPr>
            <w:tcW w:w="1915" w:type="dxa"/>
          </w:tcPr>
          <w:p w14:paraId="286D7388" w14:textId="77777777" w:rsidR="0034580D" w:rsidRPr="00D022B2" w:rsidRDefault="0034580D" w:rsidP="0040624B">
            <w:pPr>
              <w:pStyle w:val="TAH"/>
              <w:rPr>
                <w:rFonts w:cs="Arial"/>
              </w:rPr>
            </w:pPr>
            <w:r w:rsidRPr="00D022B2">
              <w:rPr>
                <w:rFonts w:cs="Arial"/>
              </w:rPr>
              <w:t xml:space="preserve">Frequency offset of measurement filter </w:t>
            </w:r>
            <w:r w:rsidRPr="00D022B2">
              <w:rPr>
                <w:rFonts w:cs="Arial"/>
              </w:rPr>
              <w:noBreakHyphen/>
              <w:t xml:space="preserve">3dB point, </w:t>
            </w:r>
            <w:r w:rsidRPr="00D022B2">
              <w:rPr>
                <w:rFonts w:cs="Arial"/>
              </w:rPr>
              <w:sym w:font="Symbol" w:char="F044"/>
            </w:r>
            <w:r w:rsidRPr="00D022B2">
              <w:rPr>
                <w:rFonts w:cs="Arial"/>
              </w:rPr>
              <w:t>f</w:t>
            </w:r>
          </w:p>
        </w:tc>
        <w:tc>
          <w:tcPr>
            <w:tcW w:w="3118" w:type="dxa"/>
          </w:tcPr>
          <w:p w14:paraId="09F5F7D5" w14:textId="77777777" w:rsidR="0034580D" w:rsidRPr="00D022B2" w:rsidRDefault="0034580D" w:rsidP="0040624B">
            <w:pPr>
              <w:pStyle w:val="TAH"/>
              <w:rPr>
                <w:rFonts w:cs="Arial"/>
              </w:rPr>
            </w:pPr>
            <w:r w:rsidRPr="00D022B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D022B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02" w:type="dxa"/>
          </w:tcPr>
          <w:p w14:paraId="3C316E89" w14:textId="77777777" w:rsidR="0034580D" w:rsidRPr="00D022B2" w:rsidRDefault="0034580D" w:rsidP="0040624B">
            <w:pPr>
              <w:pStyle w:val="TAH"/>
              <w:rPr>
                <w:rFonts w:cs="Arial"/>
              </w:rPr>
            </w:pPr>
            <w:r w:rsidRPr="00D022B2">
              <w:rPr>
                <w:rFonts w:cs="Arial"/>
                <w:i/>
              </w:rPr>
              <w:t xml:space="preserve">Basic Limit </w:t>
            </w:r>
            <w:r w:rsidRPr="00D022B2">
              <w:rPr>
                <w:rFonts w:cs="Arial"/>
              </w:rPr>
              <w:t>(NOTE 5, 6)</w:t>
            </w:r>
          </w:p>
        </w:tc>
        <w:tc>
          <w:tcPr>
            <w:tcW w:w="1348" w:type="dxa"/>
          </w:tcPr>
          <w:p w14:paraId="4F6A5489" w14:textId="77777777" w:rsidR="0034580D" w:rsidRPr="00D022B2" w:rsidRDefault="0034580D" w:rsidP="0040624B">
            <w:pPr>
              <w:pStyle w:val="TAH"/>
              <w:rPr>
                <w:rFonts w:cs="Arial"/>
              </w:rPr>
            </w:pPr>
            <w:r w:rsidRPr="00D022B2">
              <w:rPr>
                <w:rFonts w:cs="Arial"/>
              </w:rPr>
              <w:t>Measurement bandwidth</w:t>
            </w:r>
            <w:r w:rsidRPr="00D022B2">
              <w:rPr>
                <w:rFonts w:cs="v5.0.0"/>
              </w:rPr>
              <w:t xml:space="preserve"> </w:t>
            </w:r>
            <w:r w:rsidRPr="00D022B2">
              <w:rPr>
                <w:rFonts w:cs="Arial"/>
              </w:rPr>
              <w:t>(NOTE 10)</w:t>
            </w:r>
          </w:p>
        </w:tc>
      </w:tr>
      <w:tr w:rsidR="0034580D" w:rsidRPr="00D022B2" w14:paraId="6066D9E8" w14:textId="77777777" w:rsidTr="0040624B">
        <w:trPr>
          <w:cantSplit/>
          <w:jc w:val="center"/>
        </w:trPr>
        <w:tc>
          <w:tcPr>
            <w:tcW w:w="1915" w:type="dxa"/>
          </w:tcPr>
          <w:p w14:paraId="731E8CD7" w14:textId="77777777" w:rsidR="0034580D" w:rsidRPr="00D022B2" w:rsidRDefault="0034580D" w:rsidP="0040624B">
            <w:pPr>
              <w:pStyle w:val="TAC"/>
              <w:rPr>
                <w:rFonts w:cs="v5.0.0"/>
              </w:rPr>
            </w:pPr>
            <w:r w:rsidRPr="00D022B2">
              <w:rPr>
                <w:rFonts w:cs="v5.0.0"/>
              </w:rPr>
              <w:t xml:space="preserve">0 MHz </w:t>
            </w:r>
            <w:r w:rsidRPr="00D022B2">
              <w:rPr>
                <w:rFonts w:cs="v5.0.0"/>
              </w:rPr>
              <w:sym w:font="Symbol" w:char="F0A3"/>
            </w:r>
            <w:r w:rsidRPr="00D022B2">
              <w:rPr>
                <w:rFonts w:cs="v5.0.0"/>
              </w:rPr>
              <w:t xml:space="preserve"> </w:t>
            </w:r>
            <w:r w:rsidRPr="00D022B2">
              <w:rPr>
                <w:rFonts w:cs="v5.0.0"/>
              </w:rPr>
              <w:sym w:font="Symbol" w:char="F044"/>
            </w:r>
            <w:r w:rsidRPr="00D022B2">
              <w:rPr>
                <w:rFonts w:cs="v5.0.0"/>
              </w:rPr>
              <w:t>f &lt; 0.05 MHz</w:t>
            </w:r>
          </w:p>
        </w:tc>
        <w:tc>
          <w:tcPr>
            <w:tcW w:w="3118" w:type="dxa"/>
          </w:tcPr>
          <w:p w14:paraId="760DF955" w14:textId="77777777" w:rsidR="0034580D" w:rsidRPr="00D022B2" w:rsidRDefault="0034580D" w:rsidP="0040624B">
            <w:pPr>
              <w:pStyle w:val="TAC"/>
              <w:rPr>
                <w:rFonts w:cs="v5.0.0"/>
              </w:rPr>
            </w:pPr>
            <w:r w:rsidRPr="00D022B2">
              <w:rPr>
                <w:rFonts w:cs="v5.0.0"/>
              </w:rPr>
              <w:t xml:space="preserve">0.015 MHz </w:t>
            </w:r>
            <w:r w:rsidRPr="00D022B2">
              <w:rPr>
                <w:rFonts w:cs="v5.0.0"/>
              </w:rPr>
              <w:sym w:font="Symbol" w:char="F0A3"/>
            </w:r>
            <w:r w:rsidRPr="00D022B2">
              <w:rPr>
                <w:rFonts w:cs="v5.0.0"/>
              </w:rPr>
              <w:t xml:space="preserve"> </w:t>
            </w:r>
            <w:proofErr w:type="spellStart"/>
            <w:r w:rsidRPr="00D022B2">
              <w:rPr>
                <w:rFonts w:cs="v5.0.0"/>
              </w:rPr>
              <w:t>f_offset</w:t>
            </w:r>
            <w:proofErr w:type="spellEnd"/>
            <w:r w:rsidRPr="00D022B2">
              <w:rPr>
                <w:rFonts w:cs="v5.0.0"/>
              </w:rPr>
              <w:t xml:space="preserve"> &lt; 0.065 MHz </w:t>
            </w:r>
          </w:p>
        </w:tc>
        <w:tc>
          <w:tcPr>
            <w:tcW w:w="3402" w:type="dxa"/>
          </w:tcPr>
          <w:p w14:paraId="11231B02" w14:textId="77777777" w:rsidR="0034580D" w:rsidRPr="00D022B2" w:rsidRDefault="0034580D" w:rsidP="0040624B">
            <w:pPr>
              <w:pStyle w:val="EQ"/>
            </w:pPr>
            <w:r w:rsidRPr="00D022B2">
              <w:rPr>
                <w:position w:val="-30"/>
              </w:rPr>
              <w:object w:dxaOrig="4202" w:dyaOrig="699" w14:anchorId="5E414C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25" o:spid="_x0000_i1025" type="#_x0000_t75" style="width:164.5pt;height:25.5pt;mso-wrap-style:square;mso-position-horizontal-relative:page;mso-position-vertical-relative:page" o:ole="">
                  <v:imagedata r:id="rId11" o:title=""/>
                </v:shape>
                <o:OLEObject Type="Embed" ProgID="Equation.3" ShapeID="对象 125" DrawAspect="Content" ObjectID="_1789831604" r:id="rId12">
                  <o:FieldCodes>\* MERGEFORMAT</o:FieldCodes>
                </o:OLEObject>
              </w:object>
            </w:r>
          </w:p>
        </w:tc>
        <w:tc>
          <w:tcPr>
            <w:tcW w:w="1348" w:type="dxa"/>
          </w:tcPr>
          <w:p w14:paraId="0ACFC936" w14:textId="77777777" w:rsidR="0034580D" w:rsidRPr="00D022B2" w:rsidRDefault="0034580D" w:rsidP="0040624B">
            <w:pPr>
              <w:pStyle w:val="TAC"/>
              <w:rPr>
                <w:rFonts w:cs="Arial"/>
              </w:rPr>
            </w:pPr>
            <w:r w:rsidRPr="00D022B2">
              <w:rPr>
                <w:rFonts w:cs="Arial"/>
              </w:rPr>
              <w:t xml:space="preserve">30 kHz </w:t>
            </w:r>
          </w:p>
        </w:tc>
      </w:tr>
      <w:tr w:rsidR="0034580D" w:rsidRPr="00D022B2" w14:paraId="320077F8" w14:textId="77777777" w:rsidTr="0040624B">
        <w:trPr>
          <w:cantSplit/>
          <w:jc w:val="center"/>
        </w:trPr>
        <w:tc>
          <w:tcPr>
            <w:tcW w:w="1915" w:type="dxa"/>
          </w:tcPr>
          <w:p w14:paraId="64C28972" w14:textId="77777777" w:rsidR="0034580D" w:rsidRPr="00D022B2" w:rsidRDefault="0034580D" w:rsidP="0040624B">
            <w:pPr>
              <w:pStyle w:val="TAC"/>
              <w:rPr>
                <w:rFonts w:cs="v5.0.0"/>
              </w:rPr>
            </w:pPr>
            <w:r w:rsidRPr="00D022B2">
              <w:rPr>
                <w:rFonts w:cs="v5.0.0"/>
              </w:rPr>
              <w:t xml:space="preserve">0.05 MHz </w:t>
            </w:r>
            <w:r w:rsidRPr="00D022B2">
              <w:rPr>
                <w:rFonts w:cs="v5.0.0"/>
              </w:rPr>
              <w:sym w:font="Symbol" w:char="F0A3"/>
            </w:r>
            <w:r w:rsidRPr="00D022B2">
              <w:rPr>
                <w:rFonts w:cs="v5.0.0"/>
              </w:rPr>
              <w:t xml:space="preserve"> </w:t>
            </w:r>
            <w:r w:rsidRPr="00D022B2">
              <w:rPr>
                <w:rFonts w:cs="v5.0.0"/>
              </w:rPr>
              <w:sym w:font="Symbol" w:char="F044"/>
            </w:r>
            <w:r w:rsidRPr="00D022B2">
              <w:rPr>
                <w:rFonts w:cs="v5.0.0"/>
              </w:rPr>
              <w:t>f &lt; 0.15 MHz</w:t>
            </w:r>
          </w:p>
        </w:tc>
        <w:tc>
          <w:tcPr>
            <w:tcW w:w="3118" w:type="dxa"/>
          </w:tcPr>
          <w:p w14:paraId="161FD766" w14:textId="77777777" w:rsidR="0034580D" w:rsidRPr="00D022B2" w:rsidRDefault="0034580D" w:rsidP="0040624B">
            <w:pPr>
              <w:pStyle w:val="TAC"/>
              <w:rPr>
                <w:rFonts w:cs="v5.0.0"/>
              </w:rPr>
            </w:pPr>
            <w:r w:rsidRPr="00D022B2">
              <w:rPr>
                <w:rFonts w:cs="v5.0.0"/>
              </w:rPr>
              <w:t xml:space="preserve">0.065 MHz </w:t>
            </w:r>
            <w:r w:rsidRPr="00D022B2">
              <w:rPr>
                <w:rFonts w:cs="v5.0.0"/>
              </w:rPr>
              <w:sym w:font="Symbol" w:char="F0A3"/>
            </w:r>
            <w:r w:rsidRPr="00D022B2">
              <w:rPr>
                <w:rFonts w:cs="v5.0.0"/>
              </w:rPr>
              <w:t xml:space="preserve"> </w:t>
            </w:r>
            <w:proofErr w:type="spellStart"/>
            <w:r w:rsidRPr="00D022B2">
              <w:rPr>
                <w:rFonts w:cs="v5.0.0"/>
              </w:rPr>
              <w:t>f_offset</w:t>
            </w:r>
            <w:proofErr w:type="spellEnd"/>
            <w:r w:rsidRPr="00D022B2">
              <w:rPr>
                <w:rFonts w:cs="v5.0.0"/>
              </w:rPr>
              <w:t xml:space="preserve"> &lt; 0.165 MHz </w:t>
            </w:r>
          </w:p>
        </w:tc>
        <w:tc>
          <w:tcPr>
            <w:tcW w:w="3402" w:type="dxa"/>
          </w:tcPr>
          <w:p w14:paraId="5E9716A1" w14:textId="77777777" w:rsidR="0034580D" w:rsidRPr="00D022B2" w:rsidRDefault="0034580D" w:rsidP="0040624B">
            <w:pPr>
              <w:pStyle w:val="EQ"/>
            </w:pPr>
            <w:r w:rsidRPr="00D022B2">
              <w:rPr>
                <w:position w:val="-42"/>
              </w:rPr>
              <w:object w:dxaOrig="4221" w:dyaOrig="959" w14:anchorId="0A30BCCC">
                <v:shape id="对象 126" o:spid="_x0000_i1026" type="#_x0000_t75" style="width:165.5pt;height:36pt;mso-wrap-style:square;mso-position-horizontal-relative:page;mso-position-vertical-relative:page" o:ole="">
                  <v:imagedata r:id="rId13" o:title=""/>
                </v:shape>
                <o:OLEObject Type="Embed" ProgID="Equation.3" ShapeID="对象 126" DrawAspect="Content" ObjectID="_1789831605" r:id="rId14"/>
              </w:object>
            </w:r>
          </w:p>
        </w:tc>
        <w:tc>
          <w:tcPr>
            <w:tcW w:w="1348" w:type="dxa"/>
          </w:tcPr>
          <w:p w14:paraId="654C0FA1" w14:textId="77777777" w:rsidR="0034580D" w:rsidRPr="00D022B2" w:rsidRDefault="0034580D" w:rsidP="0040624B">
            <w:pPr>
              <w:pStyle w:val="TAC"/>
              <w:rPr>
                <w:rFonts w:cs="Arial"/>
              </w:rPr>
            </w:pPr>
            <w:r w:rsidRPr="00D022B2">
              <w:rPr>
                <w:rFonts w:cs="Arial"/>
              </w:rPr>
              <w:t xml:space="preserve">30 kHz </w:t>
            </w:r>
          </w:p>
        </w:tc>
      </w:tr>
      <w:tr w:rsidR="0034580D" w:rsidRPr="00D022B2" w14:paraId="0061D2AD" w14:textId="77777777" w:rsidTr="0040624B">
        <w:trPr>
          <w:cantSplit/>
          <w:jc w:val="center"/>
        </w:trPr>
        <w:tc>
          <w:tcPr>
            <w:tcW w:w="9783" w:type="dxa"/>
            <w:gridSpan w:val="4"/>
          </w:tcPr>
          <w:p w14:paraId="57072ED2" w14:textId="77777777" w:rsidR="0034580D" w:rsidRPr="00D022B2" w:rsidRDefault="0034580D" w:rsidP="0040624B">
            <w:pPr>
              <w:pStyle w:val="TAN"/>
              <w:rPr>
                <w:rFonts w:cs="Arial"/>
              </w:rPr>
            </w:pPr>
            <w:r w:rsidRPr="00D022B2">
              <w:rPr>
                <w:rFonts w:eastAsia="DengXian" w:cs="Arial"/>
              </w:rPr>
              <w:t>NOTE 4:</w:t>
            </w:r>
            <w:r w:rsidRPr="00D022B2">
              <w:rPr>
                <w:rFonts w:eastAsia="DengXian" w:cs="Arial"/>
              </w:rPr>
              <w:tab/>
              <w:t xml:space="preserve">The limits in this table only apply for operation with an E-UTRA 1.4 or 3 MHz carrier adjacent to the </w:t>
            </w:r>
            <w:r w:rsidRPr="00D022B2">
              <w:rPr>
                <w:rFonts w:eastAsia="DengXian" w:cs="Arial"/>
                <w:i/>
              </w:rPr>
              <w:t>Base Station RF Bandwidth edge</w:t>
            </w:r>
            <w:r w:rsidRPr="00D022B2">
              <w:t xml:space="preserve"> </w:t>
            </w:r>
            <w:r w:rsidRPr="00D022B2">
              <w:rPr>
                <w:rFonts w:eastAsia="DengXian" w:cs="Arial"/>
              </w:rPr>
              <w:t>or the sub-block edge</w:t>
            </w:r>
            <w:r w:rsidRPr="00D022B2">
              <w:rPr>
                <w:rFonts w:eastAsia="DengXian" w:cs="Arial"/>
                <w:i/>
              </w:rPr>
              <w:t>.</w:t>
            </w:r>
          </w:p>
          <w:p w14:paraId="499C244D" w14:textId="77777777" w:rsidR="0034580D" w:rsidRPr="00D022B2" w:rsidRDefault="0034580D" w:rsidP="0040624B">
            <w:pPr>
              <w:pStyle w:val="TAN"/>
              <w:rPr>
                <w:rFonts w:cs="Arial"/>
              </w:rPr>
            </w:pPr>
            <w:r w:rsidRPr="00D022B2">
              <w:rPr>
                <w:rFonts w:cs="Arial"/>
              </w:rPr>
              <w:t>NOTE 5:</w:t>
            </w:r>
            <w:r w:rsidRPr="00D022B2">
              <w:rPr>
                <w:rFonts w:cs="Arial"/>
              </w:rPr>
              <w:tab/>
              <w:t xml:space="preserve">For MSR </w:t>
            </w:r>
            <w:r w:rsidRPr="00D022B2">
              <w:rPr>
                <w:rFonts w:cs="Arial"/>
                <w:i/>
              </w:rPr>
              <w:t>TAB connector</w:t>
            </w:r>
            <w:r w:rsidRPr="00D022B2">
              <w:rPr>
                <w:rFonts w:cs="Arial"/>
              </w:rPr>
              <w:t xml:space="preserve"> supporting </w:t>
            </w:r>
            <w:r w:rsidRPr="00D022B2">
              <w:rPr>
                <w:rFonts w:cs="Arial"/>
                <w:i/>
              </w:rPr>
              <w:t>non-contiguous spectrum</w:t>
            </w:r>
            <w:r w:rsidRPr="00D022B2">
              <w:rPr>
                <w:rFonts w:cs="Arial"/>
              </w:rPr>
              <w:t xml:space="preserve"> operation </w:t>
            </w:r>
            <w:r w:rsidRPr="00D022B2">
              <w:rPr>
                <w:rFonts w:cs="Arial"/>
                <w:lang w:eastAsia="zh-CN"/>
              </w:rPr>
              <w:t xml:space="preserve">within any operating band </w:t>
            </w:r>
            <w:r w:rsidRPr="00D022B2">
              <w:rPr>
                <w:rFonts w:cs="Arial"/>
              </w:rPr>
              <w:t xml:space="preserve">the </w:t>
            </w:r>
            <w:r w:rsidRPr="00D022B2">
              <w:rPr>
                <w:i/>
              </w:rPr>
              <w:t>basic limit</w:t>
            </w:r>
            <w:r w:rsidRPr="00D022B2">
              <w:rPr>
                <w:rFonts w:cs="Arial"/>
              </w:rPr>
              <w:t xml:space="preserve"> within </w:t>
            </w:r>
            <w:r w:rsidRPr="00D022B2">
              <w:rPr>
                <w:rFonts w:cs="Arial"/>
                <w:i/>
              </w:rPr>
              <w:t>sub-block gaps</w:t>
            </w:r>
            <w:r w:rsidRPr="00D022B2">
              <w:rPr>
                <w:rFonts w:cs="Arial"/>
              </w:rPr>
              <w:t xml:space="preserve"> is calculated as a cumulative sum of </w:t>
            </w:r>
            <w:r w:rsidRPr="00D022B2">
              <w:rPr>
                <w:rFonts w:cs="Arial"/>
                <w:lang w:eastAsia="zh-CN"/>
              </w:rPr>
              <w:t xml:space="preserve">contributions from </w:t>
            </w:r>
            <w:r w:rsidRPr="00D022B2">
              <w:rPr>
                <w:rFonts w:cs="Arial"/>
              </w:rPr>
              <w:t xml:space="preserve">adjacent </w:t>
            </w:r>
            <w:r w:rsidRPr="00D022B2">
              <w:rPr>
                <w:rFonts w:cs="v5.0.0"/>
              </w:rPr>
              <w:t xml:space="preserve">sub blocks on each side of the </w:t>
            </w:r>
            <w:r w:rsidRPr="00D022B2">
              <w:rPr>
                <w:rFonts w:cs="v5.0.0"/>
                <w:i/>
              </w:rPr>
              <w:t>sub-block gap</w:t>
            </w:r>
            <w:r w:rsidRPr="00D022B2">
              <w:rPr>
                <w:rFonts w:cs="Arial"/>
              </w:rPr>
              <w:t xml:space="preserve">. </w:t>
            </w:r>
          </w:p>
          <w:p w14:paraId="06297B0A" w14:textId="77777777" w:rsidR="0034580D" w:rsidRPr="00D022B2" w:rsidRDefault="0034580D" w:rsidP="0040624B">
            <w:pPr>
              <w:pStyle w:val="TAN"/>
              <w:rPr>
                <w:rFonts w:cs="Arial"/>
              </w:rPr>
            </w:pPr>
            <w:r w:rsidRPr="00D022B2">
              <w:rPr>
                <w:rFonts w:cs="Arial"/>
              </w:rPr>
              <w:t>NOTE</w:t>
            </w:r>
            <w:r w:rsidRPr="00D022B2">
              <w:rPr>
                <w:rFonts w:cs="Arial"/>
                <w:lang w:eastAsia="zh-CN"/>
              </w:rPr>
              <w:t xml:space="preserve"> 6</w:t>
            </w:r>
            <w:r w:rsidRPr="00D022B2">
              <w:rPr>
                <w:rFonts w:cs="Arial"/>
              </w:rPr>
              <w:t>:</w:t>
            </w:r>
            <w:r w:rsidRPr="00D022B2">
              <w:rPr>
                <w:rFonts w:cs="Arial"/>
              </w:rPr>
              <w:tab/>
              <w:t xml:space="preserve">For </w:t>
            </w:r>
            <w:proofErr w:type="gramStart"/>
            <w:r w:rsidRPr="00D022B2">
              <w:rPr>
                <w:rFonts w:cs="Arial"/>
              </w:rPr>
              <w:t>a</w:t>
            </w:r>
            <w:proofErr w:type="gramEnd"/>
            <w:r w:rsidRPr="00D022B2">
              <w:rPr>
                <w:rFonts w:cs="Arial"/>
              </w:rPr>
              <w:t xml:space="preserve"> MSR </w:t>
            </w:r>
            <w:r w:rsidRPr="00D022B2">
              <w:rPr>
                <w:rFonts w:cs="Arial"/>
                <w:i/>
              </w:rPr>
              <w:t>multi-band TAB connector</w:t>
            </w:r>
            <w:r w:rsidRPr="00D022B2">
              <w:rPr>
                <w:rFonts w:cs="Arial"/>
              </w:rPr>
              <w:t xml:space="preserve"> with </w:t>
            </w:r>
            <w:r w:rsidRPr="00D022B2">
              <w:rPr>
                <w:rFonts w:cs="Arial"/>
                <w:i/>
              </w:rPr>
              <w:t>Inter RF Bandwidth gap</w:t>
            </w:r>
            <w:r w:rsidRPr="00D022B2">
              <w:rPr>
                <w:rFonts w:cs="Arial"/>
              </w:rPr>
              <w:t xml:space="preserve"> &lt; </w:t>
            </w:r>
            <w:r w:rsidRPr="00D022B2">
              <w:t>2×Δf</w:t>
            </w:r>
            <w:r w:rsidRPr="00D022B2">
              <w:rPr>
                <w:vertAlign w:val="subscript"/>
              </w:rPr>
              <w:t>OBUE</w:t>
            </w:r>
            <w:r w:rsidRPr="00D022B2">
              <w:rPr>
                <w:rFonts w:cs="Arial"/>
              </w:rPr>
              <w:t xml:space="preserve"> the </w:t>
            </w:r>
            <w:r w:rsidRPr="00D022B2">
              <w:rPr>
                <w:i/>
              </w:rPr>
              <w:t>basic limit</w:t>
            </w:r>
            <w:r w:rsidRPr="00D022B2">
              <w:rPr>
                <w:rFonts w:cs="Arial"/>
              </w:rPr>
              <w:t xml:space="preserve"> within the </w:t>
            </w:r>
            <w:r w:rsidRPr="00D022B2">
              <w:rPr>
                <w:rFonts w:cs="Arial"/>
                <w:i/>
              </w:rPr>
              <w:t>Inter RF Bandwidth gaps</w:t>
            </w:r>
            <w:r w:rsidRPr="00D022B2">
              <w:rPr>
                <w:rFonts w:cs="Arial"/>
              </w:rPr>
              <w:t xml:space="preserve"> is calculated as a cumulative sum of contributions from adjacent sub-blocks or </w:t>
            </w:r>
            <w:r w:rsidRPr="00D022B2">
              <w:rPr>
                <w:i/>
              </w:rPr>
              <w:t>Base Station RF Bandwidth</w:t>
            </w:r>
            <w:r w:rsidRPr="00D022B2">
              <w:rPr>
                <w:rFonts w:cs="Arial"/>
              </w:rPr>
              <w:t xml:space="preserve"> on each side of the </w:t>
            </w:r>
            <w:r w:rsidRPr="00D022B2">
              <w:rPr>
                <w:rFonts w:cs="Arial"/>
                <w:i/>
              </w:rPr>
              <w:t>Inter RF Bandwidth gap</w:t>
            </w:r>
            <w:r w:rsidRPr="00D022B2">
              <w:rPr>
                <w:rFonts w:cs="Arial"/>
              </w:rPr>
              <w:t>.</w:t>
            </w:r>
          </w:p>
        </w:tc>
      </w:tr>
    </w:tbl>
    <w:p w14:paraId="5FB87FDA" w14:textId="73427E28" w:rsidR="0034580D" w:rsidRPr="00D022B2" w:rsidRDefault="0034580D" w:rsidP="003B2697"/>
    <w:p w14:paraId="58EEB380" w14:textId="11D34A07" w:rsidR="00D022B2" w:rsidRPr="00D022B2" w:rsidRDefault="00D022B2" w:rsidP="00D022B2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</w:rPr>
      </w:pPr>
      <w:r w:rsidRPr="00D022B2">
        <w:rPr>
          <w:rFonts w:ascii="Times New Roman" w:hAnsi="Times New Roman" w:cs="Times New Roman"/>
          <w:sz w:val="20"/>
        </w:rPr>
        <w:t xml:space="preserve">E-UTRA BS spec: Regional WA BS OBUE </w:t>
      </w:r>
    </w:p>
    <w:p w14:paraId="184E3CE0" w14:textId="77777777" w:rsidR="00D022B2" w:rsidRPr="00340914" w:rsidRDefault="00D022B2" w:rsidP="00D022B2">
      <w:pPr>
        <w:pStyle w:val="TH"/>
        <w:ind w:left="720"/>
        <w:rPr>
          <w:rFonts w:cs="v5.0.0"/>
        </w:rPr>
      </w:pPr>
      <w:r w:rsidRPr="00D022B2">
        <w:lastRenderedPageBreak/>
        <w:t>Table 6.6.3.2.2-3: Regional Wide Area BS operating band unwanted emission limits in band 3</w:t>
      </w:r>
      <w:r w:rsidRPr="00D022B2">
        <w:rPr>
          <w:rFonts w:eastAsia="Malgun Gothic" w:hint="eastAsia"/>
        </w:rPr>
        <w:t>,</w:t>
      </w:r>
      <w:r w:rsidRPr="00D022B2">
        <w:t xml:space="preserve"> 8 or 65</w:t>
      </w:r>
      <w:r w:rsidRPr="00D022B2">
        <w:rPr>
          <w:rFonts w:hint="eastAsia"/>
          <w:lang w:eastAsia="zh-CN"/>
        </w:rPr>
        <w:t xml:space="preserve"> </w:t>
      </w:r>
      <w:r w:rsidRPr="00D022B2">
        <w:t>for 1.4 MHz channel bandwidth</w:t>
      </w:r>
      <w:r w:rsidRPr="00340914">
        <w:t xml:space="preserve">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D022B2" w:rsidRPr="00340914" w14:paraId="5EE9627C" w14:textId="77777777" w:rsidTr="0040624B">
        <w:trPr>
          <w:cantSplit/>
          <w:jc w:val="center"/>
        </w:trPr>
        <w:tc>
          <w:tcPr>
            <w:tcW w:w="2268" w:type="dxa"/>
          </w:tcPr>
          <w:p w14:paraId="0C822456" w14:textId="77777777" w:rsidR="00D022B2" w:rsidRPr="00340914" w:rsidRDefault="00D022B2" w:rsidP="0040624B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77B8AB3D" w14:textId="77777777" w:rsidR="00D022B2" w:rsidRPr="00340914" w:rsidRDefault="00D022B2" w:rsidP="0040624B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028E459D" w14:textId="77777777" w:rsidR="00D022B2" w:rsidRPr="00340914" w:rsidRDefault="00D022B2" w:rsidP="0040624B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271154A7" w14:textId="77777777" w:rsidR="00D022B2" w:rsidRPr="00340914" w:rsidRDefault="00D022B2" w:rsidP="0040624B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2B2" w:rsidRPr="00340914" w14:paraId="43B2B12A" w14:textId="77777777" w:rsidTr="0040624B">
        <w:trPr>
          <w:cantSplit/>
          <w:jc w:val="center"/>
        </w:trPr>
        <w:tc>
          <w:tcPr>
            <w:tcW w:w="2268" w:type="dxa"/>
          </w:tcPr>
          <w:p w14:paraId="3A741B65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34BBE32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5BCC4919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38A56474">
                <v:shape id="_x0000_i1027" type="#_x0000_t75" style="width:124pt;height:31.5pt" o:ole="" fillcolor="window">
                  <v:imagedata r:id="rId15" o:title=""/>
                </v:shape>
                <o:OLEObject Type="Embed" ProgID="Equation.3" ShapeID="_x0000_i1027" DrawAspect="Content" ObjectID="_1789831606" r:id="rId16"/>
              </w:object>
            </w:r>
          </w:p>
        </w:tc>
        <w:tc>
          <w:tcPr>
            <w:tcW w:w="1430" w:type="dxa"/>
          </w:tcPr>
          <w:p w14:paraId="471D221E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2B2" w:rsidRPr="00340914" w14:paraId="4E239CD0" w14:textId="77777777" w:rsidTr="0040624B">
        <w:trPr>
          <w:cantSplit/>
          <w:jc w:val="center"/>
        </w:trPr>
        <w:tc>
          <w:tcPr>
            <w:tcW w:w="2268" w:type="dxa"/>
          </w:tcPr>
          <w:p w14:paraId="3943710C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6B54BC90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2CD2CD09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3C0B9633">
                <v:shape id="_x0000_i1028" type="#_x0000_t75" style="width:127.5pt;height:31.5pt" o:ole="" fillcolor="window">
                  <v:imagedata r:id="rId17" o:title=""/>
                </v:shape>
                <o:OLEObject Type="Embed" ProgID="Equation.3" ShapeID="_x0000_i1028" DrawAspect="Content" ObjectID="_1789831607" r:id="rId18"/>
              </w:object>
            </w:r>
          </w:p>
        </w:tc>
        <w:tc>
          <w:tcPr>
            <w:tcW w:w="1430" w:type="dxa"/>
          </w:tcPr>
          <w:p w14:paraId="2E109B53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2B2" w:rsidRPr="00340914" w14:paraId="3FAE7462" w14:textId="77777777" w:rsidTr="0040624B">
        <w:trPr>
          <w:cantSplit/>
          <w:jc w:val="center"/>
        </w:trPr>
        <w:tc>
          <w:tcPr>
            <w:tcW w:w="2268" w:type="dxa"/>
          </w:tcPr>
          <w:p w14:paraId="4743B359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B444ABB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55F3A2E7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7EBD4FE1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2B2" w:rsidRPr="00340914" w14:paraId="1291203A" w14:textId="77777777" w:rsidTr="0040624B">
        <w:trPr>
          <w:cantSplit/>
          <w:jc w:val="center"/>
        </w:trPr>
        <w:tc>
          <w:tcPr>
            <w:tcW w:w="2268" w:type="dxa"/>
          </w:tcPr>
          <w:p w14:paraId="22B3A101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0346F30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569A7DBF" w14:textId="77777777" w:rsidR="00D022B2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238DF720">
                <v:shape id="_x0000_i1029" type="#_x0000_t75" style="width:155pt;height:31.5pt" o:ole="" fillcolor="window">
                  <v:imagedata r:id="rId19" o:title=""/>
                </v:shape>
                <o:OLEObject Type="Embed" ProgID="Equation.3" ShapeID="_x0000_i1029" DrawAspect="Content" ObjectID="_1789831608" r:id="rId20"/>
              </w:object>
            </w:r>
          </w:p>
          <w:p w14:paraId="7FD6E525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3)</w:t>
            </w:r>
          </w:p>
        </w:tc>
        <w:tc>
          <w:tcPr>
            <w:tcW w:w="1430" w:type="dxa"/>
          </w:tcPr>
          <w:p w14:paraId="7221B7B2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2B2" w:rsidRPr="00340914" w14:paraId="4BCB1497" w14:textId="77777777" w:rsidTr="0040624B">
        <w:trPr>
          <w:cantSplit/>
          <w:jc w:val="center"/>
        </w:trPr>
        <w:tc>
          <w:tcPr>
            <w:tcW w:w="2268" w:type="dxa"/>
          </w:tcPr>
          <w:p w14:paraId="648E0E96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38D26F34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7C00E824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r>
              <w:rPr>
                <w:rFonts w:cs="Arial"/>
              </w:rPr>
              <w:t xml:space="preserve"> (Note 3)</w:t>
            </w:r>
          </w:p>
        </w:tc>
        <w:tc>
          <w:tcPr>
            <w:tcW w:w="1430" w:type="dxa"/>
          </w:tcPr>
          <w:p w14:paraId="49D6AD81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2B2" w:rsidRPr="00340914" w14:paraId="37073AA1" w14:textId="77777777" w:rsidTr="0040624B">
        <w:trPr>
          <w:cantSplit/>
          <w:jc w:val="center"/>
        </w:trPr>
        <w:tc>
          <w:tcPr>
            <w:tcW w:w="2268" w:type="dxa"/>
          </w:tcPr>
          <w:p w14:paraId="48E1BFD1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v5.0.0"/>
              </w:rPr>
              <w:t xml:space="preserve">2.8 </w:t>
            </w:r>
            <w:r w:rsidRPr="0034091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1788A266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3.3 MHz</w:t>
            </w:r>
          </w:p>
        </w:tc>
        <w:tc>
          <w:tcPr>
            <w:tcW w:w="2855" w:type="dxa"/>
          </w:tcPr>
          <w:p w14:paraId="6FCAE4FD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r>
              <w:rPr>
                <w:rFonts w:cs="Arial"/>
              </w:rPr>
              <w:t xml:space="preserve"> (Note 3)</w:t>
            </w:r>
          </w:p>
        </w:tc>
        <w:tc>
          <w:tcPr>
            <w:tcW w:w="1430" w:type="dxa"/>
          </w:tcPr>
          <w:p w14:paraId="55BFB81E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2B2" w:rsidRPr="00340914" w14:paraId="08FF5FA2" w14:textId="77777777" w:rsidTr="0040624B">
        <w:trPr>
          <w:cantSplit/>
          <w:jc w:val="center"/>
        </w:trPr>
        <w:tc>
          <w:tcPr>
            <w:tcW w:w="2268" w:type="dxa"/>
          </w:tcPr>
          <w:p w14:paraId="2B610343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2.8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43C6F3D6" w14:textId="77777777" w:rsidR="00D022B2" w:rsidRPr="00340914" w:rsidRDefault="00D022B2" w:rsidP="0040624B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3.3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4285320F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r>
              <w:rPr>
                <w:rFonts w:cs="Arial"/>
              </w:rPr>
              <w:t xml:space="preserve"> (Note 3)</w:t>
            </w:r>
          </w:p>
        </w:tc>
        <w:tc>
          <w:tcPr>
            <w:tcW w:w="1430" w:type="dxa"/>
          </w:tcPr>
          <w:p w14:paraId="0ADE30B6" w14:textId="77777777" w:rsidR="00D022B2" w:rsidRPr="00340914" w:rsidRDefault="00D022B2" w:rsidP="0040624B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2B2" w:rsidRPr="00340914" w14:paraId="09C5C7CB" w14:textId="77777777" w:rsidTr="0040624B">
        <w:trPr>
          <w:cantSplit/>
          <w:jc w:val="center"/>
        </w:trPr>
        <w:tc>
          <w:tcPr>
            <w:tcW w:w="9814" w:type="dxa"/>
            <w:gridSpan w:val="4"/>
          </w:tcPr>
          <w:p w14:paraId="48046F17" w14:textId="77777777" w:rsidR="00D022B2" w:rsidRPr="00DE61F9" w:rsidRDefault="00D022B2" w:rsidP="0040624B">
            <w:pPr>
              <w:pStyle w:val="TAN"/>
              <w:rPr>
                <w:rFonts w:cs="Arial"/>
              </w:rPr>
            </w:pPr>
            <w:r w:rsidRPr="00DE61F9">
              <w:rPr>
                <w:rFonts w:cs="Arial"/>
              </w:rPr>
              <w:t>NOTE 1:</w:t>
            </w:r>
            <w:r w:rsidRPr="00DE61F9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DE61F9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DE61F9">
              <w:rPr>
                <w:rFonts w:cs="Arial"/>
              </w:rPr>
              <w:t xml:space="preserve">. Exception is </w:t>
            </w:r>
            <w:r w:rsidRPr="00DE61F9">
              <w:rPr>
                <w:rFonts w:ascii="Symbol" w:hAnsi="Symbol" w:cs="Arial"/>
              </w:rPr>
              <w:t></w:t>
            </w:r>
            <w:r w:rsidRPr="00DE61F9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  <w:r w:rsidRPr="00DE61F9">
              <w:t xml:space="preserve"> For BS supporting multi-band operation, either this limit or -16dBm/100kHz (</w:t>
            </w:r>
            <w:proofErr w:type="spellStart"/>
            <w:r w:rsidRPr="00DE61F9">
              <w:t>f_offset</w:t>
            </w:r>
            <w:proofErr w:type="spellEnd"/>
            <w:r w:rsidRPr="00DE61F9">
              <w:t xml:space="preserve"> adjusted according to the measurement bandwidth), whichever is less stringent, shall apply at </w:t>
            </w:r>
            <w:r w:rsidRPr="00DE61F9">
              <w:rPr>
                <w:rFonts w:ascii="Symbol" w:hAnsi="Symbol"/>
              </w:rPr>
              <w:t></w:t>
            </w:r>
            <w:r w:rsidRPr="00DE61F9">
              <w:t>f ≥ 10MHz for operating bands &lt;1GHz.</w:t>
            </w:r>
          </w:p>
          <w:p w14:paraId="6D26A9C2" w14:textId="77777777" w:rsidR="00D022B2" w:rsidRPr="00DE61F9" w:rsidRDefault="00D022B2" w:rsidP="0040624B">
            <w:pPr>
              <w:pStyle w:val="TAN"/>
              <w:rPr>
                <w:rFonts w:cs="Arial"/>
              </w:rPr>
            </w:pPr>
            <w:r w:rsidRPr="00DE61F9">
              <w:rPr>
                <w:rFonts w:cs="Arial"/>
              </w:rPr>
              <w:t>NOTE 2:</w:t>
            </w:r>
            <w:r w:rsidRPr="00DE61F9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DE61F9">
              <w:rPr>
                <w:rFonts w:cs="v5.0.0"/>
              </w:rPr>
              <w:t xml:space="preserve">, where the contribution from the far-end sub-block </w:t>
            </w:r>
            <w:r w:rsidRPr="00DE61F9">
              <w:rPr>
                <w:rFonts w:cs="Arial"/>
              </w:rPr>
              <w:t xml:space="preserve">or RF Bandwidth </w:t>
            </w:r>
            <w:r w:rsidRPr="00DE61F9">
              <w:rPr>
                <w:rFonts w:cs="v5.0.0"/>
              </w:rPr>
              <w:t>shall be scaled according to the measurement bandwidth of the near-end sub-block</w:t>
            </w:r>
            <w:r w:rsidRPr="00DE61F9">
              <w:rPr>
                <w:rFonts w:cs="Arial"/>
              </w:rPr>
              <w:t xml:space="preserve"> or RF Bandwidth.</w:t>
            </w:r>
          </w:p>
          <w:p w14:paraId="7F4B6099" w14:textId="77777777" w:rsidR="00D022B2" w:rsidRPr="00340914" w:rsidRDefault="00D022B2" w:rsidP="0040624B">
            <w:pPr>
              <w:pStyle w:val="TAN"/>
              <w:rPr>
                <w:rFonts w:cs="Arial"/>
              </w:rPr>
            </w:pPr>
            <w:r w:rsidRPr="00DE61F9">
              <w:rPr>
                <w:rFonts w:eastAsia="SimSun"/>
              </w:rPr>
              <w:t>NOTE 3:</w:t>
            </w:r>
            <w:r w:rsidRPr="00DE61F9">
              <w:rPr>
                <w:rFonts w:eastAsia="SimSun"/>
              </w:rPr>
              <w:tab/>
              <w:t xml:space="preserve">For BS supporting multi-band operation, either this limit or -16dBm/100kHz </w:t>
            </w:r>
            <w:r w:rsidRPr="00DE61F9">
              <w:rPr>
                <w:rFonts w:eastAsia="SimSun" w:hint="eastAsia"/>
                <w:lang w:eastAsia="zh-CN"/>
              </w:rPr>
              <w:t>(</w:t>
            </w:r>
            <w:proofErr w:type="spellStart"/>
            <w:r w:rsidRPr="00DE61F9">
              <w:rPr>
                <w:rFonts w:eastAsia="SimSun"/>
              </w:rPr>
              <w:t>f_offset</w:t>
            </w:r>
            <w:proofErr w:type="spellEnd"/>
            <w:r w:rsidRPr="00DE61F9">
              <w:rPr>
                <w:rFonts w:eastAsia="SimSun" w:hint="eastAsia"/>
                <w:lang w:eastAsia="zh-CN"/>
              </w:rPr>
              <w:t xml:space="preserve"> adjusted</w:t>
            </w:r>
            <w:r w:rsidRPr="00DE61F9">
              <w:rPr>
                <w:rFonts w:eastAsia="SimSun"/>
              </w:rPr>
              <w:t xml:space="preserve"> </w:t>
            </w:r>
            <w:r w:rsidRPr="00DE61F9">
              <w:rPr>
                <w:rFonts w:eastAsia="SimSun" w:hint="eastAsia"/>
                <w:lang w:eastAsia="zh-CN"/>
              </w:rPr>
              <w:t>according</w:t>
            </w:r>
            <w:r w:rsidRPr="00DE61F9">
              <w:rPr>
                <w:rFonts w:eastAsia="SimSun"/>
              </w:rPr>
              <w:t xml:space="preserve"> </w:t>
            </w:r>
            <w:r w:rsidRPr="00DE61F9">
              <w:rPr>
                <w:rFonts w:eastAsia="SimSun" w:hint="eastAsia"/>
                <w:lang w:eastAsia="zh-CN"/>
              </w:rPr>
              <w:t>to</w:t>
            </w:r>
            <w:r w:rsidRPr="00DE61F9">
              <w:rPr>
                <w:rFonts w:eastAsia="SimSun"/>
                <w:lang w:eastAsia="zh-CN"/>
              </w:rPr>
              <w:t xml:space="preserve"> </w:t>
            </w:r>
            <w:r w:rsidRPr="00DE61F9">
              <w:rPr>
                <w:rFonts w:eastAsia="SimSun" w:hint="eastAsia"/>
                <w:lang w:eastAsia="zh-CN"/>
              </w:rPr>
              <w:t>the</w:t>
            </w:r>
            <w:r w:rsidRPr="00DE61F9">
              <w:rPr>
                <w:rFonts w:eastAsia="SimSun"/>
                <w:lang w:eastAsia="zh-CN"/>
              </w:rPr>
              <w:t xml:space="preserve"> </w:t>
            </w:r>
            <w:r w:rsidRPr="00DE61F9">
              <w:rPr>
                <w:rFonts w:eastAsia="SimSun" w:hint="eastAsia"/>
                <w:lang w:eastAsia="zh-CN"/>
              </w:rPr>
              <w:t>measurement</w:t>
            </w:r>
            <w:r w:rsidRPr="00DE61F9">
              <w:rPr>
                <w:rFonts w:eastAsia="SimSun"/>
                <w:lang w:eastAsia="zh-CN"/>
              </w:rPr>
              <w:t xml:space="preserve"> </w:t>
            </w:r>
            <w:r w:rsidRPr="00DE61F9">
              <w:rPr>
                <w:rFonts w:eastAsia="SimSun" w:hint="eastAsia"/>
                <w:lang w:eastAsia="zh-CN"/>
              </w:rPr>
              <w:t>bandwidth</w:t>
            </w:r>
            <w:r w:rsidRPr="00DE61F9">
              <w:rPr>
                <w:rFonts w:eastAsia="SimSun"/>
                <w:lang w:eastAsia="zh-CN"/>
              </w:rPr>
              <w:t xml:space="preserve">), </w:t>
            </w:r>
            <w:r w:rsidRPr="00DE61F9">
              <w:rPr>
                <w:rFonts w:eastAsia="SimSun"/>
              </w:rPr>
              <w:t>whichever is less stringent, shall apply for operating bands &lt;1GHz.</w:t>
            </w:r>
          </w:p>
        </w:tc>
      </w:tr>
    </w:tbl>
    <w:p w14:paraId="034B73CE" w14:textId="77777777" w:rsidR="00D022B2" w:rsidRPr="00D022B2" w:rsidRDefault="00D022B2" w:rsidP="00D022B2">
      <w:pPr>
        <w:pStyle w:val="ListParagraph"/>
        <w:ind w:left="720" w:firstLineChars="0" w:firstLine="0"/>
        <w:rPr>
          <w:highlight w:val="yellow"/>
        </w:rPr>
      </w:pPr>
    </w:p>
    <w:p w14:paraId="2FE15998" w14:textId="0642FACD" w:rsidR="006712C1" w:rsidRPr="00D022B2" w:rsidRDefault="00D022B2" w:rsidP="006712C1">
      <w:pPr>
        <w:rPr>
          <w:lang w:val="en-US"/>
        </w:rPr>
      </w:pPr>
      <w:r w:rsidRPr="00D022B2">
        <w:rPr>
          <w:b/>
          <w:lang w:val="en-US"/>
        </w:rPr>
        <w:t>Observation 1</w:t>
      </w:r>
      <w:r>
        <w:rPr>
          <w:lang w:val="en-US"/>
        </w:rPr>
        <w:t xml:space="preserve">: With the above, there seem to be no technical showstopper to easily incorporate </w:t>
      </w:r>
      <w:proofErr w:type="spellStart"/>
      <w:r w:rsidRPr="00D022B2">
        <w:rPr>
          <w:lang w:val="en-US"/>
        </w:rPr>
        <w:t>Guardband</w:t>
      </w:r>
      <w:proofErr w:type="spellEnd"/>
      <w:r>
        <w:rPr>
          <w:lang w:val="en-US"/>
        </w:rPr>
        <w:t xml:space="preserve"> and</w:t>
      </w:r>
      <w:r w:rsidRPr="00D022B2">
        <w:rPr>
          <w:lang w:val="en-US"/>
        </w:rPr>
        <w:t xml:space="preserve"> Standalone </w:t>
      </w:r>
      <w:r>
        <w:rPr>
          <w:lang w:val="en-US"/>
        </w:rPr>
        <w:t>NB-IoT support for bands n87 and n88.</w:t>
      </w: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674B2C45" w14:textId="256103AE" w:rsidR="002836BE" w:rsidRPr="00603483" w:rsidRDefault="002836BE" w:rsidP="007A2E9E">
      <w:pPr>
        <w:rPr>
          <w:lang w:eastAsia="zh-CN"/>
        </w:rPr>
      </w:pPr>
      <w:r w:rsidRPr="00064F2B">
        <w:rPr>
          <w:lang w:eastAsia="zh-CN"/>
        </w:rPr>
        <w:t xml:space="preserve">Based on </w:t>
      </w:r>
      <w:r w:rsidRPr="00603483">
        <w:rPr>
          <w:lang w:eastAsia="zh-CN"/>
        </w:rPr>
        <w:t xml:space="preserve">the discussion above, the following proposals were formulated: </w:t>
      </w:r>
    </w:p>
    <w:p w14:paraId="381D8A57" w14:textId="22048D6C" w:rsidR="005B39A2" w:rsidRPr="00D01791" w:rsidRDefault="00BD5114" w:rsidP="00BD5114">
      <w:pPr>
        <w:rPr>
          <w:lang w:val="en-US" w:eastAsia="zh-CN"/>
        </w:rPr>
      </w:pPr>
      <w:r w:rsidRPr="00CE3C1C">
        <w:rPr>
          <w:b/>
          <w:lang w:val="en-US" w:eastAsia="zh-CN"/>
        </w:rPr>
        <w:t>Proposal 1</w:t>
      </w:r>
      <w:r>
        <w:rPr>
          <w:lang w:val="en-US" w:eastAsia="zh-CN"/>
        </w:rPr>
        <w:t xml:space="preserve">: </w:t>
      </w:r>
      <w:r w:rsidR="001B45E4">
        <w:rPr>
          <w:lang w:val="en-US" w:eastAsia="zh-CN"/>
        </w:rPr>
        <w:t xml:space="preserve">Introduce NB-IoT support for bands n87 and n88, following </w:t>
      </w:r>
      <w:r w:rsidR="001B45E4" w:rsidRPr="003413D7">
        <w:rPr>
          <w:lang w:eastAsia="zh-CN"/>
        </w:rPr>
        <w:t>ECC/Dec/(19)02</w:t>
      </w:r>
      <w:r w:rsidR="001B45E4">
        <w:rPr>
          <w:lang w:eastAsia="zh-CN"/>
        </w:rPr>
        <w:t>.</w:t>
      </w:r>
    </w:p>
    <w:sectPr w:rsidR="005B39A2" w:rsidRPr="00D01791" w:rsidSect="00FF057F">
      <w:footerReference w:type="default" r:id="rId2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1611E" w14:textId="77777777" w:rsidR="00EE571E" w:rsidRDefault="00EE571E">
      <w:r>
        <w:separator/>
      </w:r>
    </w:p>
  </w:endnote>
  <w:endnote w:type="continuationSeparator" w:id="0">
    <w:p w14:paraId="32AB77F9" w14:textId="77777777" w:rsidR="00EE571E" w:rsidRDefault="00EE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F707C" w14:textId="77777777" w:rsidR="00EE571E" w:rsidRDefault="00EE571E">
      <w:r>
        <w:separator/>
      </w:r>
    </w:p>
  </w:footnote>
  <w:footnote w:type="continuationSeparator" w:id="0">
    <w:p w14:paraId="268E05C4" w14:textId="77777777" w:rsidR="00EE571E" w:rsidRDefault="00EE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4D70280"/>
    <w:multiLevelType w:val="hybridMultilevel"/>
    <w:tmpl w:val="AD5048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0228FC"/>
    <w:multiLevelType w:val="hybridMultilevel"/>
    <w:tmpl w:val="97DEB03A"/>
    <w:lvl w:ilvl="0" w:tplc="B8D8D4B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60048"/>
    <w:multiLevelType w:val="hybridMultilevel"/>
    <w:tmpl w:val="F8FED270"/>
    <w:lvl w:ilvl="0" w:tplc="B8D8D4B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19"/>
  </w:num>
  <w:num w:numId="5">
    <w:abstractNumId w:val="3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3"/>
  </w:num>
  <w:num w:numId="10">
    <w:abstractNumId w:val="14"/>
  </w:num>
  <w:num w:numId="11">
    <w:abstractNumId w:val="18"/>
  </w:num>
  <w:num w:numId="12">
    <w:abstractNumId w:val="6"/>
  </w:num>
  <w:num w:numId="13">
    <w:abstractNumId w:val="15"/>
  </w:num>
  <w:num w:numId="14">
    <w:abstractNumId w:val="2"/>
  </w:num>
  <w:num w:numId="15">
    <w:abstractNumId w:val="16"/>
  </w:num>
  <w:num w:numId="16">
    <w:abstractNumId w:val="11"/>
  </w:num>
  <w:num w:numId="17">
    <w:abstractNumId w:val="12"/>
  </w:num>
  <w:num w:numId="18">
    <w:abstractNumId w:val="8"/>
  </w:num>
  <w:num w:numId="19">
    <w:abstractNumId w:val="5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17F9F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C7A"/>
    <w:rsid w:val="00055EF5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63D2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45A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5E4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098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4F66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924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3F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3D7"/>
    <w:rsid w:val="0034174E"/>
    <w:rsid w:val="003440ED"/>
    <w:rsid w:val="003442B0"/>
    <w:rsid w:val="00345573"/>
    <w:rsid w:val="0034580D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697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5891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096"/>
    <w:rsid w:val="00557332"/>
    <w:rsid w:val="00557665"/>
    <w:rsid w:val="00560311"/>
    <w:rsid w:val="00560A9D"/>
    <w:rsid w:val="00560C58"/>
    <w:rsid w:val="00560DEC"/>
    <w:rsid w:val="00561031"/>
    <w:rsid w:val="005610D2"/>
    <w:rsid w:val="0056209B"/>
    <w:rsid w:val="00562EDA"/>
    <w:rsid w:val="00563A91"/>
    <w:rsid w:val="00563E2C"/>
    <w:rsid w:val="00564AE5"/>
    <w:rsid w:val="00564D36"/>
    <w:rsid w:val="005662C6"/>
    <w:rsid w:val="00566558"/>
    <w:rsid w:val="00566F9F"/>
    <w:rsid w:val="00566FFF"/>
    <w:rsid w:val="005677B6"/>
    <w:rsid w:val="00567F3B"/>
    <w:rsid w:val="00570585"/>
    <w:rsid w:val="00570A3F"/>
    <w:rsid w:val="005716DA"/>
    <w:rsid w:val="0057170A"/>
    <w:rsid w:val="00572570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334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2C1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F3"/>
    <w:rsid w:val="006D7219"/>
    <w:rsid w:val="006D7AD1"/>
    <w:rsid w:val="006D7D1F"/>
    <w:rsid w:val="006E0CC1"/>
    <w:rsid w:val="006E0CCB"/>
    <w:rsid w:val="006E14C7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3693"/>
    <w:rsid w:val="00864690"/>
    <w:rsid w:val="00865324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495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414"/>
    <w:rsid w:val="0095369D"/>
    <w:rsid w:val="00953878"/>
    <w:rsid w:val="00953A7B"/>
    <w:rsid w:val="00955618"/>
    <w:rsid w:val="00956143"/>
    <w:rsid w:val="009561D6"/>
    <w:rsid w:val="0095639A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BF7"/>
    <w:rsid w:val="00987DF6"/>
    <w:rsid w:val="0099056B"/>
    <w:rsid w:val="00990814"/>
    <w:rsid w:val="00990FD5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6B19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BFD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EA3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AD0"/>
    <w:rsid w:val="00A65EAF"/>
    <w:rsid w:val="00A66092"/>
    <w:rsid w:val="00A662FB"/>
    <w:rsid w:val="00A66377"/>
    <w:rsid w:val="00A66594"/>
    <w:rsid w:val="00A66A79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235F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114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5B07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08D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1C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91"/>
    <w:rsid w:val="00D017E5"/>
    <w:rsid w:val="00D022B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B5"/>
    <w:rsid w:val="00D3085D"/>
    <w:rsid w:val="00D30E4C"/>
    <w:rsid w:val="00D31AEA"/>
    <w:rsid w:val="00D328AB"/>
    <w:rsid w:val="00D32F8A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11A0"/>
    <w:rsid w:val="00DF2910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526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D7DAE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1E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C3D"/>
    <w:rsid w:val="00F47EA2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1BF2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51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3A2B3-A76C-4E65-9FA2-6E9CE78A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5434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2024-10-07T16:28:00Z</dcterms:created>
  <dcterms:modified xsi:type="dcterms:W3CDTF">2024-10-07T16:28:00Z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