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ADB2F" w14:textId="17B769D9" w:rsidR="00C41361" w:rsidRPr="001C2D88" w:rsidRDefault="00C41361" w:rsidP="00C4136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112-bis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</w:t>
      </w:r>
      <w:r w:rsidR="00435031" w:rsidRPr="00435031">
        <w:rPr>
          <w:rFonts w:ascii="Arial" w:eastAsiaTheme="minorEastAsia" w:hAnsi="Arial" w:cs="Arial"/>
          <w:b/>
        </w:rPr>
        <w:t>2416484</w:t>
      </w:r>
    </w:p>
    <w:p w14:paraId="79477482" w14:textId="77777777" w:rsidR="00C41361" w:rsidRPr="001C2D88" w:rsidRDefault="00C41361" w:rsidP="00C4136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Hefei,</w:t>
      </w:r>
      <w:r w:rsidRPr="00CE4C51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>China, October</w:t>
      </w:r>
      <w:r w:rsidRPr="00CE4C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14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  <w:bCs/>
        </w:rPr>
        <w:t>18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598898CC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C41361">
        <w:rPr>
          <w:rFonts w:ascii="Arial" w:eastAsiaTheme="minorEastAsia" w:hAnsi="Arial" w:cs="Arial"/>
          <w:color w:val="000000"/>
          <w:sz w:val="22"/>
        </w:rPr>
        <w:t>6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8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5027A6">
        <w:rPr>
          <w:rFonts w:ascii="Arial" w:eastAsiaTheme="minorEastAsia" w:hAnsi="Arial" w:cs="Arial"/>
          <w:color w:val="000000"/>
          <w:sz w:val="22"/>
        </w:rPr>
        <w:t>2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C41361">
        <w:rPr>
          <w:rFonts w:ascii="Arial" w:eastAsiaTheme="minorEastAsia" w:hAnsi="Arial" w:cs="Arial"/>
          <w:color w:val="000000"/>
          <w:sz w:val="22"/>
        </w:rPr>
        <w:t>2.2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689284B5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895C20">
        <w:rPr>
          <w:rFonts w:ascii="Arial" w:eastAsia="MS Mincho" w:hAnsi="Arial" w:cs="Arial"/>
          <w:sz w:val="22"/>
        </w:rPr>
        <w:t xml:space="preserve">UE RF </w:t>
      </w:r>
      <w:r w:rsidR="00057C41">
        <w:rPr>
          <w:rFonts w:ascii="Arial" w:eastAsia="MS Mincho" w:hAnsi="Arial" w:cs="Arial"/>
          <w:sz w:val="22"/>
        </w:rPr>
        <w:t>R</w:t>
      </w:r>
      <w:r w:rsidR="005027A6">
        <w:rPr>
          <w:rFonts w:ascii="Arial" w:eastAsia="MS Mincho" w:hAnsi="Arial" w:cs="Arial"/>
          <w:sz w:val="22"/>
        </w:rPr>
        <w:t xml:space="preserve">x </w:t>
      </w:r>
      <w:r w:rsidR="00895C20">
        <w:rPr>
          <w:rFonts w:ascii="Arial" w:eastAsia="MS Mincho" w:hAnsi="Arial" w:cs="Arial"/>
          <w:sz w:val="22"/>
        </w:rPr>
        <w:t>requirements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9954E8">
        <w:rPr>
          <w:rFonts w:ascii="Arial" w:eastAsia="MS Mincho" w:hAnsi="Arial" w:cs="Arial"/>
          <w:sz w:val="22"/>
        </w:rPr>
        <w:t xml:space="preserve">for </w:t>
      </w:r>
      <w:r w:rsidR="00C41361">
        <w:rPr>
          <w:rFonts w:ascii="Arial" w:eastAsia="MS Mincho" w:hAnsi="Arial" w:cs="Arial"/>
          <w:sz w:val="22"/>
        </w:rPr>
        <w:t>NR-</w:t>
      </w:r>
      <w:r w:rsidR="009954E8">
        <w:rPr>
          <w:rFonts w:ascii="Arial" w:eastAsia="MS Mincho" w:hAnsi="Arial" w:cs="Arial"/>
          <w:sz w:val="22"/>
        </w:rPr>
        <w:t>NTN</w:t>
      </w:r>
      <w:r w:rsidR="005027A6">
        <w:rPr>
          <w:rFonts w:ascii="Arial" w:eastAsia="MS Mincho" w:hAnsi="Arial" w:cs="Arial"/>
          <w:sz w:val="22"/>
        </w:rPr>
        <w:t xml:space="preserve"> HPUE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23C5B2E4" w14:textId="0242B833" w:rsidR="00CB2802" w:rsidRDefault="00CB2802" w:rsidP="00CB2802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RAN#105, a revised WID has been approved for “</w:t>
      </w:r>
      <w:r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working areas of the WI is to specify </w:t>
      </w:r>
      <w:r w:rsidRPr="005027A6">
        <w:rPr>
          <w:sz w:val="21"/>
          <w:szCs w:val="21"/>
        </w:rPr>
        <w:t>High power UE (HPUE)</w:t>
      </w:r>
      <w:r>
        <w:rPr>
          <w:sz w:val="21"/>
          <w:szCs w:val="21"/>
        </w:rPr>
        <w:t xml:space="preserve"> requirements</w:t>
      </w:r>
      <w:r w:rsidRPr="005027A6">
        <w:rPr>
          <w:sz w:val="21"/>
          <w:szCs w:val="21"/>
        </w:rPr>
        <w:t xml:space="preserve"> for </w:t>
      </w:r>
      <w:r>
        <w:rPr>
          <w:sz w:val="21"/>
          <w:szCs w:val="21"/>
        </w:rPr>
        <w:t>NR-</w:t>
      </w:r>
      <w:r w:rsidRPr="005027A6">
        <w:rPr>
          <w:sz w:val="21"/>
          <w:szCs w:val="21"/>
        </w:rPr>
        <w:t>NTN</w:t>
      </w:r>
      <w:r>
        <w:rPr>
          <w:sz w:val="21"/>
          <w:szCs w:val="21"/>
        </w:rPr>
        <w:t xml:space="preserve"> with the following objectives:</w:t>
      </w:r>
    </w:p>
    <w:p w14:paraId="726C968A" w14:textId="77777777" w:rsidR="00CB2802" w:rsidRPr="005027A6" w:rsidRDefault="00CB2802" w:rsidP="00CB280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Specify high power UE (HPUE) for NR-NTN (Non-Terrestrial Networks) and IoT-NTN (NB-IoT and eMTC based NTN) in FR1-NTN bands and the corresponding LTE NTN bands for the single uplink (UL) carrier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scenario</w:t>
      </w:r>
      <w:proofErr w:type="gramEnd"/>
    </w:p>
    <w:p w14:paraId="4AD8116F" w14:textId="77777777" w:rsidR="00CB2802" w:rsidRPr="005027A6" w:rsidRDefault="00CB2802" w:rsidP="00CB280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Support UE with power class 2 (PC2, 26 dBm) that applies to both handheld and non-handheld based on the co-existence study.</w:t>
      </w:r>
    </w:p>
    <w:p w14:paraId="5E21BF57" w14:textId="77777777" w:rsidR="00CB2802" w:rsidRPr="005027A6" w:rsidRDefault="00CB2802" w:rsidP="00CB280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Support other power classes based on the co-existence and feasibility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study</w:t>
      </w:r>
      <w:proofErr w:type="gramEnd"/>
    </w:p>
    <w:p w14:paraId="4FB65BA6" w14:textId="77777777" w:rsidR="00CB2802" w:rsidRPr="005027A6" w:rsidRDefault="00CB2802" w:rsidP="00CB280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Non-</w:t>
      </w:r>
      <w:proofErr w:type="gramStart"/>
      <w:r w:rsidRPr="005027A6">
        <w:rPr>
          <w:rFonts w:eastAsia="MS Mincho"/>
          <w:i/>
          <w:iCs/>
          <w:sz w:val="21"/>
          <w:szCs w:val="21"/>
        </w:rPr>
        <w:t>hand held</w:t>
      </w:r>
      <w:proofErr w:type="gramEnd"/>
      <w:r w:rsidRPr="005027A6">
        <w:rPr>
          <w:rFonts w:eastAsia="MS Mincho"/>
          <w:i/>
          <w:iCs/>
          <w:sz w:val="21"/>
          <w:szCs w:val="21"/>
        </w:rPr>
        <w:t xml:space="preserve"> UE is prioritized</w:t>
      </w:r>
    </w:p>
    <w:p w14:paraId="21E6D07D" w14:textId="77777777" w:rsidR="00CB2802" w:rsidRPr="005027A6" w:rsidRDefault="00CB2802" w:rsidP="00CB280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Specify RF requirements for all considered power classes for NR-NTN and IoT-NTN in FR1-NTN bands and the corresponding LTE NTN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2ED91571" w14:textId="77777777" w:rsidR="00CB2802" w:rsidRPr="005027A6" w:rsidRDefault="00CB2802" w:rsidP="00CB280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Necessary Tx requirements, at least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including</w:t>
      </w:r>
      <w:proofErr w:type="gramEnd"/>
    </w:p>
    <w:p w14:paraId="59185535" w14:textId="77777777" w:rsidR="00CB2802" w:rsidRPr="005027A6" w:rsidRDefault="00CB2802" w:rsidP="00CB2802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Investigate and if necessary, specify the solution to address potential SAR (Specific Absorption Rate restriction) requirements for handheld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UE</w:t>
      </w:r>
      <w:proofErr w:type="gramEnd"/>
    </w:p>
    <w:p w14:paraId="1589C532" w14:textId="77777777" w:rsidR="00CB2802" w:rsidRPr="005027A6" w:rsidRDefault="00CB2802" w:rsidP="00CB2802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MPR and A-MPR for the example bands considering the regulation for the corresponding bands, if necessary</w:t>
      </w:r>
    </w:p>
    <w:p w14:paraId="615EDB11" w14:textId="77777777" w:rsidR="00CB2802" w:rsidRPr="005027A6" w:rsidRDefault="00CB2802" w:rsidP="00CB280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Necessary Rx requirements, at least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including</w:t>
      </w:r>
      <w:proofErr w:type="gramEnd"/>
    </w:p>
    <w:p w14:paraId="0F06F518" w14:textId="77777777" w:rsidR="00CB2802" w:rsidRPr="005027A6" w:rsidRDefault="00CB2802" w:rsidP="00CB2802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the RSD requirements on the example bands, if necessary</w:t>
      </w:r>
    </w:p>
    <w:p w14:paraId="18F54C00" w14:textId="77777777" w:rsidR="00CB2802" w:rsidRPr="005027A6" w:rsidRDefault="00CB2802" w:rsidP="00CB280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Specify the necessary signaling to support the above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objectives</w:t>
      </w:r>
      <w:proofErr w:type="gramEnd"/>
    </w:p>
    <w:p w14:paraId="4A1C25F3" w14:textId="77777777" w:rsidR="00FF1593" w:rsidRPr="00770531" w:rsidRDefault="00FF1593" w:rsidP="00FF1593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discuss the open issues on UE RF Tx requirements for NR-NTN HPUE from the approved WF in RAN4#112 [2].  </w:t>
      </w:r>
    </w:p>
    <w:p w14:paraId="7A1565B5" w14:textId="35DAE546" w:rsidR="00C36429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2ECFC2F6" w14:textId="77777777" w:rsidR="001A25EC" w:rsidRDefault="001A25EC" w:rsidP="009F35FA">
      <w:pPr>
        <w:rPr>
          <w:sz w:val="21"/>
          <w:szCs w:val="21"/>
          <w:lang w:eastAsia="en-GB"/>
        </w:rPr>
      </w:pPr>
      <w:r>
        <w:rPr>
          <w:sz w:val="21"/>
          <w:szCs w:val="21"/>
          <w:lang w:eastAsia="en-GB"/>
        </w:rPr>
        <w:t>In the approved WF [2], the following has been agreed:</w:t>
      </w:r>
    </w:p>
    <w:p w14:paraId="3D5CFECC" w14:textId="77777777" w:rsidR="001A25EC" w:rsidRDefault="001A25EC" w:rsidP="009F35FA">
      <w:pPr>
        <w:rPr>
          <w:sz w:val="21"/>
          <w:szCs w:val="21"/>
          <w:lang w:eastAsia="en-GB"/>
        </w:rPr>
      </w:pPr>
    </w:p>
    <w:p w14:paraId="19381FB9" w14:textId="77777777" w:rsidR="001A25EC" w:rsidRPr="001A25EC" w:rsidRDefault="001A25EC" w:rsidP="001A25EC">
      <w:pPr>
        <w:rPr>
          <w:b/>
          <w:i/>
          <w:iCs/>
          <w:sz w:val="21"/>
          <w:szCs w:val="21"/>
          <w:u w:val="single"/>
          <w:lang w:eastAsia="ko-KR"/>
        </w:rPr>
      </w:pPr>
      <w:r w:rsidRPr="001A25EC">
        <w:rPr>
          <w:b/>
          <w:i/>
          <w:iCs/>
          <w:sz w:val="21"/>
          <w:szCs w:val="21"/>
          <w:u w:val="single"/>
          <w:lang w:eastAsia="ko-KR"/>
        </w:rPr>
        <w:t>Issue 4-1: General considerations</w:t>
      </w:r>
    </w:p>
    <w:p w14:paraId="1925B29C" w14:textId="77777777" w:rsidR="001A25EC" w:rsidRPr="001A25EC" w:rsidRDefault="001A25EC" w:rsidP="001A25E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/>
          <w:i/>
          <w:iCs/>
          <w:sz w:val="21"/>
          <w:szCs w:val="21"/>
        </w:rPr>
      </w:pPr>
      <w:r w:rsidRPr="001A25EC">
        <w:rPr>
          <w:rFonts w:eastAsia="SimSun"/>
          <w:b/>
          <w:i/>
          <w:iCs/>
          <w:sz w:val="21"/>
          <w:szCs w:val="21"/>
        </w:rPr>
        <w:t>Agreement</w:t>
      </w:r>
    </w:p>
    <w:p w14:paraId="5641B934" w14:textId="77777777" w:rsidR="001A25EC" w:rsidRPr="001A25EC" w:rsidRDefault="001A25EC" w:rsidP="001A25EC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b/>
          <w:i/>
          <w:iCs/>
          <w:sz w:val="21"/>
          <w:szCs w:val="21"/>
          <w:u w:val="single"/>
          <w:lang w:eastAsia="ko-KR"/>
        </w:rPr>
      </w:pPr>
      <w:r w:rsidRPr="001A25EC">
        <w:rPr>
          <w:rFonts w:eastAsia="SimSun"/>
          <w:i/>
          <w:iCs/>
          <w:sz w:val="21"/>
          <w:szCs w:val="21"/>
        </w:rPr>
        <w:t>Rx RF requirements including Max input level, ACS, blocking characteristics, spurious response, intermodulation characteristics, Rx spurious emissions in existing spec can be applied to other power class.</w:t>
      </w:r>
    </w:p>
    <w:p w14:paraId="326AD203" w14:textId="34B83EE7" w:rsidR="001A25EC" w:rsidRPr="00F7544E" w:rsidRDefault="00F7544E" w:rsidP="001A25EC">
      <w:pPr>
        <w:spacing w:after="120"/>
        <w:rPr>
          <w:rFonts w:eastAsia="SimSun"/>
          <w:sz w:val="21"/>
          <w:szCs w:val="21"/>
        </w:rPr>
      </w:pPr>
      <w:r>
        <w:rPr>
          <w:rFonts w:eastAsia="SimSun"/>
          <w:sz w:val="21"/>
          <w:szCs w:val="21"/>
        </w:rPr>
        <w:t xml:space="preserve">The only remaining open issue </w:t>
      </w:r>
      <w:r w:rsidR="00F1123D">
        <w:rPr>
          <w:rFonts w:eastAsia="SimSun"/>
          <w:sz w:val="21"/>
          <w:szCs w:val="21"/>
        </w:rPr>
        <w:t xml:space="preserve">in this part </w:t>
      </w:r>
      <w:r>
        <w:rPr>
          <w:rFonts w:eastAsia="SimSun"/>
          <w:sz w:val="21"/>
          <w:szCs w:val="21"/>
        </w:rPr>
        <w:t xml:space="preserve">is </w:t>
      </w:r>
      <w:r w:rsidR="00F1123D">
        <w:rPr>
          <w:rFonts w:eastAsia="SimSun"/>
          <w:sz w:val="21"/>
          <w:szCs w:val="21"/>
        </w:rPr>
        <w:t>the following:</w:t>
      </w:r>
    </w:p>
    <w:p w14:paraId="470799ED" w14:textId="77777777" w:rsidR="001A25EC" w:rsidRPr="001A25EC" w:rsidRDefault="001A25EC" w:rsidP="001A25EC">
      <w:pPr>
        <w:rPr>
          <w:b/>
          <w:i/>
          <w:iCs/>
          <w:sz w:val="21"/>
          <w:szCs w:val="21"/>
          <w:u w:val="single"/>
          <w:lang w:eastAsia="ko-KR"/>
        </w:rPr>
      </w:pPr>
      <w:r w:rsidRPr="001A25EC">
        <w:rPr>
          <w:b/>
          <w:i/>
          <w:iCs/>
          <w:sz w:val="21"/>
          <w:szCs w:val="21"/>
          <w:u w:val="single"/>
          <w:lang w:eastAsia="ko-KR"/>
        </w:rPr>
        <w:t>Issue 4-2: RSD for NR-NTN</w:t>
      </w:r>
    </w:p>
    <w:p w14:paraId="09A8F4F7" w14:textId="77777777" w:rsidR="001A25EC" w:rsidRPr="001A25EC" w:rsidRDefault="001A25EC" w:rsidP="001A25E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i/>
          <w:iCs/>
          <w:sz w:val="21"/>
          <w:szCs w:val="21"/>
        </w:rPr>
      </w:pPr>
      <w:r w:rsidRPr="001A25EC">
        <w:rPr>
          <w:rFonts w:eastAsia="SimSun"/>
          <w:b/>
          <w:i/>
          <w:iCs/>
          <w:sz w:val="21"/>
          <w:szCs w:val="21"/>
        </w:rPr>
        <w:t>Agreement</w:t>
      </w:r>
    </w:p>
    <w:p w14:paraId="31CA4F5E" w14:textId="77777777" w:rsidR="001A25EC" w:rsidRPr="001A25EC" w:rsidRDefault="001A25EC" w:rsidP="001A25EC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b/>
          <w:i/>
          <w:iCs/>
          <w:sz w:val="21"/>
          <w:szCs w:val="21"/>
          <w:u w:val="single"/>
          <w:lang w:eastAsia="ko-KR"/>
        </w:rPr>
      </w:pPr>
      <w:r w:rsidRPr="001A25EC">
        <w:rPr>
          <w:rFonts w:eastAsia="SimSun"/>
          <w:i/>
          <w:iCs/>
          <w:sz w:val="21"/>
          <w:szCs w:val="21"/>
        </w:rPr>
        <w:lastRenderedPageBreak/>
        <w:t>Reference sensitivity degradation (RSD) requirements is needed for NTN HPUE.</w:t>
      </w:r>
    </w:p>
    <w:p w14:paraId="3953A65C" w14:textId="77777777" w:rsidR="001A25EC" w:rsidRPr="001A25EC" w:rsidRDefault="001A25EC" w:rsidP="001A25EC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b/>
          <w:i/>
          <w:iCs/>
          <w:sz w:val="21"/>
          <w:szCs w:val="21"/>
          <w:u w:val="single"/>
          <w:lang w:eastAsia="ko-KR"/>
        </w:rPr>
      </w:pPr>
      <w:r w:rsidRPr="001A25EC">
        <w:rPr>
          <w:rFonts w:eastAsia="SimSun"/>
          <w:i/>
          <w:iCs/>
          <w:sz w:val="21"/>
          <w:szCs w:val="21"/>
        </w:rPr>
        <w:t>Further discuss the following aspects:</w:t>
      </w:r>
    </w:p>
    <w:p w14:paraId="5921EFC3" w14:textId="77777777" w:rsidR="001A25EC" w:rsidRPr="001A25EC" w:rsidRDefault="001A25EC" w:rsidP="001A25EC">
      <w:pPr>
        <w:pStyle w:val="ListParagraph"/>
        <w:numPr>
          <w:ilvl w:val="3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b/>
          <w:i/>
          <w:iCs/>
          <w:sz w:val="21"/>
          <w:szCs w:val="21"/>
          <w:u w:val="single"/>
          <w:lang w:eastAsia="ko-KR"/>
        </w:rPr>
      </w:pPr>
      <w:r w:rsidRPr="001A25EC">
        <w:rPr>
          <w:rFonts w:eastAsiaTheme="minorEastAsia"/>
          <w:i/>
          <w:iCs/>
          <w:sz w:val="21"/>
          <w:szCs w:val="21"/>
        </w:rPr>
        <w:t xml:space="preserve">Use similar way in TN spec by introducing a new table of RSD compared to the </w:t>
      </w:r>
      <w:proofErr w:type="gramStart"/>
      <w:r w:rsidRPr="001A25EC">
        <w:rPr>
          <w:rFonts w:eastAsiaTheme="minorEastAsia"/>
          <w:i/>
          <w:iCs/>
          <w:sz w:val="21"/>
          <w:szCs w:val="21"/>
        </w:rPr>
        <w:t>PC3</w:t>
      </w:r>
      <w:proofErr w:type="gramEnd"/>
    </w:p>
    <w:p w14:paraId="05F7EB9A" w14:textId="77777777" w:rsidR="001A25EC" w:rsidRPr="001A25EC" w:rsidRDefault="001A25EC" w:rsidP="001A25EC">
      <w:pPr>
        <w:pStyle w:val="ListParagraph"/>
        <w:numPr>
          <w:ilvl w:val="3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b/>
          <w:i/>
          <w:iCs/>
          <w:sz w:val="21"/>
          <w:szCs w:val="21"/>
          <w:u w:val="single"/>
          <w:lang w:eastAsia="ko-KR"/>
        </w:rPr>
      </w:pPr>
      <w:r w:rsidRPr="001A25EC">
        <w:rPr>
          <w:rFonts w:eastAsiaTheme="minorEastAsia"/>
          <w:i/>
          <w:iCs/>
          <w:sz w:val="21"/>
          <w:szCs w:val="21"/>
        </w:rPr>
        <w:t>Whether default Tx-Rx frequency separation is used for test point</w:t>
      </w:r>
    </w:p>
    <w:p w14:paraId="455C7230" w14:textId="77777777" w:rsidR="001A25EC" w:rsidRDefault="001A25EC" w:rsidP="009F35FA">
      <w:pPr>
        <w:rPr>
          <w:sz w:val="21"/>
          <w:szCs w:val="21"/>
          <w:lang w:eastAsia="en-GB"/>
        </w:rPr>
      </w:pPr>
    </w:p>
    <w:p w14:paraId="3F1BF08B" w14:textId="1BA21E1B" w:rsidR="00BA78AB" w:rsidRDefault="00BA78AB" w:rsidP="009F35FA">
      <w:pPr>
        <w:rPr>
          <w:sz w:val="21"/>
          <w:szCs w:val="21"/>
          <w:lang w:eastAsia="en-GB"/>
        </w:rPr>
      </w:pPr>
      <w:r>
        <w:rPr>
          <w:sz w:val="21"/>
          <w:szCs w:val="21"/>
          <w:lang w:eastAsia="en-GB"/>
        </w:rPr>
        <w:t>For FR1</w:t>
      </w:r>
      <w:r w:rsidR="001544FD">
        <w:rPr>
          <w:sz w:val="21"/>
          <w:szCs w:val="21"/>
          <w:lang w:eastAsia="en-GB"/>
        </w:rPr>
        <w:t>-NTN, t</w:t>
      </w:r>
      <w:r>
        <w:rPr>
          <w:sz w:val="21"/>
          <w:szCs w:val="21"/>
          <w:lang w:eastAsia="en-GB"/>
        </w:rPr>
        <w:t xml:space="preserve">he only </w:t>
      </w:r>
      <w:r w:rsidR="001544FD">
        <w:rPr>
          <w:sz w:val="21"/>
          <w:szCs w:val="21"/>
          <w:lang w:eastAsia="en-GB"/>
        </w:rPr>
        <w:t>identified</w:t>
      </w:r>
      <w:r>
        <w:rPr>
          <w:sz w:val="21"/>
          <w:szCs w:val="21"/>
          <w:lang w:eastAsia="en-GB"/>
        </w:rPr>
        <w:t xml:space="preserve"> </w:t>
      </w:r>
      <w:r w:rsidR="001544FD">
        <w:rPr>
          <w:sz w:val="21"/>
          <w:szCs w:val="21"/>
          <w:lang w:eastAsia="en-GB"/>
        </w:rPr>
        <w:t xml:space="preserve">potential </w:t>
      </w:r>
      <w:r>
        <w:rPr>
          <w:sz w:val="21"/>
          <w:szCs w:val="21"/>
          <w:lang w:eastAsia="en-GB"/>
        </w:rPr>
        <w:t xml:space="preserve">impact </w:t>
      </w:r>
      <w:r w:rsidR="001544FD">
        <w:rPr>
          <w:sz w:val="21"/>
          <w:szCs w:val="21"/>
          <w:lang w:eastAsia="en-GB"/>
        </w:rPr>
        <w:t>on Rx requirements by introducing PC2 is on a reference sensitivity. In TS38.101-1[</w:t>
      </w:r>
      <w:r w:rsidR="0084302D">
        <w:rPr>
          <w:sz w:val="21"/>
          <w:szCs w:val="21"/>
          <w:lang w:eastAsia="en-GB"/>
        </w:rPr>
        <w:t>3</w:t>
      </w:r>
      <w:r w:rsidR="001544FD">
        <w:rPr>
          <w:sz w:val="21"/>
          <w:szCs w:val="21"/>
          <w:lang w:eastAsia="en-GB"/>
        </w:rPr>
        <w:t>], in clause 7.3.2 there is a Table 7.3.2-1c on “</w:t>
      </w:r>
      <w:r w:rsidR="001544FD" w:rsidRPr="001544FD">
        <w:rPr>
          <w:sz w:val="21"/>
          <w:szCs w:val="21"/>
          <w:lang w:eastAsia="en-GB"/>
        </w:rPr>
        <w:t>Reference Sensitivity Degradation from PC3 to PC2 for FDD bands for UE not supporting Tx Diversity</w:t>
      </w:r>
      <w:r w:rsidR="001544FD">
        <w:rPr>
          <w:sz w:val="21"/>
          <w:szCs w:val="21"/>
          <w:lang w:eastAsia="en-GB"/>
        </w:rPr>
        <w:t>”, where the allowed reference sensitivity degradation is specified for FDD bands. Since in FR1-NTN all specified bands are FDD (n256, n255 and n254), the similar</w:t>
      </w:r>
      <w:r w:rsidR="00BC040D">
        <w:rPr>
          <w:sz w:val="21"/>
          <w:szCs w:val="21"/>
          <w:lang w:eastAsia="en-GB"/>
        </w:rPr>
        <w:t xml:space="preserve"> table</w:t>
      </w:r>
      <w:r w:rsidR="001544FD">
        <w:rPr>
          <w:sz w:val="21"/>
          <w:szCs w:val="21"/>
          <w:lang w:eastAsia="en-GB"/>
        </w:rPr>
        <w:t xml:space="preserve"> should be studied to be introduced to clause 7.3.2</w:t>
      </w:r>
      <w:r w:rsidR="00BC040D">
        <w:rPr>
          <w:sz w:val="21"/>
          <w:szCs w:val="21"/>
          <w:lang w:eastAsia="en-GB"/>
        </w:rPr>
        <w:t xml:space="preserve"> on “Reference sensitivity power level”</w:t>
      </w:r>
      <w:r w:rsidR="001544FD">
        <w:rPr>
          <w:sz w:val="21"/>
          <w:szCs w:val="21"/>
          <w:lang w:eastAsia="en-GB"/>
        </w:rPr>
        <w:t xml:space="preserve"> of TS38.101-5 specifications. </w:t>
      </w:r>
    </w:p>
    <w:p w14:paraId="495FF98E" w14:textId="77777777" w:rsidR="001544FD" w:rsidRDefault="001544FD" w:rsidP="009F35FA">
      <w:pPr>
        <w:rPr>
          <w:sz w:val="21"/>
          <w:szCs w:val="21"/>
          <w:lang w:eastAsia="en-GB"/>
        </w:rPr>
      </w:pPr>
    </w:p>
    <w:p w14:paraId="48C357CD" w14:textId="28D3C718" w:rsidR="001544FD" w:rsidRPr="001544FD" w:rsidRDefault="001544FD" w:rsidP="009F35FA">
      <w:pPr>
        <w:rPr>
          <w:b/>
          <w:bCs/>
          <w:sz w:val="21"/>
          <w:szCs w:val="21"/>
          <w:lang w:eastAsia="en-GB"/>
        </w:rPr>
      </w:pPr>
      <w:r w:rsidRPr="001544FD">
        <w:rPr>
          <w:b/>
          <w:bCs/>
          <w:sz w:val="21"/>
          <w:szCs w:val="21"/>
          <w:lang w:eastAsia="en-GB"/>
        </w:rPr>
        <w:t xml:space="preserve">Proposal 1: </w:t>
      </w:r>
      <w:r w:rsidR="000C7776">
        <w:rPr>
          <w:b/>
          <w:bCs/>
          <w:sz w:val="21"/>
          <w:szCs w:val="21"/>
          <w:lang w:eastAsia="en-GB"/>
        </w:rPr>
        <w:t>It should be studied case by case whether</w:t>
      </w:r>
      <w:r w:rsidR="000C7776" w:rsidRPr="000C7776">
        <w:rPr>
          <w:b/>
          <w:bCs/>
          <w:sz w:val="21"/>
          <w:szCs w:val="21"/>
          <w:lang w:eastAsia="en-GB"/>
        </w:rPr>
        <w:tab/>
      </w:r>
      <w:r w:rsidR="000C7776">
        <w:rPr>
          <w:b/>
          <w:bCs/>
          <w:sz w:val="21"/>
          <w:szCs w:val="21"/>
          <w:lang w:eastAsia="en-GB"/>
        </w:rPr>
        <w:t>r</w:t>
      </w:r>
      <w:r w:rsidR="000C7776" w:rsidRPr="000C7776">
        <w:rPr>
          <w:b/>
          <w:bCs/>
          <w:sz w:val="21"/>
          <w:szCs w:val="21"/>
          <w:lang w:eastAsia="en-GB"/>
        </w:rPr>
        <w:t>eference sensitivity degradation (RSD)</w:t>
      </w:r>
      <w:r w:rsidR="000C7776">
        <w:rPr>
          <w:b/>
          <w:bCs/>
          <w:sz w:val="21"/>
          <w:szCs w:val="21"/>
          <w:lang w:eastAsia="en-GB"/>
        </w:rPr>
        <w:t xml:space="preserve"> </w:t>
      </w:r>
      <w:r w:rsidR="000C7776" w:rsidRPr="000C7776">
        <w:rPr>
          <w:b/>
          <w:bCs/>
          <w:sz w:val="21"/>
          <w:szCs w:val="21"/>
          <w:lang w:eastAsia="en-GB"/>
        </w:rPr>
        <w:t xml:space="preserve">requirements </w:t>
      </w:r>
      <w:r w:rsidR="000C7776">
        <w:rPr>
          <w:b/>
          <w:bCs/>
          <w:sz w:val="21"/>
          <w:szCs w:val="21"/>
          <w:lang w:eastAsia="en-GB"/>
        </w:rPr>
        <w:t>are</w:t>
      </w:r>
      <w:r w:rsidR="000C7776" w:rsidRPr="000C7776">
        <w:rPr>
          <w:b/>
          <w:bCs/>
          <w:sz w:val="21"/>
          <w:szCs w:val="21"/>
          <w:lang w:eastAsia="en-GB"/>
        </w:rPr>
        <w:t xml:space="preserve"> needed for </w:t>
      </w:r>
      <w:r w:rsidR="0003189F">
        <w:rPr>
          <w:b/>
          <w:bCs/>
          <w:sz w:val="21"/>
          <w:szCs w:val="21"/>
          <w:lang w:eastAsia="en-GB"/>
        </w:rPr>
        <w:t>NR-</w:t>
      </w:r>
      <w:r w:rsidR="000C7776" w:rsidRPr="000C7776">
        <w:rPr>
          <w:b/>
          <w:bCs/>
          <w:sz w:val="21"/>
          <w:szCs w:val="21"/>
          <w:lang w:eastAsia="en-GB"/>
        </w:rPr>
        <w:t>NTN HPUE</w:t>
      </w:r>
      <w:r w:rsidR="000C7776">
        <w:rPr>
          <w:b/>
          <w:bCs/>
          <w:sz w:val="21"/>
          <w:szCs w:val="21"/>
          <w:lang w:eastAsia="en-GB"/>
        </w:rPr>
        <w:t>. If so,</w:t>
      </w:r>
      <w:r w:rsidR="000C7776" w:rsidRPr="000C7776">
        <w:rPr>
          <w:b/>
          <w:bCs/>
          <w:sz w:val="21"/>
          <w:szCs w:val="21"/>
          <w:lang w:eastAsia="en-GB"/>
        </w:rPr>
        <w:t xml:space="preserve"> similar way</w:t>
      </w:r>
      <w:r w:rsidR="000C7776">
        <w:rPr>
          <w:b/>
          <w:bCs/>
          <w:sz w:val="21"/>
          <w:szCs w:val="21"/>
          <w:lang w:eastAsia="en-GB"/>
        </w:rPr>
        <w:t xml:space="preserve"> as</w:t>
      </w:r>
      <w:r w:rsidR="000C7776" w:rsidRPr="000C7776">
        <w:rPr>
          <w:b/>
          <w:bCs/>
          <w:sz w:val="21"/>
          <w:szCs w:val="21"/>
          <w:lang w:eastAsia="en-GB"/>
        </w:rPr>
        <w:t xml:space="preserve"> in TN spec </w:t>
      </w:r>
      <w:r w:rsidR="000C7776">
        <w:rPr>
          <w:b/>
          <w:bCs/>
          <w:sz w:val="21"/>
          <w:szCs w:val="21"/>
          <w:lang w:eastAsia="en-GB"/>
        </w:rPr>
        <w:t>should be followed, i.e.</w:t>
      </w:r>
      <w:r w:rsidR="000C7776" w:rsidRPr="000C7776">
        <w:rPr>
          <w:b/>
          <w:bCs/>
          <w:sz w:val="21"/>
          <w:szCs w:val="21"/>
          <w:lang w:eastAsia="en-GB"/>
        </w:rPr>
        <w:t xml:space="preserve"> introducing a new table of RSD compared to the PC3</w:t>
      </w:r>
      <w:r w:rsidR="000C7776">
        <w:rPr>
          <w:b/>
          <w:bCs/>
          <w:sz w:val="21"/>
          <w:szCs w:val="21"/>
          <w:lang w:eastAsia="en-GB"/>
        </w:rPr>
        <w:t xml:space="preserve">. </w:t>
      </w:r>
    </w:p>
    <w:p w14:paraId="0BD09203" w14:textId="77777777" w:rsidR="009716D1" w:rsidRPr="00C23869" w:rsidRDefault="009716D1" w:rsidP="00C23869">
      <w:pPr>
        <w:rPr>
          <w:lang w:eastAsia="en-GB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1F1D891B" w:rsidR="00AA171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sections we 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have the following </w:t>
      </w:r>
      <w:r w:rsidRPr="002100C7">
        <w:rPr>
          <w:rFonts w:ascii="Arial" w:eastAsiaTheme="minorHAnsi" w:hAnsi="Arial" w:cstheme="minorBidi"/>
          <w:sz w:val="20"/>
          <w:szCs w:val="22"/>
        </w:rPr>
        <w:t>propos</w:t>
      </w:r>
      <w:r w:rsidR="009F0552">
        <w:rPr>
          <w:rFonts w:ascii="Arial" w:eastAsiaTheme="minorHAnsi" w:hAnsi="Arial" w:cstheme="minorBidi"/>
          <w:sz w:val="20"/>
          <w:szCs w:val="22"/>
        </w:rPr>
        <w:t>al</w:t>
      </w:r>
      <w:r w:rsidR="006F3CDA">
        <w:rPr>
          <w:rFonts w:ascii="Arial" w:eastAsiaTheme="minorHAnsi" w:hAnsi="Arial" w:cstheme="minorBidi"/>
          <w:sz w:val="20"/>
          <w:szCs w:val="22"/>
        </w:rPr>
        <w:t>s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2239B064" w14:textId="0DA4D3DB" w:rsidR="0084302D" w:rsidRPr="001544FD" w:rsidRDefault="0084302D" w:rsidP="0084302D">
      <w:pPr>
        <w:rPr>
          <w:b/>
          <w:bCs/>
          <w:sz w:val="21"/>
          <w:szCs w:val="21"/>
          <w:lang w:eastAsia="en-GB"/>
        </w:rPr>
      </w:pPr>
      <w:r w:rsidRPr="001544FD">
        <w:rPr>
          <w:b/>
          <w:bCs/>
          <w:sz w:val="21"/>
          <w:szCs w:val="21"/>
          <w:lang w:eastAsia="en-GB"/>
        </w:rPr>
        <w:t xml:space="preserve">Proposal 1: </w:t>
      </w:r>
      <w:r>
        <w:rPr>
          <w:b/>
          <w:bCs/>
          <w:sz w:val="21"/>
          <w:szCs w:val="21"/>
          <w:lang w:eastAsia="en-GB"/>
        </w:rPr>
        <w:t>It should be studied case by case whether</w:t>
      </w:r>
      <w:r w:rsidRPr="000C7776">
        <w:rPr>
          <w:b/>
          <w:bCs/>
          <w:sz w:val="21"/>
          <w:szCs w:val="21"/>
          <w:lang w:eastAsia="en-GB"/>
        </w:rPr>
        <w:tab/>
      </w:r>
      <w:r>
        <w:rPr>
          <w:b/>
          <w:bCs/>
          <w:sz w:val="21"/>
          <w:szCs w:val="21"/>
          <w:lang w:eastAsia="en-GB"/>
        </w:rPr>
        <w:t>r</w:t>
      </w:r>
      <w:r w:rsidRPr="000C7776">
        <w:rPr>
          <w:b/>
          <w:bCs/>
          <w:sz w:val="21"/>
          <w:szCs w:val="21"/>
          <w:lang w:eastAsia="en-GB"/>
        </w:rPr>
        <w:t>eference sensitivity degradation (RSD)</w:t>
      </w:r>
      <w:r>
        <w:rPr>
          <w:b/>
          <w:bCs/>
          <w:sz w:val="21"/>
          <w:szCs w:val="21"/>
          <w:lang w:eastAsia="en-GB"/>
        </w:rPr>
        <w:t xml:space="preserve"> </w:t>
      </w:r>
      <w:r w:rsidRPr="000C7776">
        <w:rPr>
          <w:b/>
          <w:bCs/>
          <w:sz w:val="21"/>
          <w:szCs w:val="21"/>
          <w:lang w:eastAsia="en-GB"/>
        </w:rPr>
        <w:t xml:space="preserve">requirements </w:t>
      </w:r>
      <w:r>
        <w:rPr>
          <w:b/>
          <w:bCs/>
          <w:sz w:val="21"/>
          <w:szCs w:val="21"/>
          <w:lang w:eastAsia="en-GB"/>
        </w:rPr>
        <w:t>are</w:t>
      </w:r>
      <w:r w:rsidRPr="000C7776">
        <w:rPr>
          <w:b/>
          <w:bCs/>
          <w:sz w:val="21"/>
          <w:szCs w:val="21"/>
          <w:lang w:eastAsia="en-GB"/>
        </w:rPr>
        <w:t xml:space="preserve"> needed for </w:t>
      </w:r>
      <w:r w:rsidR="0003189F">
        <w:rPr>
          <w:b/>
          <w:bCs/>
          <w:sz w:val="21"/>
          <w:szCs w:val="21"/>
          <w:lang w:eastAsia="en-GB"/>
        </w:rPr>
        <w:t>NR-</w:t>
      </w:r>
      <w:r w:rsidRPr="000C7776">
        <w:rPr>
          <w:b/>
          <w:bCs/>
          <w:sz w:val="21"/>
          <w:szCs w:val="21"/>
          <w:lang w:eastAsia="en-GB"/>
        </w:rPr>
        <w:t>NTN HPUE</w:t>
      </w:r>
      <w:r>
        <w:rPr>
          <w:b/>
          <w:bCs/>
          <w:sz w:val="21"/>
          <w:szCs w:val="21"/>
          <w:lang w:eastAsia="en-GB"/>
        </w:rPr>
        <w:t>. If so,</w:t>
      </w:r>
      <w:r w:rsidRPr="000C7776">
        <w:rPr>
          <w:b/>
          <w:bCs/>
          <w:sz w:val="21"/>
          <w:szCs w:val="21"/>
          <w:lang w:eastAsia="en-GB"/>
        </w:rPr>
        <w:t xml:space="preserve"> similar way</w:t>
      </w:r>
      <w:r>
        <w:rPr>
          <w:b/>
          <w:bCs/>
          <w:sz w:val="21"/>
          <w:szCs w:val="21"/>
          <w:lang w:eastAsia="en-GB"/>
        </w:rPr>
        <w:t xml:space="preserve"> as</w:t>
      </w:r>
      <w:r w:rsidRPr="000C7776">
        <w:rPr>
          <w:b/>
          <w:bCs/>
          <w:sz w:val="21"/>
          <w:szCs w:val="21"/>
          <w:lang w:eastAsia="en-GB"/>
        </w:rPr>
        <w:t xml:space="preserve"> in TN spec </w:t>
      </w:r>
      <w:r>
        <w:rPr>
          <w:b/>
          <w:bCs/>
          <w:sz w:val="21"/>
          <w:szCs w:val="21"/>
          <w:lang w:eastAsia="en-GB"/>
        </w:rPr>
        <w:t>should be followed, i.e.</w:t>
      </w:r>
      <w:r w:rsidRPr="000C7776">
        <w:rPr>
          <w:b/>
          <w:bCs/>
          <w:sz w:val="21"/>
          <w:szCs w:val="21"/>
          <w:lang w:eastAsia="en-GB"/>
        </w:rPr>
        <w:t xml:space="preserve"> introducing a new table of RSD compared to the PC3</w:t>
      </w:r>
      <w:r>
        <w:rPr>
          <w:b/>
          <w:bCs/>
          <w:sz w:val="21"/>
          <w:szCs w:val="21"/>
          <w:lang w:eastAsia="en-GB"/>
        </w:rPr>
        <w:t xml:space="preserve">. 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3398729F" w14:textId="77777777" w:rsidR="005047AB" w:rsidRPr="00B96BD7" w:rsidRDefault="005047AB" w:rsidP="005047AB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0" w:name="_Ref129967845"/>
      <w:r w:rsidRPr="00713173">
        <w:rPr>
          <w:sz w:val="22"/>
          <w:szCs w:val="22"/>
          <w:lang w:val="en-GB"/>
        </w:rPr>
        <w:t>RP-24</w:t>
      </w:r>
      <w:r>
        <w:rPr>
          <w:sz w:val="22"/>
          <w:szCs w:val="22"/>
          <w:lang w:val="en-GB"/>
        </w:rPr>
        <w:t>1985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960B37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RAN#105</w:t>
      </w:r>
      <w:r w:rsidRPr="00713173">
        <w:rPr>
          <w:sz w:val="22"/>
          <w:szCs w:val="22"/>
        </w:rPr>
        <w:t>.</w:t>
      </w:r>
      <w:bookmarkEnd w:id="0"/>
    </w:p>
    <w:p w14:paraId="4AE95B3B" w14:textId="465C0E11" w:rsidR="00B96BD7" w:rsidRPr="00B96BD7" w:rsidRDefault="00B96BD7" w:rsidP="00B96BD7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 w:rsidRPr="00DB233E">
        <w:rPr>
          <w:iCs/>
          <w:sz w:val="22"/>
          <w:szCs w:val="22"/>
        </w:rPr>
        <w:t>R4-</w:t>
      </w:r>
      <w:r>
        <w:rPr>
          <w:iCs/>
          <w:sz w:val="22"/>
          <w:szCs w:val="22"/>
        </w:rPr>
        <w:t>2414452, “</w:t>
      </w:r>
      <w:r w:rsidRPr="00DB233E">
        <w:rPr>
          <w:iCs/>
          <w:sz w:val="22"/>
          <w:szCs w:val="22"/>
        </w:rPr>
        <w:t>WF on UE RF requirements for NTN HPUE</w:t>
      </w:r>
      <w:r>
        <w:rPr>
          <w:iCs/>
          <w:sz w:val="22"/>
          <w:szCs w:val="22"/>
        </w:rPr>
        <w:t>”, Samsung, RAN4#112.</w:t>
      </w:r>
    </w:p>
    <w:p w14:paraId="4F992F70" w14:textId="1DCFB36F" w:rsidR="006977D1" w:rsidRPr="001425DD" w:rsidRDefault="00F649CE" w:rsidP="001425DD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 w:rsidRPr="00C23869">
        <w:rPr>
          <w:sz w:val="22"/>
          <w:szCs w:val="22"/>
        </w:rPr>
        <w:t>3GPP TS 38.101-</w:t>
      </w:r>
      <w:r w:rsidR="00C23869" w:rsidRPr="00C23869">
        <w:rPr>
          <w:sz w:val="22"/>
          <w:szCs w:val="22"/>
        </w:rPr>
        <w:t>1</w:t>
      </w:r>
      <w:r w:rsidRPr="00C23869">
        <w:rPr>
          <w:sz w:val="22"/>
          <w:szCs w:val="22"/>
        </w:rPr>
        <w:t xml:space="preserve"> V18.</w:t>
      </w:r>
      <w:r w:rsidR="0084302D">
        <w:rPr>
          <w:sz w:val="22"/>
          <w:szCs w:val="22"/>
        </w:rPr>
        <w:t>7</w:t>
      </w:r>
      <w:r w:rsidRPr="00C23869">
        <w:rPr>
          <w:sz w:val="22"/>
          <w:szCs w:val="22"/>
        </w:rPr>
        <w:t xml:space="preserve">.0, “NR; </w:t>
      </w:r>
      <w:r w:rsidR="00C23869" w:rsidRPr="00C23869">
        <w:rPr>
          <w:sz w:val="22"/>
          <w:szCs w:val="22"/>
        </w:rPr>
        <w:t>User Equipment (UE) radio transmission and reception;</w:t>
      </w:r>
      <w:r w:rsidR="00C23869">
        <w:rPr>
          <w:sz w:val="22"/>
          <w:szCs w:val="22"/>
        </w:rPr>
        <w:t xml:space="preserve"> </w:t>
      </w:r>
      <w:r w:rsidR="00C23869" w:rsidRPr="00C23869">
        <w:rPr>
          <w:sz w:val="22"/>
          <w:szCs w:val="22"/>
        </w:rPr>
        <w:t>Part 1: Range 1 Standalone</w:t>
      </w:r>
      <w:r w:rsidRPr="00C23869">
        <w:rPr>
          <w:sz w:val="22"/>
          <w:szCs w:val="22"/>
        </w:rPr>
        <w:t>”</w:t>
      </w:r>
    </w:p>
    <w:sectPr w:rsidR="006977D1" w:rsidRPr="001425D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0584C" w14:textId="77777777" w:rsidR="006F6998" w:rsidRDefault="006F6998" w:rsidP="00CF21FF">
      <w:r>
        <w:separator/>
      </w:r>
    </w:p>
  </w:endnote>
  <w:endnote w:type="continuationSeparator" w:id="0">
    <w:p w14:paraId="24CB4830" w14:textId="77777777" w:rsidR="006F6998" w:rsidRDefault="006F6998" w:rsidP="00CF21FF">
      <w:r>
        <w:continuationSeparator/>
      </w:r>
    </w:p>
  </w:endnote>
  <w:endnote w:type="continuationNotice" w:id="1">
    <w:p w14:paraId="171EC680" w14:textId="77777777" w:rsidR="006F6998" w:rsidRDefault="006F69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78946" w14:textId="77777777" w:rsidR="006F6998" w:rsidRDefault="006F6998" w:rsidP="00CF21FF">
      <w:r>
        <w:separator/>
      </w:r>
    </w:p>
  </w:footnote>
  <w:footnote w:type="continuationSeparator" w:id="0">
    <w:p w14:paraId="79B74632" w14:textId="77777777" w:rsidR="006F6998" w:rsidRDefault="006F6998" w:rsidP="00CF21FF">
      <w:r>
        <w:continuationSeparator/>
      </w:r>
    </w:p>
  </w:footnote>
  <w:footnote w:type="continuationNotice" w:id="1">
    <w:p w14:paraId="12E665BA" w14:textId="77777777" w:rsidR="006F6998" w:rsidRDefault="006F69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7"/>
  </w:num>
  <w:num w:numId="2" w16cid:durableId="206456521">
    <w:abstractNumId w:val="10"/>
  </w:num>
  <w:num w:numId="3" w16cid:durableId="2114860448">
    <w:abstractNumId w:val="4"/>
  </w:num>
  <w:num w:numId="4" w16cid:durableId="236524273">
    <w:abstractNumId w:val="11"/>
  </w:num>
  <w:num w:numId="5" w16cid:durableId="124935407">
    <w:abstractNumId w:val="12"/>
  </w:num>
  <w:num w:numId="6" w16cid:durableId="910846781">
    <w:abstractNumId w:val="15"/>
  </w:num>
  <w:num w:numId="7" w16cid:durableId="730082185">
    <w:abstractNumId w:val="14"/>
  </w:num>
  <w:num w:numId="8" w16cid:durableId="575479695">
    <w:abstractNumId w:val="9"/>
  </w:num>
  <w:num w:numId="9" w16cid:durableId="1112823213">
    <w:abstractNumId w:val="8"/>
  </w:num>
  <w:num w:numId="10" w16cid:durableId="614143105">
    <w:abstractNumId w:val="13"/>
  </w:num>
  <w:num w:numId="11" w16cid:durableId="1213073752">
    <w:abstractNumId w:val="6"/>
  </w:num>
  <w:num w:numId="12" w16cid:durableId="341251335">
    <w:abstractNumId w:val="16"/>
  </w:num>
  <w:num w:numId="13" w16cid:durableId="338388040">
    <w:abstractNumId w:val="18"/>
  </w:num>
  <w:num w:numId="14" w16cid:durableId="683022094">
    <w:abstractNumId w:val="5"/>
  </w:num>
  <w:num w:numId="15" w16cid:durableId="5983684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17"/>
  </w:num>
  <w:num w:numId="18" w16cid:durableId="1737237130">
    <w:abstractNumId w:val="2"/>
  </w:num>
  <w:num w:numId="19" w16cid:durableId="1797213994">
    <w:abstractNumId w:val="1"/>
  </w:num>
  <w:num w:numId="20" w16cid:durableId="63171242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89F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C41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192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C7776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0F5A77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5DD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4FD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1779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5EC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1E47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127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31"/>
    <w:rsid w:val="004350F4"/>
    <w:rsid w:val="00435598"/>
    <w:rsid w:val="0043564B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D1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B7DA7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7A6"/>
    <w:rsid w:val="00502D7C"/>
    <w:rsid w:val="00502FC3"/>
    <w:rsid w:val="005034DC"/>
    <w:rsid w:val="005047AB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34D"/>
    <w:rsid w:val="00523AB5"/>
    <w:rsid w:val="0052521E"/>
    <w:rsid w:val="00525841"/>
    <w:rsid w:val="00526AB7"/>
    <w:rsid w:val="0052729C"/>
    <w:rsid w:val="005304EC"/>
    <w:rsid w:val="005306E8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3F20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4CF3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5C91"/>
    <w:rsid w:val="006C6206"/>
    <w:rsid w:val="006C643E"/>
    <w:rsid w:val="006C7085"/>
    <w:rsid w:val="006D034F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3CDA"/>
    <w:rsid w:val="006F580B"/>
    <w:rsid w:val="006F5AD5"/>
    <w:rsid w:val="006F5B58"/>
    <w:rsid w:val="006F5C2D"/>
    <w:rsid w:val="006F5FCF"/>
    <w:rsid w:val="006F6998"/>
    <w:rsid w:val="006F75E9"/>
    <w:rsid w:val="006F7C0C"/>
    <w:rsid w:val="00700755"/>
    <w:rsid w:val="0070076F"/>
    <w:rsid w:val="007010AD"/>
    <w:rsid w:val="00703899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380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40A9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45B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302D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5C20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28D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7A9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6D1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161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9BC"/>
    <w:rsid w:val="009E4FDA"/>
    <w:rsid w:val="009E4FDB"/>
    <w:rsid w:val="009E5401"/>
    <w:rsid w:val="009E7BDB"/>
    <w:rsid w:val="009F0552"/>
    <w:rsid w:val="009F099E"/>
    <w:rsid w:val="009F0F9E"/>
    <w:rsid w:val="009F14E0"/>
    <w:rsid w:val="009F1E67"/>
    <w:rsid w:val="009F319D"/>
    <w:rsid w:val="009F35FA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B5B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715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A6315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16D"/>
    <w:rsid w:val="00B278D6"/>
    <w:rsid w:val="00B30018"/>
    <w:rsid w:val="00B32869"/>
    <w:rsid w:val="00B32E6C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6BD7"/>
    <w:rsid w:val="00B9755C"/>
    <w:rsid w:val="00BA10C0"/>
    <w:rsid w:val="00BA12A6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8AB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0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1D9E"/>
    <w:rsid w:val="00C0274D"/>
    <w:rsid w:val="00C0288F"/>
    <w:rsid w:val="00C0432A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3869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361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878"/>
    <w:rsid w:val="00C72951"/>
    <w:rsid w:val="00C72BAC"/>
    <w:rsid w:val="00C76494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802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0BD4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07EA8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47BDC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2B6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23D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636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44E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593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302D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7F01652-EBC3-4A93-85A4-C21BC9675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F04A2D-8FD6-41D4-8CAB-B7B62B6505C3}">
  <ds:schemaRefs>
    <ds:schemaRef ds:uri="http://schemas.openxmlformats.org/package/2006/metadata/core-properties"/>
    <ds:schemaRef ds:uri="http://purl.org/dc/elements/1.1/"/>
    <ds:schemaRef ds:uri="http://schemas.microsoft.com/sharepoint/v3"/>
    <ds:schemaRef ds:uri="2f282d3b-eb4a-4b09-b61f-b9593442e286"/>
    <ds:schemaRef ds:uri="http://schemas.microsoft.com/office/infopath/2007/PartnerControls"/>
    <ds:schemaRef ds:uri="d8762117-8292-4133-b1c7-eab5c6487cfd"/>
    <ds:schemaRef ds:uri="9b239327-9e80-40e4-b1b7-4394fed77a33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2034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Stefan Cerovic</cp:lastModifiedBy>
  <cp:revision>118</cp:revision>
  <cp:lastPrinted>2022-08-19T16:29:00Z</cp:lastPrinted>
  <dcterms:created xsi:type="dcterms:W3CDTF">2024-04-08T15:06:00Z</dcterms:created>
  <dcterms:modified xsi:type="dcterms:W3CDTF">2024-10-07T15:17:00Z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