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112bis</w:t>
      </w:r>
      <w:r>
        <w:rPr>
          <w:rFonts w:ascii="Arial" w:hAnsi="Arial" w:eastAsia="MS Mincho"/>
          <w:b/>
          <w:color w:val="auto"/>
          <w:sz w:val="24"/>
        </w:rPr>
        <w:tab/>
      </w:r>
      <w:r>
        <w:rPr>
          <w:rFonts w:hint="eastAsia" w:ascii="Arial" w:hAnsi="Arial" w:eastAsia="宋体"/>
          <w:b/>
          <w:color w:val="auto"/>
          <w:sz w:val="24"/>
          <w:lang w:val="en-US" w:eastAsia="zh-CN"/>
        </w:rPr>
        <w:t xml:space="preserve">                               </w:t>
      </w:r>
      <w:bookmarkStart w:id="2" w:name="_GoBack"/>
      <w:r>
        <w:rPr>
          <w:rFonts w:ascii="Arial" w:hAnsi="Arial"/>
          <w:b/>
          <w:color w:val="auto"/>
          <w:sz w:val="24"/>
          <w:lang w:eastAsia="zh-CN"/>
        </w:rPr>
        <w:t>R4-2416386</w:t>
      </w:r>
      <w:bookmarkEnd w:id="2"/>
    </w:p>
    <w:p>
      <w:pPr>
        <w:tabs>
          <w:tab w:val="left" w:pos="1985"/>
        </w:tabs>
        <w:spacing w:before="0" w:beforeLines="-2147483648" w:after="180" w:afterLines="-2147483648" w:line="240" w:lineRule="auto"/>
        <w:ind w:left="1980" w:hanging="1980"/>
        <w:outlineLvl w:val="9"/>
        <w:rPr>
          <w:rFonts w:hint="default" w:ascii="Arial" w:hAnsi="Arial" w:eastAsia="MS Mincho" w:cs="Arial"/>
          <w:b/>
          <w:sz w:val="24"/>
          <w:szCs w:val="24"/>
          <w:lang w:eastAsia="en-US"/>
        </w:rPr>
      </w:pPr>
      <w:r>
        <w:rPr>
          <w:rFonts w:ascii="Arial" w:hAnsi="Arial" w:eastAsia="MS Mincho" w:cs="Arial"/>
          <w:b/>
          <w:sz w:val="24"/>
          <w:szCs w:val="24"/>
          <w:lang w:val="zh-CN" w:eastAsia="en-US" w:bidi="ar-SA"/>
        </w:rPr>
        <w:t>Hefei, Anhui, China, 14</w:t>
      </w:r>
      <w:r>
        <w:rPr>
          <w:rFonts w:ascii="Arial" w:hAnsi="Arial" w:eastAsia="MS Mincho" w:cs="Arial"/>
          <w:b/>
          <w:sz w:val="24"/>
          <w:szCs w:val="24"/>
          <w:vertAlign w:val="baseline"/>
          <w:lang w:val="zh-CN" w:eastAsia="en-US" w:bidi="ar-SA"/>
        </w:rPr>
        <w:t>th</w:t>
      </w:r>
      <w:r>
        <w:rPr>
          <w:rFonts w:ascii="Arial" w:hAnsi="Arial" w:eastAsia="MS Mincho" w:cs="Arial"/>
          <w:b/>
          <w:sz w:val="24"/>
          <w:szCs w:val="24"/>
          <w:lang w:val="zh-CN" w:eastAsia="en-US" w:bidi="ar-SA"/>
        </w:rPr>
        <w:t xml:space="preserve"> – 18</w:t>
      </w:r>
      <w:r>
        <w:rPr>
          <w:rFonts w:ascii="Arial" w:hAnsi="Arial" w:eastAsia="MS Mincho" w:cs="Arial"/>
          <w:b/>
          <w:sz w:val="24"/>
          <w:szCs w:val="24"/>
          <w:vertAlign w:val="baseline"/>
          <w:lang w:val="zh-CN" w:eastAsia="en-US" w:bidi="ar-SA"/>
        </w:rPr>
        <w:t>th</w:t>
      </w:r>
      <w:r>
        <w:rPr>
          <w:rFonts w:ascii="Arial" w:hAnsi="Arial" w:eastAsia="MS Mincho" w:cs="Arial"/>
          <w:b/>
          <w:sz w:val="24"/>
          <w:szCs w:val="24"/>
          <w:lang w:val="zh-CN" w:eastAsia="en-US" w:bidi="ar-SA"/>
        </w:rPr>
        <w:t xml:space="preserve"> October, 2024</w:t>
      </w:r>
    </w:p>
    <w:p>
      <w:pPr>
        <w:tabs>
          <w:tab w:val="left" w:pos="1985"/>
        </w:tabs>
        <w:spacing w:after="180"/>
        <w:ind w:left="0" w:firstLine="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6.5.3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Discussion on</w:t>
      </w:r>
      <w:r>
        <w:rPr>
          <w:rFonts w:hint="eastAsia" w:ascii="Arial" w:hAnsi="Arial" w:eastAsia="宋体" w:cs="Arial"/>
          <w:b/>
          <w:sz w:val="24"/>
          <w:szCs w:val="24"/>
          <w:lang w:val="en-US" w:eastAsia="zh-CN"/>
        </w:rPr>
        <w:t xml:space="preserve"> intra-band non-collocated EN-DC and NR-CA</w:t>
      </w:r>
    </w:p>
    <w:p>
      <w:pPr>
        <w:tabs>
          <w:tab w:val="left" w:pos="1980"/>
        </w:tabs>
        <w:spacing w:after="180"/>
        <w:ind w:left="1980" w:hanging="1980"/>
        <w:outlineLvl w:val="9"/>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4"/>
        <w:tabs>
          <w:tab w:val="left" w:pos="567"/>
          <w:tab w:val="clear" w:pos="1985"/>
        </w:tabs>
        <w:adjustRightInd w:val="0"/>
        <w:ind w:left="510" w:hanging="510"/>
      </w:pPr>
      <w:r>
        <w:t>Introduction</w:t>
      </w:r>
    </w:p>
    <w:p>
      <w:pPr>
        <w:adjustRightInd w:val="0"/>
        <w:snapToGrid w:val="0"/>
        <w:spacing w:before="180" w:after="120"/>
        <w:rPr>
          <w:rFonts w:eastAsia="宋体"/>
          <w:sz w:val="22"/>
          <w:lang w:eastAsia="zh-CN"/>
        </w:rPr>
      </w:pPr>
      <w:r>
        <w:rPr>
          <w:rFonts w:eastAsia="宋体"/>
          <w:sz w:val="22"/>
          <w:lang w:eastAsia="zh-CN"/>
        </w:rPr>
        <w:t>For intra-band non-collocated EN-DC/NR-CA</w:t>
      </w:r>
      <w:r>
        <w:rPr>
          <w:rFonts w:hint="eastAsia" w:eastAsia="宋体"/>
          <w:sz w:val="22"/>
          <w:lang w:val="en-US" w:eastAsia="zh-CN"/>
        </w:rPr>
        <w:t xml:space="preserve"> deployment</w:t>
      </w:r>
      <w:r>
        <w:rPr>
          <w:rFonts w:eastAsia="宋体"/>
          <w:sz w:val="22"/>
          <w:lang w:eastAsia="zh-CN"/>
        </w:rPr>
        <w:t xml:space="preserve">, RAN4 has </w:t>
      </w:r>
      <w:r>
        <w:rPr>
          <w:rFonts w:hint="eastAsia" w:eastAsia="宋体"/>
          <w:sz w:val="22"/>
          <w:lang w:val="en-US" w:eastAsia="zh-CN"/>
        </w:rPr>
        <w:t xml:space="preserve">diasussed and </w:t>
      </w:r>
      <w:r>
        <w:rPr>
          <w:rFonts w:eastAsia="宋体"/>
          <w:sz w:val="22"/>
          <w:lang w:eastAsia="zh-CN"/>
        </w:rPr>
        <w:t>achieved agreements on MRTD/MTTD requirements, interruption requirements and scheduling restriction requirements for Type 2 UE</w:t>
      </w:r>
      <w:r>
        <w:rPr>
          <w:rFonts w:hint="eastAsia" w:eastAsia="宋体"/>
          <w:sz w:val="22"/>
          <w:lang w:val="en-US" w:eastAsia="zh-CN"/>
        </w:rPr>
        <w:t xml:space="preserve"> in Rel-18</w:t>
      </w:r>
      <w:r>
        <w:rPr>
          <w:rFonts w:eastAsia="宋体"/>
          <w:sz w:val="22"/>
          <w:lang w:eastAsia="zh-CN"/>
        </w:rPr>
        <w:t xml:space="preserve">. </w:t>
      </w:r>
      <w:r>
        <w:rPr>
          <w:rFonts w:hint="eastAsia" w:eastAsia="宋体"/>
          <w:sz w:val="22"/>
          <w:lang w:val="en-US" w:eastAsia="zh-CN"/>
        </w:rPr>
        <w:t>In Rel-19, we should focus on Type 4 UE accroding to WID</w:t>
      </w:r>
      <w:r>
        <w:rPr>
          <w:rFonts w:hint="eastAsia"/>
          <w:sz w:val="22"/>
          <w:lang w:val="en-US" w:eastAsia="zh-CN"/>
        </w:rPr>
        <w:t xml:space="preserve"> [1]</w:t>
      </w:r>
      <w:r>
        <w:rPr>
          <w:rFonts w:hint="eastAsia" w:eastAsia="宋体"/>
          <w:sz w:val="22"/>
          <w:lang w:val="en-US" w:eastAsia="zh-CN"/>
        </w:rPr>
        <w:t xml:space="preserve"> to better support the intra-band non-collocated EN-DC/NR-CA deployment scenarios</w:t>
      </w:r>
      <w:r>
        <w:rPr>
          <w:rFonts w:eastAsia="宋体"/>
          <w:sz w:val="22"/>
          <w:lang w:eastAsia="zh-CN"/>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rPr>
                <w:rFonts w:hint="eastAsia"/>
                <w:lang w:eastAsia="zh-CN"/>
              </w:rPr>
            </w:pPr>
            <w:r>
              <w:rPr>
                <w:rFonts w:hint="eastAsia"/>
                <w:lang w:eastAsia="zh-CN"/>
              </w:rPr>
              <w:t>T</w:t>
            </w:r>
            <w:r>
              <w:rPr>
                <w:lang w:eastAsia="zh-CN"/>
              </w:rPr>
              <w:t>he core part of the work item includes:</w:t>
            </w:r>
          </w:p>
          <w:p>
            <w:pPr>
              <w:pStyle w:val="33"/>
              <w:numPr>
                <w:ilvl w:val="0"/>
                <w:numId w:val="5"/>
              </w:numPr>
              <w:ind w:firstLineChars="0"/>
              <w:rPr>
                <w:rFonts w:eastAsia="等线"/>
                <w:lang w:eastAsia="zh-CN"/>
              </w:rPr>
            </w:pPr>
            <w:r>
              <w:rPr>
                <w:rFonts w:eastAsia="等线"/>
                <w:lang w:eastAsia="zh-CN"/>
              </w:rPr>
              <w:t>Specify the core requirements for type 4a/</w:t>
            </w:r>
            <w:r>
              <w:rPr>
                <w:rFonts w:hint="eastAsia" w:eastAsia="Yu Mincho"/>
                <w:lang w:eastAsia="ja-JP"/>
              </w:rPr>
              <w:t>4</w:t>
            </w:r>
            <w:r>
              <w:rPr>
                <w:rFonts w:eastAsia="等线"/>
                <w:lang w:eastAsia="zh-CN"/>
              </w:rPr>
              <w:t>b capable FWA UE that supports non-co-located scenarios for FR1 inter-band non-contiguous EN-DC with overlapping or partially overlapping bands and/or FR1 intra-band non-contiguous NR-CA for up to 4-layer DL MIMO per CC, where MRTD&gt;CP is assumed.</w:t>
            </w:r>
          </w:p>
          <w:p>
            <w:pPr>
              <w:pStyle w:val="33"/>
              <w:numPr>
                <w:ilvl w:val="1"/>
                <w:numId w:val="5"/>
              </w:numPr>
              <w:overflowPunct w:val="0"/>
              <w:autoSpaceDE w:val="0"/>
              <w:autoSpaceDN w:val="0"/>
              <w:adjustRightInd w:val="0"/>
              <w:spacing w:before="0" w:after="180"/>
              <w:ind w:firstLineChars="0"/>
              <w:textAlignment w:val="baseline"/>
              <w:rPr>
                <w:rFonts w:eastAsia="等线"/>
                <w:lang w:eastAsia="zh-CN"/>
              </w:rPr>
            </w:pPr>
            <w:r>
              <w:rPr>
                <w:rFonts w:eastAsia="等线"/>
                <w:lang w:eastAsia="zh-CN"/>
              </w:rPr>
              <w:t>RF power imbalance requirements of up to 25dB</w:t>
            </w:r>
          </w:p>
          <w:p>
            <w:pPr>
              <w:pStyle w:val="33"/>
              <w:numPr>
                <w:ilvl w:val="1"/>
                <w:numId w:val="5"/>
              </w:numPr>
              <w:overflowPunct w:val="0"/>
              <w:autoSpaceDE w:val="0"/>
              <w:autoSpaceDN w:val="0"/>
              <w:adjustRightInd w:val="0"/>
              <w:spacing w:before="0" w:after="180"/>
              <w:ind w:firstLineChars="0"/>
              <w:textAlignment w:val="baseline"/>
              <w:rPr>
                <w:rFonts w:eastAsia="等线"/>
                <w:highlight w:val="cyan"/>
                <w:lang w:eastAsia="zh-CN"/>
              </w:rPr>
            </w:pPr>
            <w:r>
              <w:rPr>
                <w:rFonts w:eastAsia="等线"/>
                <w:highlight w:val="cyan"/>
                <w:lang w:eastAsia="zh-CN"/>
              </w:rPr>
              <w:t>RRM requirements including MTTD and MRTD requirements and other identified requirement such as scheduling restriction/availability, SCell operation related delay and interruption.</w:t>
            </w:r>
          </w:p>
          <w:p>
            <w:pPr>
              <w:widowControl w:val="0"/>
              <w:numPr>
                <w:ilvl w:val="1"/>
                <w:numId w:val="5"/>
              </w:numPr>
              <w:overflowPunct/>
              <w:autoSpaceDE/>
              <w:autoSpaceDN/>
              <w:adjustRightInd/>
              <w:spacing w:after="0"/>
              <w:jc w:val="both"/>
              <w:textAlignment w:val="auto"/>
              <w:rPr>
                <w:kern w:val="2"/>
                <w:lang w:val="en-US" w:eastAsia="zh-CN"/>
              </w:rPr>
            </w:pPr>
            <w:r>
              <w:rPr>
                <w:kern w:val="2"/>
                <w:lang w:val="en-US" w:eastAsia="zh-CN"/>
              </w:rPr>
              <w:t>Work is limited to EN-DC/NR-CA for bands 42, n77/n78</w:t>
            </w:r>
          </w:p>
          <w:p>
            <w:pPr>
              <w:numPr>
                <w:ilvl w:val="0"/>
                <w:numId w:val="5"/>
              </w:numPr>
              <w:overflowPunct/>
              <w:autoSpaceDE/>
              <w:autoSpaceDN/>
              <w:adjustRightInd/>
              <w:spacing w:after="100"/>
              <w:textAlignment w:val="auto"/>
              <w:rPr>
                <w:rFonts w:ascii="Times" w:hAnsi="Times" w:eastAsia="Times New Roman" w:cs="Times"/>
                <w:lang w:val="en-US" w:eastAsia="zh-CN"/>
              </w:rPr>
            </w:pPr>
            <w:r>
              <w:rPr>
                <w:rFonts w:ascii="Times" w:hAnsi="Times" w:eastAsia="Times New Roman" w:cs="Times"/>
                <w:lang w:eastAsia="zh-CN"/>
              </w:rPr>
              <w:t>Discuss and if needed, specify the UE behavior when the UE supports type 4a/b but operates in co-located scenarios depending on whether network signaling is provided. R18 handling of UE behavior can be used as a reference.</w:t>
            </w:r>
          </w:p>
          <w:p>
            <w:pPr>
              <w:pStyle w:val="33"/>
              <w:numPr>
                <w:ilvl w:val="-1"/>
                <w:numId w:val="0"/>
              </w:numPr>
              <w:ind w:left="0" w:leftChars="0" w:firstLine="0" w:firstLineChars="0"/>
              <w:rPr>
                <w:lang w:val="en-US"/>
              </w:rPr>
            </w:pPr>
          </w:p>
        </w:tc>
      </w:tr>
    </w:tbl>
    <w:p>
      <w:pPr>
        <w:adjustRightInd w:val="0"/>
        <w:snapToGrid w:val="0"/>
        <w:spacing w:before="180" w:after="120"/>
        <w:rPr>
          <w:rFonts w:eastAsia="宋体"/>
          <w:sz w:val="22"/>
          <w:lang w:eastAsia="zh-CN"/>
        </w:rPr>
      </w:pPr>
      <w:r>
        <w:rPr>
          <w:rFonts w:eastAsia="宋体"/>
          <w:sz w:val="22"/>
          <w:lang w:eastAsia="zh-CN"/>
        </w:rPr>
        <w:t>In this contribution, we will provide the</w:t>
      </w:r>
      <w:r>
        <w:rPr>
          <w:rFonts w:hint="eastAsia" w:eastAsia="宋体"/>
          <w:sz w:val="22"/>
          <w:lang w:val="en-US" w:eastAsia="zh-CN"/>
        </w:rPr>
        <w:t xml:space="preserve"> </w:t>
      </w:r>
      <w:r>
        <w:rPr>
          <w:rFonts w:eastAsia="宋体"/>
          <w:sz w:val="22"/>
          <w:lang w:eastAsia="zh-CN"/>
        </w:rPr>
        <w:t>discussion on RRM impacts for intra-band non-collocated EN-DC/NR-CA</w:t>
      </w:r>
      <w:r>
        <w:rPr>
          <w:rFonts w:hint="eastAsia" w:eastAsia="宋体"/>
          <w:sz w:val="22"/>
          <w:lang w:val="en-US" w:eastAsia="zh-CN"/>
        </w:rPr>
        <w:t>, including MTTD and MRTD requirements and other identified requirement such as scheduling restriction/availability, SCell operation related delay and interruption</w:t>
      </w:r>
      <w:r>
        <w:rPr>
          <w:rFonts w:eastAsia="宋体"/>
          <w:sz w:val="22"/>
          <w:lang w:eastAsia="zh-CN"/>
        </w:rPr>
        <w:t>.</w:t>
      </w:r>
    </w:p>
    <w:p>
      <w:pPr>
        <w:pStyle w:val="54"/>
        <w:tabs>
          <w:tab w:val="left" w:pos="567"/>
          <w:tab w:val="clear" w:pos="1985"/>
        </w:tabs>
        <w:adjustRightInd w:val="0"/>
        <w:ind w:left="510" w:hanging="510"/>
        <w:rPr>
          <w:rFonts w:eastAsia="Times New Roman"/>
        </w:rPr>
      </w:pPr>
      <w:r>
        <w:rPr>
          <w:rFonts w:hint="eastAsia"/>
        </w:rPr>
        <w:t>Discussion</w:t>
      </w:r>
    </w:p>
    <w:p>
      <w:pPr>
        <w:adjustRightInd w:val="0"/>
        <w:snapToGrid w:val="0"/>
        <w:spacing w:before="180" w:beforeLines="-2147483648"/>
        <w:rPr>
          <w:rFonts w:hint="eastAsia"/>
          <w:sz w:val="21"/>
          <w:szCs w:val="21"/>
          <w:lang w:val="en-CA"/>
        </w:rPr>
      </w:pPr>
      <w:r>
        <w:rPr>
          <w:rFonts w:eastAsia="宋体"/>
          <w:sz w:val="22"/>
          <w:lang w:eastAsia="zh-CN"/>
        </w:rPr>
        <w:t>Based on the agreements in [</w:t>
      </w:r>
      <w:r>
        <w:rPr>
          <w:rFonts w:hint="eastAsia"/>
          <w:sz w:val="22"/>
          <w:lang w:val="en-US" w:eastAsia="zh-CN"/>
        </w:rPr>
        <w:t>2</w:t>
      </w:r>
      <w:r>
        <w:rPr>
          <w:rFonts w:eastAsia="宋体"/>
          <w:sz w:val="22"/>
          <w:lang w:eastAsia="zh-CN"/>
        </w:rPr>
        <w:t>], Type 3a/3b and Type 4a/4b are assumed</w:t>
      </w:r>
      <w:r>
        <w:rPr>
          <w:rFonts w:hint="eastAsia" w:eastAsia="宋体"/>
          <w:sz w:val="22"/>
          <w:lang w:eastAsia="zh-CN"/>
        </w:rPr>
        <w:t xml:space="preserve"> </w:t>
      </w:r>
      <w:r>
        <w:rPr>
          <w:rFonts w:eastAsia="宋体"/>
          <w:sz w:val="22"/>
          <w:lang w:eastAsia="zh-CN"/>
        </w:rPr>
        <w:t xml:space="preserve">for 4-layer MIMO case. The assumed UE architectures for </w:t>
      </w:r>
      <w:r>
        <w:rPr>
          <w:rFonts w:hint="eastAsia" w:eastAsia="宋体"/>
          <w:sz w:val="22"/>
          <w:lang w:val="en-US" w:eastAsia="zh-CN"/>
        </w:rPr>
        <w:t xml:space="preserve">different </w:t>
      </w:r>
      <w:r>
        <w:rPr>
          <w:rFonts w:eastAsia="宋体"/>
          <w:sz w:val="22"/>
          <w:lang w:eastAsia="zh-CN"/>
        </w:rPr>
        <w:t>Type</w:t>
      </w:r>
      <w:r>
        <w:rPr>
          <w:rFonts w:hint="eastAsia" w:eastAsia="宋体"/>
          <w:sz w:val="22"/>
          <w:lang w:val="en-US" w:eastAsia="zh-CN"/>
        </w:rPr>
        <w:t>s</w:t>
      </w:r>
      <w:r>
        <w:rPr>
          <w:rFonts w:eastAsia="宋体"/>
          <w:sz w:val="22"/>
          <w:lang w:eastAsia="zh-CN"/>
        </w:rPr>
        <w:t xml:space="preserve"> are listed as Table</w:t>
      </w:r>
      <w:r>
        <w:rPr>
          <w:rFonts w:hint="eastAsia"/>
          <w:sz w:val="22"/>
          <w:lang w:val="en-US" w:eastAsia="zh-CN"/>
        </w:rPr>
        <w:t>.</w:t>
      </w:r>
    </w:p>
    <w:tbl>
      <w:tblPr>
        <w:tblStyle w:val="21"/>
        <w:tblW w:w="9889" w:type="dxa"/>
        <w:jc w:val="center"/>
        <w:tblLayout w:type="autofit"/>
        <w:tblCellMar>
          <w:top w:w="0" w:type="dxa"/>
          <w:left w:w="108" w:type="dxa"/>
          <w:bottom w:w="0" w:type="dxa"/>
          <w:right w:w="108" w:type="dxa"/>
        </w:tblCellMar>
      </w:tblPr>
      <w:tblGrid>
        <w:gridCol w:w="498"/>
        <w:gridCol w:w="557"/>
        <w:gridCol w:w="411"/>
        <w:gridCol w:w="483"/>
        <w:gridCol w:w="604"/>
        <w:gridCol w:w="622"/>
        <w:gridCol w:w="429"/>
        <w:gridCol w:w="962"/>
        <w:gridCol w:w="1030"/>
        <w:gridCol w:w="973"/>
        <w:gridCol w:w="3320"/>
      </w:tblGrid>
      <w:tr>
        <w:tblPrEx>
          <w:tblCellMar>
            <w:top w:w="0" w:type="dxa"/>
            <w:left w:w="108" w:type="dxa"/>
            <w:bottom w:w="0" w:type="dxa"/>
            <w:right w:w="108" w:type="dxa"/>
          </w:tblCellMar>
        </w:tblPrEx>
        <w:trPr>
          <w:trHeight w:val="70" w:hRule="atLeast"/>
          <w:jc w:val="center"/>
        </w:trPr>
        <w:tc>
          <w:tcPr>
            <w:tcW w:w="498" w:type="dxa"/>
            <w:tcBorders>
              <w:top w:val="single" w:color="auto" w:sz="4" w:space="0"/>
              <w:left w:val="single" w:color="auto" w:sz="4" w:space="0"/>
              <w:bottom w:val="single" w:color="auto" w:sz="4" w:space="0"/>
              <w:right w:val="single" w:color="auto" w:sz="4" w:space="0"/>
            </w:tcBorders>
            <w:shd w:val="clear" w:color="auto" w:fill="DEEAF6"/>
          </w:tcPr>
          <w:p>
            <w:pPr>
              <w:spacing w:after="0"/>
              <w:rPr>
                <w:rFonts w:ascii="Calibri" w:hAnsi="Calibri" w:eastAsia="宋体" w:cs="Calibri"/>
                <w:b/>
                <w:bCs/>
                <w:color w:val="000000"/>
                <w:sz w:val="14"/>
                <w:szCs w:val="18"/>
              </w:rPr>
            </w:pPr>
            <w:bookmarkStart w:id="1" w:name="_Hlk116987019"/>
            <w:r>
              <w:rPr>
                <w:rFonts w:ascii="Calibri" w:hAnsi="Calibri" w:eastAsia="宋体" w:cs="Calibri"/>
                <w:b/>
                <w:bCs/>
                <w:color w:val="000000"/>
                <w:sz w:val="14"/>
                <w:szCs w:val="18"/>
              </w:rPr>
              <w:t>UE</w:t>
            </w:r>
          </w:p>
          <w:p>
            <w:pPr>
              <w:spacing w:after="0"/>
              <w:rPr>
                <w:rFonts w:ascii="Calibri" w:hAnsi="Calibri" w:eastAsia="宋体" w:cs="Calibri"/>
                <w:b/>
                <w:bCs/>
                <w:color w:val="000000"/>
                <w:sz w:val="14"/>
                <w:szCs w:val="18"/>
              </w:rPr>
            </w:pPr>
            <w:r>
              <w:rPr>
                <w:rFonts w:ascii="Calibri" w:hAnsi="Calibri" w:eastAsia="宋体" w:cs="Calibri"/>
                <w:b/>
                <w:bCs/>
                <w:color w:val="000000"/>
                <w:sz w:val="14"/>
                <w:szCs w:val="18"/>
              </w:rPr>
              <w:t>Type</w:t>
            </w:r>
          </w:p>
        </w:tc>
        <w:tc>
          <w:tcPr>
            <w:tcW w:w="557" w:type="dxa"/>
            <w:tcBorders>
              <w:top w:val="single" w:color="auto" w:sz="4" w:space="0"/>
              <w:left w:val="nil"/>
              <w:bottom w:val="single" w:color="auto" w:sz="4" w:space="0"/>
              <w:right w:val="single" w:color="auto" w:sz="4" w:space="0"/>
            </w:tcBorders>
            <w:shd w:val="clear" w:color="auto" w:fill="DEEAF6"/>
            <w:noWrap/>
            <w:vAlign w:val="bottom"/>
          </w:tcPr>
          <w:p>
            <w:pPr>
              <w:spacing w:after="0"/>
              <w:rPr>
                <w:rFonts w:ascii="Calibri" w:hAnsi="Calibri" w:eastAsia="宋体" w:cs="Calibri"/>
                <w:b/>
                <w:color w:val="000000"/>
                <w:sz w:val="14"/>
                <w:szCs w:val="18"/>
              </w:rPr>
            </w:pPr>
          </w:p>
          <w:p>
            <w:pPr>
              <w:spacing w:after="0"/>
              <w:rPr>
                <w:rFonts w:ascii="Calibri" w:hAnsi="Calibri" w:eastAsia="宋体" w:cs="Calibri"/>
                <w:b/>
                <w:color w:val="000000"/>
                <w:sz w:val="14"/>
                <w:szCs w:val="18"/>
              </w:rPr>
            </w:pPr>
            <w:r>
              <w:rPr>
                <w:rFonts w:ascii="Calibri" w:hAnsi="Calibri" w:eastAsia="宋体" w:cs="Calibri"/>
                <w:b/>
                <w:color w:val="000000"/>
                <w:sz w:val="14"/>
                <w:szCs w:val="18"/>
              </w:rPr>
              <w:t>CC#</w:t>
            </w:r>
          </w:p>
        </w:tc>
        <w:tc>
          <w:tcPr>
            <w:tcW w:w="894" w:type="dxa"/>
            <w:gridSpan w:val="2"/>
            <w:tcBorders>
              <w:top w:val="single" w:color="auto" w:sz="4" w:space="0"/>
              <w:left w:val="nil"/>
              <w:bottom w:val="single" w:color="auto" w:sz="4" w:space="0"/>
              <w:right w:val="single" w:color="auto" w:sz="4" w:space="0"/>
            </w:tcBorders>
            <w:shd w:val="clear" w:color="auto" w:fill="DEEAF6"/>
            <w:vAlign w:val="bottom"/>
          </w:tcPr>
          <w:p>
            <w:pPr>
              <w:spacing w:after="0"/>
              <w:jc w:val="center"/>
              <w:rPr>
                <w:rFonts w:ascii="Calibri" w:hAnsi="Calibri" w:eastAsia="宋体" w:cs="Calibri"/>
                <w:b/>
                <w:color w:val="000000"/>
                <w:sz w:val="14"/>
                <w:szCs w:val="18"/>
              </w:rPr>
            </w:pPr>
            <w:r>
              <w:rPr>
                <w:rFonts w:ascii="Calibri" w:hAnsi="Calibri" w:eastAsia="宋体" w:cs="Calibri"/>
                <w:b/>
                <w:color w:val="000000"/>
                <w:sz w:val="14"/>
                <w:szCs w:val="18"/>
              </w:rPr>
              <w:t>antenna</w:t>
            </w:r>
            <w:r>
              <w:rPr>
                <w:rFonts w:ascii="Calibri" w:hAnsi="Calibri" w:eastAsia="宋体" w:cs="Calibri"/>
                <w:b/>
                <w:color w:val="000000"/>
                <w:sz w:val="14"/>
                <w:szCs w:val="18"/>
              </w:rPr>
              <w:br w:type="textWrapping"/>
            </w:r>
            <w:r>
              <w:rPr>
                <w:rFonts w:ascii="Calibri" w:hAnsi="Calibri" w:eastAsia="宋体" w:cs="Calibri"/>
                <w:b/>
                <w:color w:val="000000"/>
                <w:sz w:val="14"/>
                <w:szCs w:val="18"/>
              </w:rPr>
              <w:t>/ LNA</w:t>
            </w:r>
          </w:p>
        </w:tc>
        <w:tc>
          <w:tcPr>
            <w:tcW w:w="604" w:type="dxa"/>
            <w:tcBorders>
              <w:top w:val="single" w:color="auto" w:sz="4" w:space="0"/>
              <w:left w:val="nil"/>
              <w:bottom w:val="single" w:color="auto" w:sz="4" w:space="0"/>
              <w:right w:val="single" w:color="auto" w:sz="4" w:space="0"/>
            </w:tcBorders>
            <w:shd w:val="clear" w:color="auto" w:fill="DEEAF6"/>
            <w:vAlign w:val="bottom"/>
          </w:tcPr>
          <w:p>
            <w:pPr>
              <w:spacing w:after="0"/>
              <w:jc w:val="center"/>
              <w:rPr>
                <w:rFonts w:ascii="Calibri" w:hAnsi="Calibri" w:eastAsia="宋体" w:cs="Calibri"/>
                <w:b/>
                <w:color w:val="000000"/>
                <w:sz w:val="14"/>
                <w:szCs w:val="18"/>
              </w:rPr>
            </w:pPr>
            <w:r>
              <w:rPr>
                <w:rFonts w:ascii="Calibri" w:hAnsi="Calibri" w:eastAsia="宋体" w:cs="Calibri"/>
                <w:b/>
                <w:color w:val="000000"/>
                <w:sz w:val="14"/>
                <w:szCs w:val="18"/>
              </w:rPr>
              <w:t>Mixer</w:t>
            </w:r>
          </w:p>
        </w:tc>
        <w:tc>
          <w:tcPr>
            <w:tcW w:w="622" w:type="dxa"/>
            <w:tcBorders>
              <w:top w:val="single" w:color="auto" w:sz="4" w:space="0"/>
              <w:left w:val="nil"/>
              <w:bottom w:val="single" w:color="auto" w:sz="4" w:space="0"/>
              <w:right w:val="single" w:color="auto" w:sz="4" w:space="0"/>
            </w:tcBorders>
            <w:shd w:val="clear" w:color="auto" w:fill="DEEAF6"/>
            <w:vAlign w:val="bottom"/>
          </w:tcPr>
          <w:p>
            <w:pPr>
              <w:spacing w:after="0"/>
              <w:jc w:val="center"/>
              <w:rPr>
                <w:rFonts w:ascii="Calibri" w:hAnsi="Calibri" w:eastAsia="宋体" w:cs="Calibri"/>
                <w:b/>
                <w:color w:val="000000"/>
                <w:sz w:val="14"/>
                <w:szCs w:val="18"/>
              </w:rPr>
            </w:pPr>
            <w:r>
              <w:rPr>
                <w:rFonts w:ascii="Calibri" w:hAnsi="Calibri" w:eastAsia="宋体" w:cs="Calibri"/>
                <w:b/>
                <w:color w:val="000000"/>
                <w:sz w:val="14"/>
                <w:szCs w:val="18"/>
              </w:rPr>
              <w:t>Analog</w:t>
            </w:r>
          </w:p>
          <w:p>
            <w:pPr>
              <w:spacing w:after="0"/>
              <w:jc w:val="center"/>
              <w:rPr>
                <w:rFonts w:ascii="Calibri" w:hAnsi="Calibri" w:eastAsia="宋体" w:cs="Calibri"/>
                <w:b/>
                <w:color w:val="000000"/>
                <w:sz w:val="14"/>
                <w:szCs w:val="18"/>
              </w:rPr>
            </w:pPr>
            <w:r>
              <w:rPr>
                <w:rFonts w:ascii="Calibri" w:hAnsi="Calibri" w:eastAsia="宋体" w:cs="Calibri"/>
                <w:b/>
                <w:color w:val="000000"/>
                <w:sz w:val="14"/>
                <w:szCs w:val="18"/>
              </w:rPr>
              <w:t>BB</w:t>
            </w:r>
          </w:p>
        </w:tc>
        <w:tc>
          <w:tcPr>
            <w:tcW w:w="429" w:type="dxa"/>
            <w:tcBorders>
              <w:top w:val="single" w:color="auto" w:sz="4" w:space="0"/>
              <w:left w:val="nil"/>
              <w:bottom w:val="single" w:color="auto" w:sz="4" w:space="0"/>
              <w:right w:val="single" w:color="auto" w:sz="4" w:space="0"/>
            </w:tcBorders>
            <w:shd w:val="clear" w:color="auto" w:fill="DEEAF6"/>
            <w:vAlign w:val="bottom"/>
          </w:tcPr>
          <w:p>
            <w:pPr>
              <w:spacing w:after="0"/>
              <w:jc w:val="center"/>
              <w:rPr>
                <w:rFonts w:ascii="Calibri" w:hAnsi="Calibri" w:eastAsia="宋体" w:cs="Calibri"/>
                <w:b/>
                <w:color w:val="000000"/>
                <w:sz w:val="14"/>
                <w:szCs w:val="18"/>
              </w:rPr>
            </w:pPr>
            <w:r>
              <w:rPr>
                <w:rFonts w:ascii="Calibri" w:hAnsi="Calibri" w:eastAsia="宋体" w:cs="Calibri"/>
                <w:b/>
                <w:color w:val="000000"/>
                <w:sz w:val="14"/>
                <w:szCs w:val="18"/>
              </w:rPr>
              <w:t>#Rx</w:t>
            </w:r>
          </w:p>
        </w:tc>
        <w:tc>
          <w:tcPr>
            <w:tcW w:w="962" w:type="dxa"/>
            <w:tcBorders>
              <w:top w:val="single" w:color="auto" w:sz="4" w:space="0"/>
              <w:left w:val="nil"/>
              <w:bottom w:val="single" w:color="auto" w:sz="4" w:space="0"/>
              <w:right w:val="single" w:color="auto" w:sz="4" w:space="0"/>
            </w:tcBorders>
            <w:shd w:val="clear" w:color="auto" w:fill="DEEAF6"/>
            <w:vAlign w:val="bottom"/>
          </w:tcPr>
          <w:p>
            <w:pPr>
              <w:spacing w:after="0"/>
              <w:rPr>
                <w:rFonts w:ascii="Calibri" w:hAnsi="Calibri" w:eastAsia="宋体" w:cs="Calibri"/>
                <w:b/>
                <w:color w:val="000000"/>
                <w:sz w:val="14"/>
                <w:szCs w:val="18"/>
              </w:rPr>
            </w:pPr>
            <w:r>
              <w:rPr>
                <w:rFonts w:ascii="Calibri" w:hAnsi="Calibri" w:eastAsia="宋体" w:cs="Calibri"/>
                <w:b/>
                <w:color w:val="000000"/>
                <w:sz w:val="14"/>
                <w:szCs w:val="18"/>
              </w:rPr>
              <w:t>Frequency</w:t>
            </w:r>
          </w:p>
          <w:p>
            <w:pPr>
              <w:spacing w:after="0"/>
              <w:rPr>
                <w:rFonts w:ascii="Calibri" w:hAnsi="Calibri" w:eastAsia="宋体" w:cs="Calibri"/>
                <w:b/>
                <w:color w:val="000000"/>
                <w:sz w:val="14"/>
                <w:szCs w:val="18"/>
              </w:rPr>
            </w:pPr>
            <w:r>
              <w:rPr>
                <w:rFonts w:ascii="Calibri" w:hAnsi="Calibri" w:eastAsia="宋体" w:cs="Calibri"/>
                <w:b/>
                <w:color w:val="000000"/>
                <w:sz w:val="14"/>
                <w:szCs w:val="18"/>
              </w:rPr>
              <w:t>Separation</w:t>
            </w:r>
          </w:p>
          <w:p>
            <w:pPr>
              <w:spacing w:after="0"/>
              <w:rPr>
                <w:rFonts w:ascii="Calibri" w:hAnsi="Calibri" w:eastAsia="宋体" w:cs="Calibri"/>
                <w:b/>
                <w:color w:val="000000"/>
                <w:sz w:val="14"/>
                <w:szCs w:val="18"/>
              </w:rPr>
            </w:pPr>
            <w:r>
              <w:rPr>
                <w:rFonts w:ascii="Calibri" w:hAnsi="Calibri" w:eastAsia="宋体" w:cs="Calibri"/>
                <w:b/>
                <w:color w:val="000000"/>
                <w:sz w:val="14"/>
                <w:szCs w:val="18"/>
              </w:rPr>
              <w:t>between 2cc</w:t>
            </w:r>
          </w:p>
        </w:tc>
        <w:tc>
          <w:tcPr>
            <w:tcW w:w="1030" w:type="dxa"/>
            <w:tcBorders>
              <w:top w:val="single" w:color="auto" w:sz="4" w:space="0"/>
              <w:left w:val="single" w:color="auto" w:sz="4" w:space="0"/>
              <w:bottom w:val="single" w:color="auto" w:sz="4" w:space="0"/>
              <w:right w:val="single" w:color="auto" w:sz="4" w:space="0"/>
            </w:tcBorders>
            <w:shd w:val="clear" w:color="auto" w:fill="DEEAF6"/>
          </w:tcPr>
          <w:p>
            <w:pPr>
              <w:spacing w:after="0"/>
              <w:rPr>
                <w:rFonts w:ascii="Calibri" w:hAnsi="Calibri" w:eastAsia="Yu Mincho" w:cs="Calibri"/>
                <w:b/>
                <w:color w:val="000000"/>
                <w:sz w:val="14"/>
                <w:szCs w:val="18"/>
                <w:lang w:eastAsia="ja-JP"/>
              </w:rPr>
            </w:pPr>
            <w:r>
              <w:rPr>
                <w:rFonts w:hint="eastAsia" w:ascii="Calibri" w:hAnsi="Calibri" w:eastAsia="Yu Mincho" w:cs="Calibri"/>
                <w:b/>
                <w:color w:val="000000"/>
                <w:sz w:val="14"/>
                <w:szCs w:val="18"/>
                <w:lang w:eastAsia="ja-JP"/>
              </w:rPr>
              <w:t>NRCA/EN</w:t>
            </w:r>
            <w:r>
              <w:rPr>
                <w:rFonts w:ascii="Calibri" w:hAnsi="Calibri" w:eastAsia="Yu Mincho" w:cs="Calibri"/>
                <w:b/>
                <w:color w:val="000000"/>
                <w:sz w:val="14"/>
                <w:szCs w:val="18"/>
                <w:lang w:eastAsia="ja-JP"/>
              </w:rPr>
              <w:t>DC</w:t>
            </w:r>
          </w:p>
        </w:tc>
        <w:tc>
          <w:tcPr>
            <w:tcW w:w="973" w:type="dxa"/>
            <w:tcBorders>
              <w:top w:val="single" w:color="auto" w:sz="4" w:space="0"/>
              <w:left w:val="single" w:color="auto" w:sz="4" w:space="0"/>
              <w:bottom w:val="single" w:color="auto" w:sz="4" w:space="0"/>
              <w:right w:val="single" w:color="auto" w:sz="4" w:space="0"/>
            </w:tcBorders>
            <w:shd w:val="clear" w:color="auto" w:fill="DEEAF6"/>
            <w:vAlign w:val="bottom"/>
          </w:tcPr>
          <w:p>
            <w:pPr>
              <w:spacing w:after="0"/>
              <w:rPr>
                <w:rFonts w:ascii="Calibri" w:hAnsi="Calibri" w:eastAsia="Yu Mincho" w:cs="Calibri"/>
                <w:b/>
                <w:color w:val="000000"/>
                <w:sz w:val="14"/>
                <w:szCs w:val="18"/>
                <w:lang w:eastAsia="ja-JP"/>
              </w:rPr>
            </w:pPr>
            <w:r>
              <w:rPr>
                <w:rFonts w:hint="eastAsia" w:ascii="Calibri" w:hAnsi="Calibri" w:eastAsia="Yu Mincho" w:cs="Calibri"/>
                <w:b/>
                <w:color w:val="000000"/>
                <w:sz w:val="14"/>
                <w:szCs w:val="18"/>
                <w:lang w:eastAsia="ja-JP"/>
              </w:rPr>
              <w:t>p</w:t>
            </w:r>
            <w:r>
              <w:rPr>
                <w:rFonts w:ascii="Calibri" w:hAnsi="Calibri" w:eastAsia="Yu Mincho" w:cs="Calibri"/>
                <w:b/>
                <w:color w:val="000000"/>
                <w:sz w:val="14"/>
                <w:szCs w:val="18"/>
                <w:lang w:eastAsia="ja-JP"/>
              </w:rPr>
              <w:t>ower</w:t>
            </w:r>
          </w:p>
          <w:p>
            <w:pPr>
              <w:spacing w:after="0"/>
              <w:rPr>
                <w:rFonts w:ascii="Calibri" w:hAnsi="Calibri" w:eastAsia="宋体" w:cs="Calibri"/>
                <w:b/>
                <w:color w:val="000000"/>
                <w:sz w:val="14"/>
                <w:szCs w:val="18"/>
              </w:rPr>
            </w:pPr>
            <w:r>
              <w:rPr>
                <w:rFonts w:ascii="Calibri" w:hAnsi="Calibri" w:eastAsia="宋体" w:cs="Calibri"/>
                <w:b/>
                <w:color w:val="000000"/>
                <w:sz w:val="14"/>
                <w:szCs w:val="18"/>
              </w:rPr>
              <w:t>imbalance</w:t>
            </w:r>
          </w:p>
        </w:tc>
        <w:tc>
          <w:tcPr>
            <w:tcW w:w="3320" w:type="dxa"/>
            <w:tcBorders>
              <w:top w:val="single" w:color="auto" w:sz="4" w:space="0"/>
              <w:left w:val="nil"/>
              <w:bottom w:val="single" w:color="auto" w:sz="4" w:space="0"/>
              <w:right w:val="single" w:color="auto" w:sz="4" w:space="0"/>
            </w:tcBorders>
            <w:shd w:val="clear" w:color="auto" w:fill="DEEAF6"/>
            <w:noWrap/>
            <w:vAlign w:val="bottom"/>
          </w:tcPr>
          <w:p>
            <w:pPr>
              <w:spacing w:after="0"/>
              <w:rPr>
                <w:rFonts w:ascii="Calibri" w:hAnsi="Calibri" w:eastAsia="宋体" w:cs="Calibri"/>
                <w:b/>
                <w:color w:val="000000"/>
                <w:sz w:val="14"/>
                <w:szCs w:val="18"/>
              </w:rPr>
            </w:pPr>
            <w:r>
              <w:rPr>
                <w:rFonts w:ascii="Calibri" w:hAnsi="Calibri" w:eastAsia="宋体" w:cs="Calibri"/>
                <w:b/>
                <w:color w:val="000000"/>
                <w:sz w:val="14"/>
                <w:szCs w:val="18"/>
              </w:rPr>
              <w:t>comment</w:t>
            </w:r>
          </w:p>
        </w:tc>
      </w:tr>
      <w:tr>
        <w:tblPrEx>
          <w:tblCellMar>
            <w:top w:w="0" w:type="dxa"/>
            <w:left w:w="108" w:type="dxa"/>
            <w:bottom w:w="0" w:type="dxa"/>
            <w:right w:w="108" w:type="dxa"/>
          </w:tblCellMar>
        </w:tblPrEx>
        <w:trPr>
          <w:trHeight w:val="70" w:hRule="atLeast"/>
          <w:jc w:val="center"/>
        </w:trPr>
        <w:tc>
          <w:tcPr>
            <w:tcW w:w="498" w:type="dxa"/>
            <w:vMerge w:val="restart"/>
            <w:tcBorders>
              <w:top w:val="nil"/>
              <w:left w:val="single" w:color="auto" w:sz="4" w:space="0"/>
              <w:right w:val="single" w:color="auto" w:sz="4" w:space="0"/>
            </w:tcBorders>
            <w:shd w:val="clear" w:color="auto" w:fill="BFBFBF"/>
          </w:tcPr>
          <w:p>
            <w:pPr>
              <w:spacing w:after="0"/>
              <w:jc w:val="center"/>
              <w:rPr>
                <w:rFonts w:ascii="Calibri" w:hAnsi="Calibri" w:eastAsia="宋体" w:cs="Calibri"/>
                <w:b/>
                <w:bCs/>
                <w:color w:val="000000"/>
                <w:sz w:val="14"/>
                <w:szCs w:val="18"/>
              </w:rPr>
            </w:pPr>
            <w:r>
              <w:rPr>
                <w:rFonts w:ascii="Calibri" w:hAnsi="Calibri" w:eastAsia="宋体" w:cs="Calibri"/>
                <w:b/>
                <w:bCs/>
                <w:color w:val="000000"/>
                <w:sz w:val="14"/>
                <w:szCs w:val="18"/>
              </w:rPr>
              <w:t>1</w:t>
            </w:r>
          </w:p>
        </w:tc>
        <w:tc>
          <w:tcPr>
            <w:tcW w:w="557"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1</w:t>
            </w:r>
          </w:p>
        </w:tc>
        <w:tc>
          <w:tcPr>
            <w:tcW w:w="894" w:type="dxa"/>
            <w:gridSpan w:val="2"/>
            <w:vMerge w:val="restart"/>
            <w:tcBorders>
              <w:top w:val="nil"/>
              <w:left w:val="single" w:color="auto" w:sz="4" w:space="0"/>
              <w:bottom w:val="single" w:color="auto" w:sz="4" w:space="0"/>
              <w:right w:val="single" w:color="auto" w:sz="4" w:space="0"/>
            </w:tcBorders>
            <w:shd w:val="clear" w:color="auto" w:fill="BFBFBF"/>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r>
              <w:rPr>
                <w:rFonts w:ascii="Calibri" w:hAnsi="Calibri" w:eastAsia="宋体" w:cs="Calibri"/>
                <w:color w:val="000000"/>
                <w:sz w:val="14"/>
                <w:szCs w:val="18"/>
              </w:rPr>
              <w:br w:type="textWrapping"/>
            </w:r>
            <w:r>
              <w:rPr>
                <w:rFonts w:ascii="Calibri" w:hAnsi="Calibri" w:eastAsia="宋体" w:cs="Calibri"/>
                <w:color w:val="000000"/>
                <w:sz w:val="14"/>
                <w:szCs w:val="18"/>
              </w:rPr>
              <w:t>shared</w:t>
            </w:r>
          </w:p>
        </w:tc>
        <w:tc>
          <w:tcPr>
            <w:tcW w:w="604" w:type="dxa"/>
            <w:vMerge w:val="restart"/>
            <w:tcBorders>
              <w:top w:val="nil"/>
              <w:left w:val="single" w:color="auto" w:sz="4" w:space="0"/>
              <w:bottom w:val="single" w:color="auto" w:sz="4" w:space="0"/>
              <w:right w:val="single" w:color="auto" w:sz="4" w:space="0"/>
            </w:tcBorders>
            <w:shd w:val="clear" w:color="auto" w:fill="BFBFBF"/>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r>
              <w:rPr>
                <w:rFonts w:ascii="Calibri" w:hAnsi="Calibri" w:eastAsia="宋体" w:cs="Calibri"/>
                <w:color w:val="000000"/>
                <w:sz w:val="14"/>
                <w:szCs w:val="18"/>
              </w:rPr>
              <w:br w:type="textWrapping"/>
            </w:r>
            <w:r>
              <w:rPr>
                <w:rFonts w:ascii="Calibri" w:hAnsi="Calibri" w:eastAsia="宋体" w:cs="Calibri"/>
                <w:color w:val="000000"/>
                <w:sz w:val="14"/>
                <w:szCs w:val="18"/>
              </w:rPr>
              <w:t>shared</w:t>
            </w:r>
          </w:p>
        </w:tc>
        <w:tc>
          <w:tcPr>
            <w:tcW w:w="622" w:type="dxa"/>
            <w:vMerge w:val="restart"/>
            <w:tcBorders>
              <w:top w:val="nil"/>
              <w:left w:val="single" w:color="auto" w:sz="4" w:space="0"/>
              <w:bottom w:val="single" w:color="auto" w:sz="4" w:space="0"/>
              <w:right w:val="single" w:color="auto" w:sz="4" w:space="0"/>
            </w:tcBorders>
            <w:shd w:val="clear" w:color="auto" w:fill="BFBFBF"/>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r>
              <w:rPr>
                <w:rFonts w:ascii="Calibri" w:hAnsi="Calibri" w:eastAsia="宋体" w:cs="Calibri"/>
                <w:color w:val="000000"/>
                <w:sz w:val="14"/>
                <w:szCs w:val="18"/>
              </w:rPr>
              <w:br w:type="textWrapping"/>
            </w:r>
            <w:r>
              <w:rPr>
                <w:rFonts w:ascii="Calibri" w:hAnsi="Calibri" w:eastAsia="宋体" w:cs="Calibri"/>
                <w:color w:val="000000"/>
                <w:sz w:val="14"/>
                <w:szCs w:val="18"/>
              </w:rPr>
              <w:t>shared</w:t>
            </w:r>
          </w:p>
        </w:tc>
        <w:tc>
          <w:tcPr>
            <w:tcW w:w="429"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4Rx</w:t>
            </w:r>
          </w:p>
        </w:tc>
        <w:tc>
          <w:tcPr>
            <w:tcW w:w="962" w:type="dxa"/>
            <w:vMerge w:val="restart"/>
            <w:tcBorders>
              <w:top w:val="nil"/>
              <w:left w:val="single" w:color="auto" w:sz="4" w:space="0"/>
              <w:right w:val="single" w:color="auto" w:sz="4" w:space="0"/>
            </w:tcBorders>
            <w:shd w:val="clear" w:color="auto" w:fill="BFBFBF"/>
            <w:vAlign w:val="bottom"/>
          </w:tcPr>
          <w:p>
            <w:pPr>
              <w:jc w:val="center"/>
              <w:textAlignment w:val="bottom"/>
              <w:rPr>
                <w:rFonts w:ascii="Calibri" w:hAnsi="Calibri" w:eastAsia="Yu Mincho" w:cs="Calibri"/>
                <w:sz w:val="12"/>
                <w:szCs w:val="13"/>
                <w:lang w:eastAsia="ja-JP"/>
              </w:rPr>
            </w:pPr>
            <w:r>
              <w:rPr>
                <w:rFonts w:ascii="Calibri" w:hAnsi="Calibri" w:eastAsia="宋体" w:cs="Calibri"/>
                <w:color w:val="000000"/>
                <w:sz w:val="14"/>
                <w:szCs w:val="18"/>
              </w:rPr>
              <w:t>≤ X MHz</w:t>
            </w:r>
          </w:p>
        </w:tc>
        <w:tc>
          <w:tcPr>
            <w:tcW w:w="1030" w:type="dxa"/>
            <w:vMerge w:val="restart"/>
            <w:tcBorders>
              <w:top w:val="nil"/>
              <w:left w:val="single" w:color="auto" w:sz="4" w:space="0"/>
              <w:right w:val="single" w:color="auto" w:sz="4" w:space="0"/>
            </w:tcBorders>
            <w:shd w:val="clear" w:color="auto" w:fill="BFBFBF"/>
          </w:tcPr>
          <w:p>
            <w:pPr>
              <w:spacing w:after="0"/>
              <w:jc w:val="center"/>
              <w:rPr>
                <w:rFonts w:ascii="Calibri" w:hAnsi="Calibri" w:eastAsia="Yu Mincho" w:cs="Calibri"/>
                <w:color w:val="000000"/>
                <w:sz w:val="14"/>
                <w:szCs w:val="18"/>
                <w:lang w:eastAsia="ja-JP"/>
              </w:rPr>
            </w:pPr>
            <w:r>
              <w:rPr>
                <w:rFonts w:hint="eastAsia" w:ascii="Calibri" w:hAnsi="Calibri" w:eastAsia="Yu Mincho" w:cs="Calibri"/>
                <w:color w:val="000000"/>
                <w:sz w:val="14"/>
                <w:szCs w:val="18"/>
                <w:lang w:eastAsia="ja-JP"/>
              </w:rPr>
              <w:t>N</w:t>
            </w:r>
            <w:r>
              <w:rPr>
                <w:rFonts w:ascii="Calibri" w:hAnsi="Calibri" w:eastAsia="Yu Mincho" w:cs="Calibri"/>
                <w:color w:val="000000"/>
                <w:sz w:val="14"/>
                <w:szCs w:val="18"/>
                <w:lang w:eastAsia="ja-JP"/>
              </w:rPr>
              <w:t>RCA,</w:t>
            </w:r>
            <w:r>
              <w:rPr>
                <w:rFonts w:hint="eastAsia" w:ascii="Calibri" w:hAnsi="Calibri" w:eastAsia="Yu Mincho" w:cs="Calibri"/>
                <w:color w:val="000000"/>
                <w:sz w:val="14"/>
                <w:szCs w:val="18"/>
                <w:lang w:eastAsia="ja-JP"/>
              </w:rPr>
              <w:t>E</w:t>
            </w:r>
            <w:r>
              <w:rPr>
                <w:rFonts w:ascii="Calibri" w:hAnsi="Calibri" w:eastAsia="Yu Mincho" w:cs="Calibri"/>
                <w:color w:val="000000"/>
                <w:sz w:val="14"/>
                <w:szCs w:val="18"/>
                <w:lang w:eastAsia="ja-JP"/>
              </w:rPr>
              <w:t>NDC</w:t>
            </w:r>
          </w:p>
        </w:tc>
        <w:tc>
          <w:tcPr>
            <w:tcW w:w="973" w:type="dxa"/>
            <w:vMerge w:val="restart"/>
            <w:tcBorders>
              <w:top w:val="nil"/>
              <w:left w:val="single" w:color="auto" w:sz="4" w:space="0"/>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6dB</w:t>
            </w:r>
            <w:r>
              <w:rPr>
                <w:rFonts w:ascii="Calibri" w:hAnsi="Calibri" w:eastAsia="宋体" w:cs="Calibri"/>
                <w:color w:val="000000"/>
                <w:sz w:val="14"/>
                <w:szCs w:val="18"/>
              </w:rPr>
              <w:br w:type="textWrapping"/>
            </w:r>
            <w:r>
              <w:rPr>
                <w:rFonts w:ascii="Calibri" w:hAnsi="Calibri" w:eastAsia="宋体" w:cs="Calibri"/>
                <w:color w:val="000000"/>
                <w:sz w:val="14"/>
                <w:szCs w:val="18"/>
              </w:rPr>
              <w:t>full range</w:t>
            </w:r>
          </w:p>
        </w:tc>
        <w:tc>
          <w:tcPr>
            <w:tcW w:w="3320" w:type="dxa"/>
            <w:vMerge w:val="restart"/>
            <w:tcBorders>
              <w:top w:val="nil"/>
              <w:left w:val="single" w:color="auto" w:sz="4" w:space="0"/>
              <w:bottom w:val="single" w:color="auto" w:sz="4" w:space="0"/>
              <w:right w:val="single" w:color="auto" w:sz="4" w:space="0"/>
            </w:tcBorders>
            <w:shd w:val="clear" w:color="auto" w:fill="BFBFBF"/>
            <w:vAlign w:val="bottom"/>
          </w:tcPr>
          <w:p>
            <w:pPr>
              <w:spacing w:after="0"/>
              <w:rPr>
                <w:rFonts w:ascii="Calibri" w:hAnsi="Calibri" w:eastAsia="宋体" w:cs="Calibri"/>
                <w:color w:val="000000"/>
                <w:sz w:val="14"/>
                <w:szCs w:val="18"/>
              </w:rPr>
            </w:pPr>
            <w:r>
              <w:rPr>
                <w:rFonts w:ascii="Calibri" w:hAnsi="Calibri" w:eastAsia="宋体" w:cs="Calibri"/>
                <w:color w:val="000000"/>
                <w:sz w:val="14"/>
                <w:szCs w:val="18"/>
              </w:rPr>
              <w:t>Baseline architecture (i.e. legacy architecture)</w:t>
            </w:r>
          </w:p>
        </w:tc>
      </w:tr>
      <w:tr>
        <w:tblPrEx>
          <w:tblCellMar>
            <w:top w:w="0" w:type="dxa"/>
            <w:left w:w="108" w:type="dxa"/>
            <w:bottom w:w="0" w:type="dxa"/>
            <w:right w:w="108" w:type="dxa"/>
          </w:tblCellMar>
        </w:tblPrEx>
        <w:trPr>
          <w:trHeight w:val="70" w:hRule="atLeast"/>
          <w:jc w:val="center"/>
        </w:trPr>
        <w:tc>
          <w:tcPr>
            <w:tcW w:w="498" w:type="dxa"/>
            <w:vMerge w:val="continue"/>
            <w:tcBorders>
              <w:left w:val="single" w:color="auto" w:sz="4" w:space="0"/>
              <w:bottom w:val="single" w:color="auto" w:sz="4" w:space="0"/>
              <w:right w:val="single" w:color="auto" w:sz="4" w:space="0"/>
            </w:tcBorders>
            <w:shd w:val="clear" w:color="auto" w:fill="BFBFBF"/>
          </w:tcPr>
          <w:p>
            <w:pPr>
              <w:spacing w:after="0"/>
              <w:rPr>
                <w:rFonts w:ascii="Calibri" w:hAnsi="Calibri" w:eastAsia="宋体" w:cs="Calibri"/>
                <w:color w:val="000000"/>
                <w:sz w:val="14"/>
                <w:szCs w:val="18"/>
              </w:rPr>
            </w:pPr>
          </w:p>
        </w:tc>
        <w:tc>
          <w:tcPr>
            <w:tcW w:w="557"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894" w:type="dxa"/>
            <w:gridSpan w:val="2"/>
            <w:vMerge w:val="continue"/>
            <w:tcBorders>
              <w:top w:val="nil"/>
              <w:left w:val="single" w:color="auto" w:sz="4" w:space="0"/>
              <w:bottom w:val="single" w:color="auto" w:sz="4" w:space="0"/>
              <w:right w:val="single" w:color="auto" w:sz="4" w:space="0"/>
            </w:tcBorders>
            <w:shd w:val="clear" w:color="auto" w:fill="BFBFBF"/>
            <w:vAlign w:val="center"/>
          </w:tcPr>
          <w:p>
            <w:pPr>
              <w:spacing w:after="0"/>
              <w:rPr>
                <w:rFonts w:ascii="Calibri" w:hAnsi="Calibri" w:eastAsia="宋体" w:cs="Calibri"/>
                <w:color w:val="000000"/>
                <w:sz w:val="14"/>
                <w:szCs w:val="18"/>
              </w:rPr>
            </w:pPr>
          </w:p>
        </w:tc>
        <w:tc>
          <w:tcPr>
            <w:tcW w:w="604" w:type="dxa"/>
            <w:vMerge w:val="continue"/>
            <w:tcBorders>
              <w:top w:val="nil"/>
              <w:left w:val="single" w:color="auto" w:sz="4" w:space="0"/>
              <w:bottom w:val="single" w:color="auto" w:sz="4" w:space="0"/>
              <w:right w:val="single" w:color="auto" w:sz="4" w:space="0"/>
            </w:tcBorders>
            <w:shd w:val="clear" w:color="auto" w:fill="BFBFBF"/>
            <w:vAlign w:val="center"/>
          </w:tcPr>
          <w:p>
            <w:pPr>
              <w:spacing w:after="0"/>
              <w:rPr>
                <w:rFonts w:ascii="Calibri" w:hAnsi="Calibri" w:eastAsia="宋体" w:cs="Calibri"/>
                <w:color w:val="000000"/>
                <w:sz w:val="14"/>
                <w:szCs w:val="18"/>
              </w:rPr>
            </w:pPr>
          </w:p>
        </w:tc>
        <w:tc>
          <w:tcPr>
            <w:tcW w:w="622" w:type="dxa"/>
            <w:vMerge w:val="continue"/>
            <w:tcBorders>
              <w:top w:val="nil"/>
              <w:left w:val="single" w:color="auto" w:sz="4" w:space="0"/>
              <w:bottom w:val="single" w:color="auto" w:sz="4" w:space="0"/>
              <w:right w:val="single" w:color="auto" w:sz="4" w:space="0"/>
            </w:tcBorders>
            <w:shd w:val="clear" w:color="auto" w:fill="BFBFBF"/>
            <w:vAlign w:val="center"/>
          </w:tcPr>
          <w:p>
            <w:pPr>
              <w:spacing w:after="0"/>
              <w:rPr>
                <w:rFonts w:ascii="Calibri" w:hAnsi="Calibri" w:eastAsia="宋体" w:cs="Calibri"/>
                <w:color w:val="000000"/>
                <w:sz w:val="14"/>
                <w:szCs w:val="18"/>
              </w:rPr>
            </w:pPr>
          </w:p>
        </w:tc>
        <w:tc>
          <w:tcPr>
            <w:tcW w:w="429"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4Rx</w:t>
            </w:r>
          </w:p>
        </w:tc>
        <w:tc>
          <w:tcPr>
            <w:tcW w:w="962" w:type="dxa"/>
            <w:vMerge w:val="continue"/>
            <w:tcBorders>
              <w:left w:val="single" w:color="auto" w:sz="4" w:space="0"/>
              <w:bottom w:val="single" w:color="auto" w:sz="4" w:space="0"/>
              <w:right w:val="single" w:color="auto" w:sz="4" w:space="0"/>
            </w:tcBorders>
            <w:shd w:val="clear" w:color="auto" w:fill="BFBFBF"/>
            <w:vAlign w:val="center"/>
          </w:tcPr>
          <w:p>
            <w:pPr>
              <w:spacing w:after="0"/>
              <w:rPr>
                <w:rFonts w:ascii="Calibri" w:hAnsi="Calibri" w:eastAsia="宋体" w:cs="Calibri"/>
                <w:color w:val="000000"/>
                <w:sz w:val="14"/>
                <w:szCs w:val="18"/>
              </w:rPr>
            </w:pPr>
          </w:p>
        </w:tc>
        <w:tc>
          <w:tcPr>
            <w:tcW w:w="1030" w:type="dxa"/>
            <w:vMerge w:val="continue"/>
            <w:tcBorders>
              <w:left w:val="single" w:color="auto" w:sz="4" w:space="0"/>
              <w:bottom w:val="single" w:color="auto" w:sz="4" w:space="0"/>
              <w:right w:val="single" w:color="auto" w:sz="4" w:space="0"/>
            </w:tcBorders>
            <w:shd w:val="clear" w:color="auto" w:fill="BFBFBF"/>
          </w:tcPr>
          <w:p>
            <w:pPr>
              <w:spacing w:after="0"/>
              <w:rPr>
                <w:rFonts w:ascii="Calibri" w:hAnsi="Calibri" w:eastAsia="Yu Mincho" w:cs="Calibri"/>
                <w:color w:val="000000"/>
                <w:sz w:val="14"/>
                <w:szCs w:val="18"/>
                <w:lang w:eastAsia="ja-JP"/>
              </w:rPr>
            </w:pPr>
          </w:p>
        </w:tc>
        <w:tc>
          <w:tcPr>
            <w:tcW w:w="973" w:type="dxa"/>
            <w:vMerge w:val="continue"/>
            <w:tcBorders>
              <w:top w:val="nil"/>
              <w:left w:val="single" w:color="auto" w:sz="4" w:space="0"/>
              <w:bottom w:val="single" w:color="auto" w:sz="4" w:space="0"/>
              <w:right w:val="single" w:color="auto" w:sz="4" w:space="0"/>
            </w:tcBorders>
            <w:shd w:val="clear" w:color="auto" w:fill="BFBFBF"/>
            <w:vAlign w:val="center"/>
          </w:tcPr>
          <w:p>
            <w:pPr>
              <w:spacing w:after="0"/>
              <w:rPr>
                <w:rFonts w:ascii="Calibri" w:hAnsi="Calibri" w:eastAsia="宋体" w:cs="Calibri"/>
                <w:color w:val="000000"/>
                <w:sz w:val="14"/>
                <w:szCs w:val="18"/>
              </w:rPr>
            </w:pPr>
          </w:p>
        </w:tc>
        <w:tc>
          <w:tcPr>
            <w:tcW w:w="3320" w:type="dxa"/>
            <w:vMerge w:val="continue"/>
            <w:tcBorders>
              <w:top w:val="nil"/>
              <w:left w:val="single" w:color="auto" w:sz="4" w:space="0"/>
              <w:bottom w:val="single" w:color="auto" w:sz="4" w:space="0"/>
              <w:right w:val="single" w:color="auto" w:sz="4" w:space="0"/>
            </w:tcBorders>
            <w:shd w:val="clear" w:color="auto" w:fill="BFBFBF"/>
            <w:vAlign w:val="center"/>
          </w:tcPr>
          <w:p>
            <w:pPr>
              <w:spacing w:after="0"/>
              <w:rPr>
                <w:rFonts w:ascii="Calibri" w:hAnsi="Calibri" w:eastAsia="宋体" w:cs="Calibri"/>
                <w:color w:val="000000"/>
                <w:sz w:val="14"/>
                <w:szCs w:val="18"/>
              </w:rPr>
            </w:pPr>
          </w:p>
        </w:tc>
      </w:tr>
      <w:tr>
        <w:tblPrEx>
          <w:tblCellMar>
            <w:top w:w="0" w:type="dxa"/>
            <w:left w:w="108" w:type="dxa"/>
            <w:bottom w:w="0" w:type="dxa"/>
            <w:right w:w="108" w:type="dxa"/>
          </w:tblCellMar>
        </w:tblPrEx>
        <w:trPr>
          <w:trHeight w:val="70" w:hRule="atLeast"/>
          <w:jc w:val="center"/>
        </w:trPr>
        <w:tc>
          <w:tcPr>
            <w:tcW w:w="498" w:type="dxa"/>
            <w:vMerge w:val="restart"/>
            <w:tcBorders>
              <w:top w:val="nil"/>
              <w:left w:val="single" w:color="auto" w:sz="4" w:space="0"/>
              <w:right w:val="single" w:color="auto" w:sz="4" w:space="0"/>
            </w:tcBorders>
            <w:shd w:val="clear" w:color="auto" w:fill="BFBFBF"/>
          </w:tcPr>
          <w:p>
            <w:pPr>
              <w:spacing w:after="0"/>
              <w:jc w:val="center"/>
              <w:rPr>
                <w:rFonts w:ascii="Calibri" w:hAnsi="Calibri" w:eastAsia="宋体" w:cs="Calibri"/>
                <w:b/>
                <w:bCs/>
                <w:color w:val="000000"/>
                <w:sz w:val="14"/>
                <w:szCs w:val="18"/>
              </w:rPr>
            </w:pPr>
            <w:r>
              <w:rPr>
                <w:rFonts w:ascii="Calibri" w:hAnsi="Calibri" w:eastAsia="宋体" w:cs="Calibri"/>
                <w:b/>
                <w:bCs/>
                <w:color w:val="000000"/>
                <w:sz w:val="14"/>
                <w:szCs w:val="18"/>
              </w:rPr>
              <w:t>2</w:t>
            </w:r>
          </w:p>
        </w:tc>
        <w:tc>
          <w:tcPr>
            <w:tcW w:w="557"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1</w:t>
            </w:r>
          </w:p>
        </w:tc>
        <w:tc>
          <w:tcPr>
            <w:tcW w:w="411"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483" w:type="dxa"/>
            <w:vMerge w:val="restart"/>
            <w:tcBorders>
              <w:top w:val="nil"/>
              <w:left w:val="nil"/>
              <w:right w:val="single" w:color="auto" w:sz="4" w:space="0"/>
            </w:tcBorders>
            <w:shd w:val="clear" w:color="auto" w:fill="BFBFBF"/>
            <w:vAlign w:val="bottom"/>
          </w:tcPr>
          <w:p>
            <w:pPr>
              <w:spacing w:after="0"/>
              <w:jc w:val="center"/>
              <w:rPr>
                <w:rFonts w:ascii="Calibri" w:hAnsi="Calibri" w:eastAsia="Yu Mincho" w:cs="Calibri"/>
                <w:color w:val="000000"/>
                <w:sz w:val="14"/>
                <w:szCs w:val="18"/>
                <w:lang w:eastAsia="ja-JP"/>
              </w:rPr>
            </w:pPr>
            <w:r>
              <w:rPr>
                <w:rFonts w:ascii="Calibri" w:hAnsi="Calibri" w:eastAsia="Yu Mincho" w:cs="Calibri"/>
                <w:color w:val="000000"/>
                <w:sz w:val="14"/>
                <w:szCs w:val="18"/>
                <w:lang w:eastAsia="ja-JP"/>
              </w:rPr>
              <w:t>4</w:t>
            </w:r>
          </w:p>
          <w:p>
            <w:pPr>
              <w:spacing w:after="0"/>
              <w:jc w:val="center"/>
              <w:rPr>
                <w:rFonts w:ascii="Calibri" w:hAnsi="Calibri" w:eastAsia="Yu Mincho" w:cs="Calibri"/>
                <w:color w:val="000000"/>
                <w:sz w:val="14"/>
                <w:szCs w:val="18"/>
                <w:lang w:eastAsia="ja-JP"/>
              </w:rPr>
            </w:pPr>
            <w:r>
              <w:rPr>
                <w:rFonts w:ascii="Calibri" w:hAnsi="Calibri" w:eastAsia="Yu Mincho" w:cs="Calibri"/>
                <w:color w:val="000000"/>
                <w:sz w:val="14"/>
                <w:szCs w:val="18"/>
                <w:lang w:eastAsia="ja-JP"/>
              </w:rPr>
              <w:t>total</w:t>
            </w:r>
          </w:p>
        </w:tc>
        <w:tc>
          <w:tcPr>
            <w:tcW w:w="604"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622"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429"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2Rx</w:t>
            </w:r>
          </w:p>
        </w:tc>
        <w:tc>
          <w:tcPr>
            <w:tcW w:w="962" w:type="dxa"/>
            <w:vMerge w:val="restart"/>
            <w:tcBorders>
              <w:top w:val="nil"/>
              <w:left w:val="single" w:color="auto" w:sz="4" w:space="0"/>
              <w:right w:val="single" w:color="auto" w:sz="4" w:space="0"/>
            </w:tcBorders>
            <w:shd w:val="clear" w:color="auto" w:fill="BFBFBF"/>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No limitation or ≤ X MHz</w:t>
            </w:r>
          </w:p>
        </w:tc>
        <w:tc>
          <w:tcPr>
            <w:tcW w:w="1030" w:type="dxa"/>
            <w:vMerge w:val="restart"/>
            <w:tcBorders>
              <w:top w:val="nil"/>
              <w:left w:val="single" w:color="auto" w:sz="4" w:space="0"/>
              <w:right w:val="single" w:color="auto" w:sz="4" w:space="0"/>
            </w:tcBorders>
            <w:shd w:val="clear" w:color="auto" w:fill="BFBFBF"/>
          </w:tcPr>
          <w:p>
            <w:pPr>
              <w:spacing w:after="0"/>
              <w:jc w:val="center"/>
              <w:rPr>
                <w:rFonts w:ascii="Calibri" w:hAnsi="Calibri" w:eastAsia="Yu Mincho" w:cs="Calibri"/>
                <w:color w:val="000000"/>
                <w:sz w:val="14"/>
                <w:szCs w:val="18"/>
                <w:lang w:eastAsia="ja-JP"/>
              </w:rPr>
            </w:pPr>
            <w:r>
              <w:rPr>
                <w:rFonts w:hint="eastAsia" w:ascii="Calibri" w:hAnsi="Calibri" w:eastAsia="Yu Mincho" w:cs="Calibri"/>
                <w:color w:val="000000"/>
                <w:sz w:val="14"/>
                <w:szCs w:val="18"/>
                <w:lang w:eastAsia="ja-JP"/>
              </w:rPr>
              <w:t>N</w:t>
            </w:r>
            <w:r>
              <w:rPr>
                <w:rFonts w:ascii="Calibri" w:hAnsi="Calibri" w:eastAsia="Yu Mincho" w:cs="Calibri"/>
                <w:color w:val="000000"/>
                <w:sz w:val="14"/>
                <w:szCs w:val="18"/>
                <w:lang w:eastAsia="ja-JP"/>
              </w:rPr>
              <w:t>RCA,</w:t>
            </w:r>
            <w:r>
              <w:rPr>
                <w:rFonts w:hint="eastAsia" w:ascii="Calibri" w:hAnsi="Calibri" w:eastAsia="Yu Mincho" w:cs="Calibri"/>
                <w:color w:val="000000"/>
                <w:sz w:val="14"/>
                <w:szCs w:val="18"/>
                <w:lang w:eastAsia="ja-JP"/>
              </w:rPr>
              <w:t>E</w:t>
            </w:r>
            <w:r>
              <w:rPr>
                <w:rFonts w:ascii="Calibri" w:hAnsi="Calibri" w:eastAsia="Yu Mincho" w:cs="Calibri"/>
                <w:color w:val="000000"/>
                <w:sz w:val="14"/>
                <w:szCs w:val="18"/>
                <w:lang w:eastAsia="ja-JP"/>
              </w:rPr>
              <w:t>NDC</w:t>
            </w:r>
          </w:p>
        </w:tc>
        <w:tc>
          <w:tcPr>
            <w:tcW w:w="973" w:type="dxa"/>
            <w:vMerge w:val="restart"/>
            <w:tcBorders>
              <w:top w:val="nil"/>
              <w:left w:val="single" w:color="auto" w:sz="4" w:space="0"/>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25dB</w:t>
            </w:r>
            <w:r>
              <w:rPr>
                <w:rFonts w:ascii="Calibri" w:hAnsi="Calibri" w:eastAsia="宋体" w:cs="Calibri"/>
                <w:color w:val="000000"/>
                <w:sz w:val="14"/>
                <w:szCs w:val="18"/>
              </w:rPr>
              <w:br w:type="textWrapping"/>
            </w:r>
            <w:r>
              <w:rPr>
                <w:rFonts w:ascii="Calibri" w:hAnsi="Calibri" w:eastAsia="宋体" w:cs="Calibri"/>
                <w:color w:val="000000"/>
                <w:sz w:val="14"/>
                <w:szCs w:val="18"/>
              </w:rPr>
              <w:t>full range</w:t>
            </w:r>
          </w:p>
        </w:tc>
        <w:tc>
          <w:tcPr>
            <w:tcW w:w="3320" w:type="dxa"/>
            <w:vMerge w:val="restart"/>
            <w:tcBorders>
              <w:top w:val="nil"/>
              <w:left w:val="single" w:color="auto" w:sz="4" w:space="0"/>
              <w:bottom w:val="single" w:color="auto" w:sz="4" w:space="0"/>
              <w:right w:val="single" w:color="auto" w:sz="4" w:space="0"/>
            </w:tcBorders>
            <w:shd w:val="clear" w:color="auto" w:fill="BFBFBF"/>
            <w:vAlign w:val="bottom"/>
          </w:tcPr>
          <w:p>
            <w:pPr>
              <w:spacing w:after="0"/>
              <w:rPr>
                <w:rFonts w:ascii="Calibri" w:hAnsi="Calibri" w:eastAsia="宋体" w:cs="Calibri"/>
                <w:color w:val="000000"/>
                <w:sz w:val="14"/>
                <w:szCs w:val="18"/>
              </w:rPr>
            </w:pPr>
            <w:r>
              <w:rPr>
                <w:rFonts w:ascii="Calibri" w:hAnsi="Calibri" w:eastAsia="宋体" w:cs="Calibri"/>
                <w:color w:val="000000"/>
                <w:sz w:val="14"/>
                <w:szCs w:val="18"/>
              </w:rPr>
              <w:t>Reuse of baseline architecture restricted to 2Rx/band but need 2LO frequencies</w:t>
            </w:r>
          </w:p>
        </w:tc>
      </w:tr>
      <w:tr>
        <w:tblPrEx>
          <w:tblCellMar>
            <w:top w:w="0" w:type="dxa"/>
            <w:left w:w="108" w:type="dxa"/>
            <w:bottom w:w="0" w:type="dxa"/>
            <w:right w:w="108" w:type="dxa"/>
          </w:tblCellMar>
        </w:tblPrEx>
        <w:trPr>
          <w:trHeight w:val="70" w:hRule="atLeast"/>
          <w:jc w:val="center"/>
        </w:trPr>
        <w:tc>
          <w:tcPr>
            <w:tcW w:w="498" w:type="dxa"/>
            <w:vMerge w:val="continue"/>
            <w:tcBorders>
              <w:left w:val="single" w:color="auto" w:sz="4" w:space="0"/>
              <w:bottom w:val="single" w:color="auto" w:sz="4" w:space="0"/>
              <w:right w:val="single" w:color="auto" w:sz="4" w:space="0"/>
            </w:tcBorders>
          </w:tcPr>
          <w:p>
            <w:pPr>
              <w:spacing w:after="0"/>
              <w:rPr>
                <w:rFonts w:ascii="Calibri" w:hAnsi="Calibri" w:eastAsia="宋体" w:cs="Calibri"/>
                <w:color w:val="000000"/>
                <w:sz w:val="14"/>
                <w:szCs w:val="18"/>
              </w:rPr>
            </w:pPr>
          </w:p>
        </w:tc>
        <w:tc>
          <w:tcPr>
            <w:tcW w:w="557"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411"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483" w:type="dxa"/>
            <w:vMerge w:val="continue"/>
            <w:tcBorders>
              <w:left w:val="nil"/>
              <w:bottom w:val="single" w:color="auto" w:sz="4" w:space="0"/>
              <w:right w:val="single" w:color="auto" w:sz="4" w:space="0"/>
            </w:tcBorders>
            <w:shd w:val="clear" w:color="auto" w:fill="BFBFBF"/>
            <w:vAlign w:val="bottom"/>
          </w:tcPr>
          <w:p>
            <w:pPr>
              <w:spacing w:after="0"/>
              <w:jc w:val="center"/>
              <w:rPr>
                <w:rFonts w:ascii="Calibri" w:hAnsi="Calibri" w:eastAsia="宋体" w:cs="Calibri"/>
                <w:color w:val="000000"/>
                <w:sz w:val="14"/>
                <w:szCs w:val="18"/>
              </w:rPr>
            </w:pPr>
          </w:p>
        </w:tc>
        <w:tc>
          <w:tcPr>
            <w:tcW w:w="604"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622"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429" w:type="dxa"/>
            <w:tcBorders>
              <w:top w:val="nil"/>
              <w:left w:val="nil"/>
              <w:bottom w:val="single" w:color="auto" w:sz="4" w:space="0"/>
              <w:right w:val="single" w:color="auto" w:sz="4" w:space="0"/>
            </w:tcBorders>
            <w:shd w:val="clear" w:color="auto" w:fill="BFBFBF"/>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2Rx</w:t>
            </w:r>
          </w:p>
        </w:tc>
        <w:tc>
          <w:tcPr>
            <w:tcW w:w="962" w:type="dxa"/>
            <w:vMerge w:val="continue"/>
            <w:tcBorders>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c>
          <w:tcPr>
            <w:tcW w:w="1030" w:type="dxa"/>
            <w:vMerge w:val="continue"/>
            <w:tcBorders>
              <w:left w:val="single" w:color="auto" w:sz="4" w:space="0"/>
              <w:bottom w:val="single" w:color="auto" w:sz="4" w:space="0"/>
              <w:right w:val="single" w:color="auto" w:sz="4" w:space="0"/>
            </w:tcBorders>
            <w:shd w:val="clear" w:color="auto" w:fill="BFBFBF"/>
          </w:tcPr>
          <w:p>
            <w:pPr>
              <w:spacing w:after="0"/>
              <w:jc w:val="center"/>
              <w:rPr>
                <w:rFonts w:ascii="Calibri" w:hAnsi="Calibri" w:eastAsia="Yu Mincho" w:cs="Calibri"/>
                <w:color w:val="000000"/>
                <w:sz w:val="14"/>
                <w:szCs w:val="18"/>
                <w:lang w:eastAsia="ja-JP"/>
              </w:rPr>
            </w:pPr>
          </w:p>
        </w:tc>
        <w:tc>
          <w:tcPr>
            <w:tcW w:w="973" w:type="dxa"/>
            <w:vMerge w:val="continue"/>
            <w:tcBorders>
              <w:top w:val="nil"/>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c>
          <w:tcPr>
            <w:tcW w:w="3320" w:type="dxa"/>
            <w:vMerge w:val="continue"/>
            <w:tcBorders>
              <w:top w:val="nil"/>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r>
      <w:tr>
        <w:tblPrEx>
          <w:tblCellMar>
            <w:top w:w="0" w:type="dxa"/>
            <w:left w:w="108" w:type="dxa"/>
            <w:bottom w:w="0" w:type="dxa"/>
            <w:right w:w="108" w:type="dxa"/>
          </w:tblCellMar>
        </w:tblPrEx>
        <w:trPr>
          <w:trHeight w:val="70" w:hRule="atLeast"/>
          <w:jc w:val="center"/>
        </w:trPr>
        <w:tc>
          <w:tcPr>
            <w:tcW w:w="498" w:type="dxa"/>
            <w:vMerge w:val="restart"/>
            <w:tcBorders>
              <w:top w:val="nil"/>
              <w:left w:val="single" w:color="auto" w:sz="4" w:space="0"/>
              <w:right w:val="single" w:color="auto" w:sz="4" w:space="0"/>
            </w:tcBorders>
            <w:shd w:val="clear" w:color="auto" w:fill="FFFF00"/>
          </w:tcPr>
          <w:p>
            <w:pPr>
              <w:spacing w:after="0"/>
              <w:jc w:val="center"/>
              <w:rPr>
                <w:rFonts w:ascii="Calibri" w:hAnsi="Calibri" w:eastAsia="宋体" w:cs="Calibri"/>
                <w:b/>
                <w:bCs/>
                <w:color w:val="000000"/>
                <w:sz w:val="14"/>
                <w:szCs w:val="18"/>
              </w:rPr>
            </w:pPr>
            <w:r>
              <w:rPr>
                <w:rFonts w:ascii="Calibri" w:hAnsi="Calibri" w:eastAsia="宋体" w:cs="Calibri"/>
                <w:b/>
                <w:bCs/>
                <w:color w:val="000000"/>
                <w:sz w:val="14"/>
                <w:szCs w:val="18"/>
              </w:rPr>
              <w:t>3a</w:t>
            </w:r>
          </w:p>
        </w:tc>
        <w:tc>
          <w:tcPr>
            <w:tcW w:w="557"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1</w:t>
            </w:r>
          </w:p>
        </w:tc>
        <w:tc>
          <w:tcPr>
            <w:tcW w:w="894" w:type="dxa"/>
            <w:gridSpan w:val="2"/>
            <w:vMerge w:val="restart"/>
            <w:tcBorders>
              <w:top w:val="nil"/>
              <w:left w:val="single" w:color="auto" w:sz="4" w:space="0"/>
              <w:bottom w:val="single" w:color="auto" w:sz="4" w:space="0"/>
              <w:right w:val="single" w:color="auto" w:sz="4" w:space="0"/>
            </w:tcBorders>
            <w:shd w:val="clear" w:color="auto" w:fill="FFFF00"/>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r>
              <w:rPr>
                <w:rFonts w:ascii="Calibri" w:hAnsi="Calibri" w:eastAsia="宋体" w:cs="Calibri"/>
                <w:color w:val="000000"/>
                <w:sz w:val="14"/>
                <w:szCs w:val="18"/>
              </w:rPr>
              <w:br w:type="textWrapping"/>
            </w:r>
            <w:r>
              <w:rPr>
                <w:rFonts w:ascii="Calibri" w:hAnsi="Calibri" w:eastAsia="宋体" w:cs="Calibri"/>
                <w:color w:val="000000"/>
                <w:sz w:val="14"/>
                <w:szCs w:val="18"/>
              </w:rPr>
              <w:t>shared</w:t>
            </w:r>
          </w:p>
        </w:tc>
        <w:tc>
          <w:tcPr>
            <w:tcW w:w="604"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622"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429"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4Rx</w:t>
            </w:r>
          </w:p>
        </w:tc>
        <w:tc>
          <w:tcPr>
            <w:tcW w:w="962" w:type="dxa"/>
            <w:vMerge w:val="restart"/>
            <w:tcBorders>
              <w:top w:val="nil"/>
              <w:left w:val="single" w:color="auto" w:sz="4" w:space="0"/>
              <w:right w:val="single" w:color="auto" w:sz="4" w:space="0"/>
            </w:tcBorders>
            <w:shd w:val="clear" w:color="auto" w:fill="FFFF00"/>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No limitation or ≤ X MHz</w:t>
            </w:r>
          </w:p>
        </w:tc>
        <w:tc>
          <w:tcPr>
            <w:tcW w:w="1030" w:type="dxa"/>
            <w:vMerge w:val="restart"/>
            <w:tcBorders>
              <w:top w:val="nil"/>
              <w:left w:val="single" w:color="auto" w:sz="4" w:space="0"/>
              <w:right w:val="single" w:color="auto" w:sz="4" w:space="0"/>
            </w:tcBorders>
            <w:shd w:val="clear" w:color="auto" w:fill="FFFF00"/>
          </w:tcPr>
          <w:p>
            <w:pPr>
              <w:spacing w:after="0"/>
              <w:jc w:val="center"/>
              <w:rPr>
                <w:rFonts w:ascii="Calibri" w:hAnsi="Calibri" w:eastAsia="Yu Mincho" w:cs="Calibri"/>
                <w:color w:val="000000"/>
                <w:sz w:val="14"/>
                <w:szCs w:val="18"/>
                <w:lang w:eastAsia="ja-JP"/>
              </w:rPr>
            </w:pPr>
            <w:r>
              <w:rPr>
                <w:rFonts w:hint="eastAsia" w:ascii="Calibri" w:hAnsi="Calibri" w:eastAsia="Yu Mincho" w:cs="Calibri"/>
                <w:color w:val="000000"/>
                <w:sz w:val="14"/>
                <w:szCs w:val="18"/>
                <w:lang w:eastAsia="ja-JP"/>
              </w:rPr>
              <w:t>E</w:t>
            </w:r>
            <w:r>
              <w:rPr>
                <w:rFonts w:ascii="Calibri" w:hAnsi="Calibri" w:eastAsia="Yu Mincho" w:cs="Calibri"/>
                <w:color w:val="000000"/>
                <w:sz w:val="14"/>
                <w:szCs w:val="18"/>
                <w:lang w:eastAsia="ja-JP"/>
              </w:rPr>
              <w:t>NDC</w:t>
            </w:r>
          </w:p>
        </w:tc>
        <w:tc>
          <w:tcPr>
            <w:tcW w:w="973" w:type="dxa"/>
            <w:vMerge w:val="restart"/>
            <w:tcBorders>
              <w:top w:val="nil"/>
              <w:left w:val="single" w:color="auto" w:sz="4" w:space="0"/>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6&lt;P≤25dB</w:t>
            </w:r>
            <w:r>
              <w:rPr>
                <w:rFonts w:ascii="Calibri" w:hAnsi="Calibri" w:eastAsia="宋体" w:cs="Calibri"/>
                <w:color w:val="000000"/>
                <w:sz w:val="14"/>
                <w:szCs w:val="18"/>
              </w:rPr>
              <w:br w:type="textWrapping"/>
            </w:r>
            <w:r>
              <w:rPr>
                <w:rFonts w:ascii="Calibri" w:hAnsi="Calibri" w:eastAsia="宋体" w:cs="Calibri"/>
                <w:color w:val="000000"/>
                <w:sz w:val="14"/>
                <w:szCs w:val="18"/>
              </w:rPr>
              <w:t>partial range</w:t>
            </w:r>
          </w:p>
        </w:tc>
        <w:tc>
          <w:tcPr>
            <w:tcW w:w="3320" w:type="dxa"/>
            <w:vMerge w:val="restart"/>
            <w:tcBorders>
              <w:top w:val="nil"/>
              <w:left w:val="single" w:color="auto" w:sz="4" w:space="0"/>
              <w:bottom w:val="single" w:color="auto" w:sz="4" w:space="0"/>
              <w:right w:val="single" w:color="auto" w:sz="4" w:space="0"/>
            </w:tcBorders>
            <w:shd w:val="clear" w:color="auto" w:fill="FFFF00"/>
            <w:vAlign w:val="bottom"/>
          </w:tcPr>
          <w:p>
            <w:pPr>
              <w:spacing w:after="0"/>
              <w:rPr>
                <w:rFonts w:ascii="Calibri" w:hAnsi="Calibri" w:eastAsia="宋体" w:cs="Calibri"/>
                <w:color w:val="000000"/>
                <w:sz w:val="14"/>
                <w:szCs w:val="18"/>
              </w:rPr>
            </w:pPr>
            <w:r>
              <w:rPr>
                <w:rFonts w:ascii="Calibri" w:hAnsi="Calibri" w:eastAsia="宋体" w:cs="Calibri"/>
                <w:color w:val="000000"/>
                <w:sz w:val="14"/>
                <w:szCs w:val="18"/>
              </w:rPr>
              <w:t xml:space="preserve">Reuse of baseline RFFE architecture adding RF split after 2 LNAs + 1BB/Rx </w:t>
            </w:r>
            <w:r>
              <w:rPr>
                <w:rFonts w:ascii="Calibri" w:hAnsi="Calibri" w:eastAsia="宋体" w:cs="Calibri"/>
                <w:color w:val="000000"/>
                <w:sz w:val="14"/>
                <w:szCs w:val="18"/>
              </w:rPr>
              <w:br w:type="textWrapping"/>
            </w:r>
            <w:r>
              <w:rPr>
                <w:rFonts w:ascii="Calibri" w:hAnsi="Calibri" w:eastAsia="宋体" w:cs="Calibri"/>
                <w:color w:val="000000"/>
                <w:sz w:val="14"/>
                <w:szCs w:val="18"/>
              </w:rPr>
              <w:t>=&gt; common AGC on LNA =&gt; 25dB only for some range</w:t>
            </w:r>
          </w:p>
        </w:tc>
      </w:tr>
      <w:tr>
        <w:tblPrEx>
          <w:tblCellMar>
            <w:top w:w="0" w:type="dxa"/>
            <w:left w:w="108" w:type="dxa"/>
            <w:bottom w:w="0" w:type="dxa"/>
            <w:right w:w="108" w:type="dxa"/>
          </w:tblCellMar>
        </w:tblPrEx>
        <w:trPr>
          <w:trHeight w:val="70" w:hRule="atLeast"/>
          <w:jc w:val="center"/>
        </w:trPr>
        <w:tc>
          <w:tcPr>
            <w:tcW w:w="498" w:type="dxa"/>
            <w:vMerge w:val="continue"/>
            <w:tcBorders>
              <w:left w:val="single" w:color="auto" w:sz="4" w:space="0"/>
              <w:bottom w:val="single" w:color="auto" w:sz="4" w:space="0"/>
              <w:right w:val="single" w:color="auto" w:sz="4" w:space="0"/>
            </w:tcBorders>
            <w:shd w:val="clear" w:color="auto" w:fill="FFFF00"/>
          </w:tcPr>
          <w:p>
            <w:pPr>
              <w:spacing w:after="0"/>
              <w:rPr>
                <w:rFonts w:ascii="Calibri" w:hAnsi="Calibri" w:eastAsia="宋体" w:cs="Calibri"/>
                <w:color w:val="000000"/>
                <w:sz w:val="14"/>
                <w:szCs w:val="18"/>
              </w:rPr>
            </w:pPr>
          </w:p>
        </w:tc>
        <w:tc>
          <w:tcPr>
            <w:tcW w:w="557"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894" w:type="dxa"/>
            <w:gridSpan w:val="2"/>
            <w:vMerge w:val="continue"/>
            <w:tcBorders>
              <w:top w:val="nil"/>
              <w:left w:val="single" w:color="auto" w:sz="4" w:space="0"/>
              <w:bottom w:val="single" w:color="auto" w:sz="4" w:space="0"/>
              <w:right w:val="single" w:color="auto" w:sz="4" w:space="0"/>
            </w:tcBorders>
            <w:shd w:val="clear" w:color="auto" w:fill="FFFF00"/>
            <w:vAlign w:val="center"/>
          </w:tcPr>
          <w:p>
            <w:pPr>
              <w:spacing w:after="0"/>
              <w:rPr>
                <w:rFonts w:ascii="Calibri" w:hAnsi="Calibri" w:eastAsia="宋体" w:cs="Calibri"/>
                <w:color w:val="000000"/>
                <w:sz w:val="14"/>
                <w:szCs w:val="18"/>
              </w:rPr>
            </w:pPr>
          </w:p>
        </w:tc>
        <w:tc>
          <w:tcPr>
            <w:tcW w:w="604"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622"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429"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2Rx</w:t>
            </w:r>
          </w:p>
        </w:tc>
        <w:tc>
          <w:tcPr>
            <w:tcW w:w="962" w:type="dxa"/>
            <w:vMerge w:val="continue"/>
            <w:tcBorders>
              <w:left w:val="single" w:color="auto" w:sz="4" w:space="0"/>
              <w:bottom w:val="single" w:color="auto" w:sz="4" w:space="0"/>
              <w:right w:val="single" w:color="auto" w:sz="4" w:space="0"/>
            </w:tcBorders>
            <w:shd w:val="clear" w:color="auto" w:fill="FFFF00"/>
            <w:vAlign w:val="center"/>
          </w:tcPr>
          <w:p>
            <w:pPr>
              <w:spacing w:after="0"/>
              <w:rPr>
                <w:rFonts w:ascii="Calibri" w:hAnsi="Calibri" w:eastAsia="宋体" w:cs="Calibri"/>
                <w:color w:val="000000"/>
                <w:sz w:val="14"/>
                <w:szCs w:val="18"/>
              </w:rPr>
            </w:pPr>
          </w:p>
        </w:tc>
        <w:tc>
          <w:tcPr>
            <w:tcW w:w="1030" w:type="dxa"/>
            <w:vMerge w:val="continue"/>
            <w:tcBorders>
              <w:left w:val="single" w:color="auto" w:sz="4" w:space="0"/>
              <w:bottom w:val="single" w:color="auto" w:sz="4" w:space="0"/>
              <w:right w:val="single" w:color="auto" w:sz="4" w:space="0"/>
            </w:tcBorders>
            <w:shd w:val="clear" w:color="auto" w:fill="FFFF00"/>
          </w:tcPr>
          <w:p>
            <w:pPr>
              <w:spacing w:after="0"/>
              <w:rPr>
                <w:rFonts w:ascii="Calibri" w:hAnsi="Calibri" w:eastAsia="Yu Mincho" w:cs="Calibri"/>
                <w:color w:val="000000"/>
                <w:sz w:val="14"/>
                <w:szCs w:val="18"/>
                <w:lang w:eastAsia="ja-JP"/>
              </w:rPr>
            </w:pPr>
          </w:p>
        </w:tc>
        <w:tc>
          <w:tcPr>
            <w:tcW w:w="973" w:type="dxa"/>
            <w:vMerge w:val="continue"/>
            <w:tcBorders>
              <w:top w:val="nil"/>
              <w:left w:val="single" w:color="auto" w:sz="4" w:space="0"/>
              <w:bottom w:val="single" w:color="auto" w:sz="4" w:space="0"/>
              <w:right w:val="single" w:color="auto" w:sz="4" w:space="0"/>
            </w:tcBorders>
            <w:shd w:val="clear" w:color="auto" w:fill="FFFF00"/>
            <w:vAlign w:val="center"/>
          </w:tcPr>
          <w:p>
            <w:pPr>
              <w:spacing w:after="0"/>
              <w:rPr>
                <w:rFonts w:ascii="Calibri" w:hAnsi="Calibri" w:eastAsia="宋体" w:cs="Calibri"/>
                <w:color w:val="000000"/>
                <w:sz w:val="14"/>
                <w:szCs w:val="18"/>
              </w:rPr>
            </w:pPr>
          </w:p>
        </w:tc>
        <w:tc>
          <w:tcPr>
            <w:tcW w:w="3320" w:type="dxa"/>
            <w:vMerge w:val="continue"/>
            <w:tcBorders>
              <w:top w:val="nil"/>
              <w:left w:val="single" w:color="auto" w:sz="4" w:space="0"/>
              <w:bottom w:val="single" w:color="auto" w:sz="4" w:space="0"/>
              <w:right w:val="single" w:color="auto" w:sz="4" w:space="0"/>
            </w:tcBorders>
            <w:shd w:val="clear" w:color="auto" w:fill="FFFF00"/>
            <w:vAlign w:val="center"/>
          </w:tcPr>
          <w:p>
            <w:pPr>
              <w:spacing w:after="0"/>
              <w:rPr>
                <w:rFonts w:ascii="Calibri" w:hAnsi="Calibri" w:eastAsia="宋体" w:cs="Calibri"/>
                <w:color w:val="000000"/>
                <w:sz w:val="14"/>
                <w:szCs w:val="18"/>
              </w:rPr>
            </w:pPr>
          </w:p>
        </w:tc>
      </w:tr>
      <w:tr>
        <w:tblPrEx>
          <w:tblCellMar>
            <w:top w:w="0" w:type="dxa"/>
            <w:left w:w="108" w:type="dxa"/>
            <w:bottom w:w="0" w:type="dxa"/>
            <w:right w:w="108" w:type="dxa"/>
          </w:tblCellMar>
        </w:tblPrEx>
        <w:trPr>
          <w:trHeight w:val="70" w:hRule="atLeast"/>
          <w:jc w:val="center"/>
        </w:trPr>
        <w:tc>
          <w:tcPr>
            <w:tcW w:w="498" w:type="dxa"/>
            <w:vMerge w:val="restart"/>
            <w:tcBorders>
              <w:top w:val="nil"/>
              <w:left w:val="single" w:color="auto" w:sz="4" w:space="0"/>
              <w:right w:val="single" w:color="auto" w:sz="4" w:space="0"/>
            </w:tcBorders>
            <w:shd w:val="clear" w:color="auto" w:fill="FFFF00"/>
          </w:tcPr>
          <w:p>
            <w:pPr>
              <w:spacing w:after="0"/>
              <w:jc w:val="center"/>
              <w:rPr>
                <w:rFonts w:ascii="Calibri" w:hAnsi="Calibri" w:eastAsia="宋体" w:cs="Calibri"/>
                <w:b/>
                <w:bCs/>
                <w:color w:val="000000"/>
                <w:sz w:val="14"/>
                <w:szCs w:val="18"/>
              </w:rPr>
            </w:pPr>
            <w:r>
              <w:rPr>
                <w:rFonts w:ascii="Calibri" w:hAnsi="Calibri" w:eastAsia="宋体" w:cs="Calibri"/>
                <w:b/>
                <w:bCs/>
                <w:color w:val="000000"/>
                <w:sz w:val="14"/>
                <w:szCs w:val="18"/>
              </w:rPr>
              <w:t>3b</w:t>
            </w:r>
          </w:p>
        </w:tc>
        <w:tc>
          <w:tcPr>
            <w:tcW w:w="557"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1</w:t>
            </w:r>
          </w:p>
        </w:tc>
        <w:tc>
          <w:tcPr>
            <w:tcW w:w="894" w:type="dxa"/>
            <w:gridSpan w:val="2"/>
            <w:vMerge w:val="restart"/>
            <w:tcBorders>
              <w:top w:val="nil"/>
              <w:left w:val="single" w:color="auto" w:sz="4" w:space="0"/>
              <w:bottom w:val="single" w:color="auto" w:sz="4" w:space="0"/>
              <w:right w:val="single" w:color="auto" w:sz="4" w:space="0"/>
            </w:tcBorders>
            <w:shd w:val="clear" w:color="auto" w:fill="FFFF00"/>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r>
              <w:rPr>
                <w:rFonts w:ascii="Calibri" w:hAnsi="Calibri" w:eastAsia="宋体" w:cs="Calibri"/>
                <w:color w:val="000000"/>
                <w:sz w:val="14"/>
                <w:szCs w:val="18"/>
              </w:rPr>
              <w:br w:type="textWrapping"/>
            </w:r>
            <w:r>
              <w:rPr>
                <w:rFonts w:ascii="Calibri" w:hAnsi="Calibri" w:eastAsia="宋体" w:cs="Calibri"/>
                <w:color w:val="000000"/>
                <w:sz w:val="14"/>
                <w:szCs w:val="18"/>
              </w:rPr>
              <w:t>shared</w:t>
            </w:r>
          </w:p>
        </w:tc>
        <w:tc>
          <w:tcPr>
            <w:tcW w:w="604"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622"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429"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4Rx</w:t>
            </w:r>
          </w:p>
        </w:tc>
        <w:tc>
          <w:tcPr>
            <w:tcW w:w="962" w:type="dxa"/>
            <w:vMerge w:val="restart"/>
            <w:tcBorders>
              <w:top w:val="nil"/>
              <w:left w:val="single" w:color="auto" w:sz="4" w:space="0"/>
              <w:right w:val="single" w:color="auto" w:sz="4" w:space="0"/>
            </w:tcBorders>
            <w:shd w:val="clear" w:color="auto" w:fill="FFFF00"/>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No limitation or ≤ X MHz</w:t>
            </w:r>
          </w:p>
        </w:tc>
        <w:tc>
          <w:tcPr>
            <w:tcW w:w="1030" w:type="dxa"/>
            <w:vMerge w:val="restart"/>
            <w:tcBorders>
              <w:top w:val="nil"/>
              <w:left w:val="single" w:color="auto" w:sz="4" w:space="0"/>
              <w:right w:val="single" w:color="auto" w:sz="4" w:space="0"/>
            </w:tcBorders>
            <w:shd w:val="clear" w:color="auto" w:fill="FFFF00"/>
          </w:tcPr>
          <w:p>
            <w:pPr>
              <w:spacing w:after="0"/>
              <w:jc w:val="center"/>
              <w:rPr>
                <w:rFonts w:ascii="Calibri" w:hAnsi="Calibri" w:eastAsia="宋体" w:cs="Calibri"/>
                <w:color w:val="000000"/>
                <w:sz w:val="14"/>
                <w:szCs w:val="18"/>
              </w:rPr>
            </w:pPr>
            <w:r>
              <w:rPr>
                <w:rFonts w:hint="eastAsia" w:ascii="Calibri" w:hAnsi="Calibri" w:eastAsia="Yu Mincho" w:cs="Calibri"/>
                <w:color w:val="000000"/>
                <w:sz w:val="14"/>
                <w:szCs w:val="18"/>
                <w:lang w:eastAsia="ja-JP"/>
              </w:rPr>
              <w:t>N</w:t>
            </w:r>
            <w:r>
              <w:rPr>
                <w:rFonts w:ascii="Calibri" w:hAnsi="Calibri" w:eastAsia="Yu Mincho" w:cs="Calibri"/>
                <w:color w:val="000000"/>
                <w:sz w:val="14"/>
                <w:szCs w:val="18"/>
                <w:lang w:eastAsia="ja-JP"/>
              </w:rPr>
              <w:t>RCA,</w:t>
            </w:r>
            <w:r>
              <w:rPr>
                <w:rFonts w:hint="eastAsia" w:ascii="Calibri" w:hAnsi="Calibri" w:eastAsia="Yu Mincho" w:cs="Calibri"/>
                <w:color w:val="000000"/>
                <w:sz w:val="14"/>
                <w:szCs w:val="18"/>
                <w:lang w:eastAsia="ja-JP"/>
              </w:rPr>
              <w:t>E</w:t>
            </w:r>
            <w:r>
              <w:rPr>
                <w:rFonts w:ascii="Calibri" w:hAnsi="Calibri" w:eastAsia="Yu Mincho" w:cs="Calibri"/>
                <w:color w:val="000000"/>
                <w:sz w:val="14"/>
                <w:szCs w:val="18"/>
                <w:lang w:eastAsia="ja-JP"/>
              </w:rPr>
              <w:t>NDC</w:t>
            </w:r>
          </w:p>
        </w:tc>
        <w:tc>
          <w:tcPr>
            <w:tcW w:w="973" w:type="dxa"/>
            <w:vMerge w:val="restart"/>
            <w:tcBorders>
              <w:top w:val="nil"/>
              <w:left w:val="single" w:color="auto" w:sz="4" w:space="0"/>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6&lt;P≤25dB</w:t>
            </w:r>
            <w:r>
              <w:rPr>
                <w:rFonts w:ascii="Calibri" w:hAnsi="Calibri" w:eastAsia="宋体" w:cs="Calibri"/>
                <w:color w:val="000000"/>
                <w:sz w:val="14"/>
                <w:szCs w:val="18"/>
              </w:rPr>
              <w:br w:type="textWrapping"/>
            </w:r>
            <w:r>
              <w:rPr>
                <w:rFonts w:ascii="Calibri" w:hAnsi="Calibri" w:eastAsia="宋体" w:cs="Calibri"/>
                <w:color w:val="000000"/>
                <w:sz w:val="14"/>
                <w:szCs w:val="18"/>
              </w:rPr>
              <w:t>partial range</w:t>
            </w:r>
          </w:p>
        </w:tc>
        <w:tc>
          <w:tcPr>
            <w:tcW w:w="3320" w:type="dxa"/>
            <w:vMerge w:val="restart"/>
            <w:tcBorders>
              <w:top w:val="nil"/>
              <w:left w:val="single" w:color="auto" w:sz="4" w:space="0"/>
              <w:bottom w:val="single" w:color="auto" w:sz="4" w:space="0"/>
              <w:right w:val="single" w:color="auto" w:sz="4" w:space="0"/>
            </w:tcBorders>
            <w:shd w:val="clear" w:color="auto" w:fill="FFFF00"/>
            <w:vAlign w:val="bottom"/>
          </w:tcPr>
          <w:p>
            <w:pPr>
              <w:spacing w:after="0"/>
              <w:rPr>
                <w:rFonts w:ascii="Calibri" w:hAnsi="Calibri" w:eastAsia="宋体" w:cs="Calibri"/>
                <w:color w:val="000000"/>
                <w:sz w:val="14"/>
                <w:szCs w:val="18"/>
              </w:rPr>
            </w:pPr>
            <w:r>
              <w:rPr>
                <w:rFonts w:ascii="Calibri" w:hAnsi="Calibri" w:eastAsia="宋体" w:cs="Calibri"/>
                <w:color w:val="000000"/>
                <w:sz w:val="14"/>
                <w:szCs w:val="18"/>
              </w:rPr>
              <w:t xml:space="preserve">Reuse of baseline RFFE architecture adding RF split after 2 LNAs + 1BB/Rx </w:t>
            </w:r>
            <w:r>
              <w:rPr>
                <w:rFonts w:ascii="Calibri" w:hAnsi="Calibri" w:eastAsia="宋体" w:cs="Calibri"/>
                <w:color w:val="000000"/>
                <w:sz w:val="14"/>
                <w:szCs w:val="18"/>
              </w:rPr>
              <w:br w:type="textWrapping"/>
            </w:r>
            <w:r>
              <w:rPr>
                <w:rFonts w:ascii="Calibri" w:hAnsi="Calibri" w:eastAsia="宋体" w:cs="Calibri"/>
                <w:color w:val="000000"/>
                <w:sz w:val="14"/>
                <w:szCs w:val="18"/>
              </w:rPr>
              <w:t>=&gt; common AGC on LNA =&gt; 25dB only for some range</w:t>
            </w:r>
          </w:p>
        </w:tc>
      </w:tr>
      <w:tr>
        <w:tblPrEx>
          <w:tblCellMar>
            <w:top w:w="0" w:type="dxa"/>
            <w:left w:w="108" w:type="dxa"/>
            <w:bottom w:w="0" w:type="dxa"/>
            <w:right w:w="108" w:type="dxa"/>
          </w:tblCellMar>
        </w:tblPrEx>
        <w:trPr>
          <w:trHeight w:val="70" w:hRule="atLeast"/>
          <w:jc w:val="center"/>
        </w:trPr>
        <w:tc>
          <w:tcPr>
            <w:tcW w:w="498" w:type="dxa"/>
            <w:vMerge w:val="continue"/>
            <w:tcBorders>
              <w:left w:val="single" w:color="auto" w:sz="4" w:space="0"/>
              <w:bottom w:val="single" w:color="auto" w:sz="4" w:space="0"/>
              <w:right w:val="single" w:color="auto" w:sz="4" w:space="0"/>
            </w:tcBorders>
            <w:shd w:val="clear" w:color="auto" w:fill="FFFF00"/>
          </w:tcPr>
          <w:p>
            <w:pPr>
              <w:spacing w:after="0"/>
              <w:rPr>
                <w:rFonts w:ascii="Calibri" w:hAnsi="Calibri" w:eastAsia="宋体" w:cs="Calibri"/>
                <w:color w:val="000000"/>
                <w:sz w:val="14"/>
                <w:szCs w:val="18"/>
              </w:rPr>
            </w:pPr>
          </w:p>
        </w:tc>
        <w:tc>
          <w:tcPr>
            <w:tcW w:w="557"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894" w:type="dxa"/>
            <w:gridSpan w:val="2"/>
            <w:vMerge w:val="continue"/>
            <w:tcBorders>
              <w:top w:val="nil"/>
              <w:left w:val="single" w:color="auto" w:sz="4" w:space="0"/>
              <w:bottom w:val="single" w:color="auto" w:sz="4" w:space="0"/>
              <w:right w:val="single" w:color="auto" w:sz="4" w:space="0"/>
            </w:tcBorders>
            <w:shd w:val="clear" w:color="auto" w:fill="FFFF00"/>
            <w:vAlign w:val="center"/>
          </w:tcPr>
          <w:p>
            <w:pPr>
              <w:spacing w:after="0"/>
              <w:rPr>
                <w:rFonts w:ascii="Calibri" w:hAnsi="Calibri" w:eastAsia="宋体" w:cs="Calibri"/>
                <w:color w:val="000000"/>
                <w:sz w:val="14"/>
                <w:szCs w:val="18"/>
              </w:rPr>
            </w:pPr>
          </w:p>
        </w:tc>
        <w:tc>
          <w:tcPr>
            <w:tcW w:w="604"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622"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429" w:type="dxa"/>
            <w:tcBorders>
              <w:top w:val="nil"/>
              <w:left w:val="nil"/>
              <w:bottom w:val="single" w:color="auto" w:sz="4" w:space="0"/>
              <w:right w:val="single" w:color="auto" w:sz="4" w:space="0"/>
            </w:tcBorders>
            <w:shd w:val="clear" w:color="auto" w:fill="FFFF00"/>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4Rx</w:t>
            </w:r>
          </w:p>
        </w:tc>
        <w:tc>
          <w:tcPr>
            <w:tcW w:w="962" w:type="dxa"/>
            <w:vMerge w:val="continue"/>
            <w:tcBorders>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c>
          <w:tcPr>
            <w:tcW w:w="1030" w:type="dxa"/>
            <w:vMerge w:val="continue"/>
            <w:tcBorders>
              <w:left w:val="single" w:color="auto" w:sz="4" w:space="0"/>
              <w:bottom w:val="single" w:color="auto" w:sz="4" w:space="0"/>
              <w:right w:val="single" w:color="auto" w:sz="4" w:space="0"/>
            </w:tcBorders>
          </w:tcPr>
          <w:p>
            <w:pPr>
              <w:spacing w:after="0"/>
              <w:jc w:val="center"/>
              <w:rPr>
                <w:rFonts w:ascii="Calibri" w:hAnsi="Calibri" w:eastAsia="宋体" w:cs="Calibri"/>
                <w:color w:val="000000"/>
                <w:sz w:val="14"/>
                <w:szCs w:val="18"/>
              </w:rPr>
            </w:pPr>
          </w:p>
        </w:tc>
        <w:tc>
          <w:tcPr>
            <w:tcW w:w="973" w:type="dxa"/>
            <w:vMerge w:val="continue"/>
            <w:tcBorders>
              <w:top w:val="nil"/>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c>
          <w:tcPr>
            <w:tcW w:w="3320" w:type="dxa"/>
            <w:vMerge w:val="continue"/>
            <w:tcBorders>
              <w:top w:val="nil"/>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r>
      <w:tr>
        <w:tblPrEx>
          <w:tblCellMar>
            <w:top w:w="0" w:type="dxa"/>
            <w:left w:w="108" w:type="dxa"/>
            <w:bottom w:w="0" w:type="dxa"/>
            <w:right w:w="108" w:type="dxa"/>
          </w:tblCellMar>
        </w:tblPrEx>
        <w:trPr>
          <w:trHeight w:val="70" w:hRule="atLeast"/>
          <w:jc w:val="center"/>
        </w:trPr>
        <w:tc>
          <w:tcPr>
            <w:tcW w:w="498" w:type="dxa"/>
            <w:vMerge w:val="restart"/>
            <w:tcBorders>
              <w:top w:val="nil"/>
              <w:left w:val="single" w:color="auto" w:sz="4" w:space="0"/>
              <w:right w:val="single" w:color="auto" w:sz="4" w:space="0"/>
            </w:tcBorders>
            <w:shd w:val="clear" w:color="auto" w:fill="auto"/>
          </w:tcPr>
          <w:p>
            <w:pPr>
              <w:spacing w:after="0"/>
              <w:jc w:val="center"/>
              <w:rPr>
                <w:rFonts w:ascii="Calibri" w:hAnsi="Calibri" w:eastAsia="宋体" w:cs="Calibri"/>
                <w:b/>
                <w:bCs/>
                <w:color w:val="000000"/>
                <w:sz w:val="14"/>
                <w:szCs w:val="18"/>
              </w:rPr>
            </w:pPr>
            <w:r>
              <w:rPr>
                <w:rFonts w:ascii="Calibri" w:hAnsi="Calibri" w:eastAsia="宋体" w:cs="Calibri"/>
                <w:b/>
                <w:bCs/>
                <w:color w:val="000000"/>
                <w:sz w:val="14"/>
                <w:szCs w:val="18"/>
              </w:rPr>
              <w:t>4a</w:t>
            </w:r>
          </w:p>
        </w:tc>
        <w:tc>
          <w:tcPr>
            <w:tcW w:w="557"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1</w:t>
            </w:r>
          </w:p>
        </w:tc>
        <w:tc>
          <w:tcPr>
            <w:tcW w:w="411"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483" w:type="dxa"/>
            <w:vMerge w:val="restart"/>
            <w:tcBorders>
              <w:top w:val="nil"/>
              <w:left w:val="nil"/>
              <w:right w:val="single" w:color="auto" w:sz="4" w:space="0"/>
            </w:tcBorders>
            <w:shd w:val="clear" w:color="auto" w:fill="auto"/>
            <w:vAlign w:val="bottom"/>
          </w:tcPr>
          <w:p>
            <w:pPr>
              <w:spacing w:after="0"/>
              <w:jc w:val="center"/>
              <w:rPr>
                <w:rFonts w:ascii="Calibri" w:hAnsi="Calibri" w:eastAsia="Yu Mincho" w:cs="Calibri"/>
                <w:color w:val="000000"/>
                <w:sz w:val="14"/>
                <w:szCs w:val="18"/>
                <w:lang w:eastAsia="ja-JP"/>
              </w:rPr>
            </w:pPr>
            <w:r>
              <w:rPr>
                <w:rFonts w:hint="eastAsia" w:ascii="Calibri" w:hAnsi="Calibri" w:eastAsia="Yu Mincho" w:cs="Calibri"/>
                <w:color w:val="000000"/>
                <w:sz w:val="14"/>
                <w:szCs w:val="18"/>
                <w:lang w:eastAsia="ja-JP"/>
              </w:rPr>
              <w:t>6</w:t>
            </w:r>
          </w:p>
          <w:p>
            <w:pPr>
              <w:spacing w:after="0"/>
              <w:jc w:val="center"/>
              <w:rPr>
                <w:rFonts w:ascii="Calibri" w:hAnsi="Calibri" w:eastAsia="Yu Mincho" w:cs="Calibri"/>
                <w:color w:val="000000"/>
                <w:sz w:val="14"/>
                <w:szCs w:val="18"/>
                <w:lang w:eastAsia="ja-JP"/>
              </w:rPr>
            </w:pPr>
            <w:r>
              <w:rPr>
                <w:rFonts w:ascii="Calibri" w:hAnsi="Calibri" w:eastAsia="Yu Mincho" w:cs="Calibri"/>
                <w:color w:val="000000"/>
                <w:sz w:val="14"/>
                <w:szCs w:val="18"/>
                <w:lang w:eastAsia="ja-JP"/>
              </w:rPr>
              <w:t>total</w:t>
            </w:r>
          </w:p>
        </w:tc>
        <w:tc>
          <w:tcPr>
            <w:tcW w:w="604"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622"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429"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4Rx</w:t>
            </w:r>
          </w:p>
        </w:tc>
        <w:tc>
          <w:tcPr>
            <w:tcW w:w="962" w:type="dxa"/>
            <w:vMerge w:val="restart"/>
            <w:tcBorders>
              <w:top w:val="nil"/>
              <w:left w:val="single" w:color="auto" w:sz="4" w:space="0"/>
              <w:right w:val="single" w:color="auto" w:sz="4" w:space="0"/>
            </w:tcBorders>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No limitation or ≤ X MHz</w:t>
            </w:r>
          </w:p>
        </w:tc>
        <w:tc>
          <w:tcPr>
            <w:tcW w:w="1030" w:type="dxa"/>
            <w:vMerge w:val="restart"/>
            <w:tcBorders>
              <w:top w:val="nil"/>
              <w:left w:val="single" w:color="auto" w:sz="4" w:space="0"/>
              <w:right w:val="single" w:color="auto" w:sz="4" w:space="0"/>
            </w:tcBorders>
          </w:tcPr>
          <w:p>
            <w:pPr>
              <w:spacing w:after="0"/>
              <w:jc w:val="center"/>
              <w:rPr>
                <w:rFonts w:ascii="Calibri" w:hAnsi="Calibri" w:eastAsia="Yu Mincho" w:cs="Calibri"/>
                <w:color w:val="000000"/>
                <w:sz w:val="14"/>
                <w:szCs w:val="18"/>
                <w:lang w:eastAsia="ja-JP"/>
              </w:rPr>
            </w:pPr>
            <w:r>
              <w:rPr>
                <w:rFonts w:hint="eastAsia" w:ascii="Calibri" w:hAnsi="Calibri" w:eastAsia="Yu Mincho" w:cs="Calibri"/>
                <w:color w:val="000000"/>
                <w:sz w:val="14"/>
                <w:szCs w:val="18"/>
                <w:lang w:eastAsia="ja-JP"/>
              </w:rPr>
              <w:t>E</w:t>
            </w:r>
            <w:r>
              <w:rPr>
                <w:rFonts w:ascii="Calibri" w:hAnsi="Calibri" w:eastAsia="Yu Mincho" w:cs="Calibri"/>
                <w:color w:val="000000"/>
                <w:sz w:val="14"/>
                <w:szCs w:val="18"/>
                <w:lang w:eastAsia="ja-JP"/>
              </w:rPr>
              <w:t>NDC</w:t>
            </w:r>
          </w:p>
        </w:tc>
        <w:tc>
          <w:tcPr>
            <w:tcW w:w="973" w:type="dxa"/>
            <w:vMerge w:val="restart"/>
            <w:tcBorders>
              <w:top w:val="nil"/>
              <w:left w:val="single" w:color="auto" w:sz="4" w:space="0"/>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25dB</w:t>
            </w:r>
            <w:r>
              <w:rPr>
                <w:rFonts w:ascii="Calibri" w:hAnsi="Calibri" w:eastAsia="宋体" w:cs="Calibri"/>
                <w:color w:val="000000"/>
                <w:sz w:val="14"/>
                <w:szCs w:val="18"/>
              </w:rPr>
              <w:br w:type="textWrapping"/>
            </w:r>
            <w:r>
              <w:rPr>
                <w:rFonts w:ascii="Calibri" w:hAnsi="Calibri" w:eastAsia="宋体" w:cs="Calibri"/>
                <w:color w:val="000000"/>
                <w:sz w:val="14"/>
                <w:szCs w:val="18"/>
              </w:rPr>
              <w:t>full range</w:t>
            </w:r>
          </w:p>
        </w:tc>
        <w:tc>
          <w:tcPr>
            <w:tcW w:w="3320" w:type="dxa"/>
            <w:vMerge w:val="restart"/>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eastAsia="宋体" w:cs="Calibri"/>
                <w:color w:val="000000"/>
                <w:sz w:val="14"/>
                <w:szCs w:val="18"/>
              </w:rPr>
            </w:pPr>
            <w:r>
              <w:rPr>
                <w:rFonts w:ascii="Calibri" w:hAnsi="Calibri" w:eastAsia="宋体" w:cs="Calibri"/>
                <w:color w:val="000000"/>
                <w:sz w:val="14"/>
                <w:szCs w:val="18"/>
              </w:rPr>
              <w:t>Requires 6 antennas and LNA =&gt; is it compatible with smartphone? (for which frequency range), FWA only</w:t>
            </w:r>
          </w:p>
        </w:tc>
      </w:tr>
      <w:tr>
        <w:tblPrEx>
          <w:tblCellMar>
            <w:top w:w="0" w:type="dxa"/>
            <w:left w:w="108" w:type="dxa"/>
            <w:bottom w:w="0" w:type="dxa"/>
            <w:right w:w="108" w:type="dxa"/>
          </w:tblCellMar>
        </w:tblPrEx>
        <w:trPr>
          <w:trHeight w:val="70" w:hRule="atLeast"/>
          <w:jc w:val="center"/>
        </w:trPr>
        <w:tc>
          <w:tcPr>
            <w:tcW w:w="498" w:type="dxa"/>
            <w:vMerge w:val="continue"/>
            <w:tcBorders>
              <w:left w:val="single" w:color="auto" w:sz="4" w:space="0"/>
              <w:bottom w:val="single" w:color="auto" w:sz="4" w:space="0"/>
              <w:right w:val="single" w:color="auto" w:sz="4" w:space="0"/>
            </w:tcBorders>
            <w:shd w:val="clear" w:color="auto" w:fill="auto"/>
          </w:tcPr>
          <w:p>
            <w:pPr>
              <w:spacing w:after="0"/>
              <w:rPr>
                <w:rFonts w:ascii="Calibri" w:hAnsi="Calibri" w:eastAsia="宋体" w:cs="Calibri"/>
                <w:color w:val="000000"/>
                <w:sz w:val="14"/>
                <w:szCs w:val="18"/>
              </w:rPr>
            </w:pPr>
          </w:p>
        </w:tc>
        <w:tc>
          <w:tcPr>
            <w:tcW w:w="557"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411"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483" w:type="dxa"/>
            <w:vMerge w:val="continue"/>
            <w:tcBorders>
              <w:left w:val="nil"/>
              <w:bottom w:val="single" w:color="auto" w:sz="4" w:space="0"/>
              <w:right w:val="single" w:color="auto" w:sz="4" w:space="0"/>
            </w:tcBorders>
            <w:shd w:val="clear" w:color="auto" w:fill="auto"/>
            <w:vAlign w:val="bottom"/>
          </w:tcPr>
          <w:p>
            <w:pPr>
              <w:spacing w:after="0"/>
              <w:jc w:val="center"/>
              <w:rPr>
                <w:rFonts w:ascii="Calibri" w:hAnsi="Calibri" w:eastAsia="宋体" w:cs="Calibri"/>
                <w:color w:val="000000"/>
                <w:sz w:val="14"/>
                <w:szCs w:val="18"/>
              </w:rPr>
            </w:pPr>
          </w:p>
        </w:tc>
        <w:tc>
          <w:tcPr>
            <w:tcW w:w="604"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622"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429"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2Rx</w:t>
            </w:r>
          </w:p>
        </w:tc>
        <w:tc>
          <w:tcPr>
            <w:tcW w:w="962" w:type="dxa"/>
            <w:vMerge w:val="continue"/>
            <w:tcBorders>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c>
          <w:tcPr>
            <w:tcW w:w="1030" w:type="dxa"/>
            <w:vMerge w:val="continue"/>
            <w:tcBorders>
              <w:left w:val="single" w:color="auto" w:sz="4" w:space="0"/>
              <w:bottom w:val="single" w:color="auto" w:sz="4" w:space="0"/>
              <w:right w:val="single" w:color="auto" w:sz="4" w:space="0"/>
            </w:tcBorders>
          </w:tcPr>
          <w:p>
            <w:pPr>
              <w:spacing w:after="0"/>
              <w:jc w:val="center"/>
              <w:rPr>
                <w:rFonts w:ascii="Calibri" w:hAnsi="Calibri" w:eastAsia="宋体" w:cs="Calibri"/>
                <w:color w:val="000000"/>
                <w:sz w:val="14"/>
                <w:szCs w:val="18"/>
              </w:rPr>
            </w:pPr>
          </w:p>
        </w:tc>
        <w:tc>
          <w:tcPr>
            <w:tcW w:w="973" w:type="dxa"/>
            <w:vMerge w:val="continue"/>
            <w:tcBorders>
              <w:top w:val="nil"/>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c>
          <w:tcPr>
            <w:tcW w:w="3320" w:type="dxa"/>
            <w:vMerge w:val="continue"/>
            <w:tcBorders>
              <w:top w:val="nil"/>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r>
      <w:tr>
        <w:trPr>
          <w:trHeight w:val="70" w:hRule="atLeast"/>
          <w:jc w:val="center"/>
        </w:trPr>
        <w:tc>
          <w:tcPr>
            <w:tcW w:w="498" w:type="dxa"/>
            <w:vMerge w:val="restart"/>
            <w:tcBorders>
              <w:top w:val="nil"/>
              <w:left w:val="single" w:color="auto" w:sz="4" w:space="0"/>
              <w:right w:val="single" w:color="auto" w:sz="4" w:space="0"/>
            </w:tcBorders>
            <w:shd w:val="clear" w:color="auto" w:fill="auto"/>
          </w:tcPr>
          <w:p>
            <w:pPr>
              <w:spacing w:after="0"/>
              <w:jc w:val="center"/>
              <w:rPr>
                <w:rFonts w:ascii="Calibri" w:hAnsi="Calibri" w:eastAsia="宋体" w:cs="Calibri"/>
                <w:b/>
                <w:bCs/>
                <w:color w:val="000000"/>
                <w:sz w:val="14"/>
                <w:szCs w:val="18"/>
              </w:rPr>
            </w:pPr>
            <w:r>
              <w:rPr>
                <w:rFonts w:ascii="Calibri" w:hAnsi="Calibri" w:eastAsia="宋体" w:cs="Calibri"/>
                <w:b/>
                <w:bCs/>
                <w:color w:val="000000"/>
                <w:sz w:val="14"/>
                <w:szCs w:val="18"/>
              </w:rPr>
              <w:t>4b</w:t>
            </w:r>
          </w:p>
        </w:tc>
        <w:tc>
          <w:tcPr>
            <w:tcW w:w="557"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1</w:t>
            </w:r>
          </w:p>
        </w:tc>
        <w:tc>
          <w:tcPr>
            <w:tcW w:w="411"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483" w:type="dxa"/>
            <w:vMerge w:val="restart"/>
            <w:tcBorders>
              <w:top w:val="nil"/>
              <w:left w:val="nil"/>
              <w:right w:val="single" w:color="auto" w:sz="4" w:space="0"/>
            </w:tcBorders>
            <w:shd w:val="clear" w:color="auto" w:fill="auto"/>
            <w:vAlign w:val="bottom"/>
          </w:tcPr>
          <w:p>
            <w:pPr>
              <w:spacing w:after="0"/>
              <w:jc w:val="center"/>
              <w:rPr>
                <w:rFonts w:ascii="Calibri" w:hAnsi="Calibri" w:eastAsia="Yu Mincho" w:cs="Calibri"/>
                <w:color w:val="000000"/>
                <w:sz w:val="14"/>
                <w:szCs w:val="18"/>
                <w:lang w:eastAsia="ja-JP"/>
              </w:rPr>
            </w:pPr>
            <w:r>
              <w:rPr>
                <w:rFonts w:hint="eastAsia" w:ascii="Calibri" w:hAnsi="Calibri" w:eastAsia="Yu Mincho" w:cs="Calibri"/>
                <w:color w:val="000000"/>
                <w:sz w:val="14"/>
                <w:szCs w:val="18"/>
                <w:lang w:eastAsia="ja-JP"/>
              </w:rPr>
              <w:t>8</w:t>
            </w:r>
          </w:p>
          <w:p>
            <w:pPr>
              <w:spacing w:after="0"/>
              <w:jc w:val="center"/>
              <w:rPr>
                <w:rFonts w:ascii="Calibri" w:hAnsi="Calibri" w:eastAsia="Yu Mincho" w:cs="Calibri"/>
                <w:color w:val="000000"/>
                <w:sz w:val="14"/>
                <w:szCs w:val="18"/>
                <w:lang w:eastAsia="ja-JP"/>
              </w:rPr>
            </w:pPr>
            <w:r>
              <w:rPr>
                <w:rFonts w:ascii="Calibri" w:hAnsi="Calibri" w:eastAsia="Yu Mincho" w:cs="Calibri"/>
                <w:color w:val="000000"/>
                <w:sz w:val="14"/>
                <w:szCs w:val="18"/>
                <w:lang w:eastAsia="ja-JP"/>
              </w:rPr>
              <w:t>total</w:t>
            </w:r>
          </w:p>
        </w:tc>
        <w:tc>
          <w:tcPr>
            <w:tcW w:w="604"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622"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429"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4Rx</w:t>
            </w:r>
          </w:p>
        </w:tc>
        <w:tc>
          <w:tcPr>
            <w:tcW w:w="962" w:type="dxa"/>
            <w:vMerge w:val="restart"/>
            <w:tcBorders>
              <w:top w:val="nil"/>
              <w:left w:val="single" w:color="auto" w:sz="4" w:space="0"/>
              <w:right w:val="single" w:color="auto" w:sz="4" w:space="0"/>
            </w:tcBorders>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No limitation or ≤ X MHz</w:t>
            </w:r>
          </w:p>
        </w:tc>
        <w:tc>
          <w:tcPr>
            <w:tcW w:w="1030" w:type="dxa"/>
            <w:vMerge w:val="restart"/>
            <w:tcBorders>
              <w:top w:val="nil"/>
              <w:left w:val="single" w:color="auto" w:sz="4" w:space="0"/>
              <w:right w:val="single" w:color="auto" w:sz="4" w:space="0"/>
            </w:tcBorders>
          </w:tcPr>
          <w:p>
            <w:pPr>
              <w:spacing w:after="0"/>
              <w:jc w:val="center"/>
              <w:rPr>
                <w:rFonts w:ascii="Calibri" w:hAnsi="Calibri" w:eastAsia="宋体" w:cs="Calibri"/>
                <w:color w:val="000000"/>
                <w:sz w:val="14"/>
                <w:szCs w:val="18"/>
              </w:rPr>
            </w:pPr>
            <w:r>
              <w:rPr>
                <w:rFonts w:hint="eastAsia" w:ascii="Calibri" w:hAnsi="Calibri" w:eastAsia="Yu Mincho" w:cs="Calibri"/>
                <w:color w:val="000000"/>
                <w:sz w:val="14"/>
                <w:szCs w:val="18"/>
                <w:lang w:eastAsia="ja-JP"/>
              </w:rPr>
              <w:t>N</w:t>
            </w:r>
            <w:r>
              <w:rPr>
                <w:rFonts w:ascii="Calibri" w:hAnsi="Calibri" w:eastAsia="Yu Mincho" w:cs="Calibri"/>
                <w:color w:val="000000"/>
                <w:sz w:val="14"/>
                <w:szCs w:val="18"/>
                <w:lang w:eastAsia="ja-JP"/>
              </w:rPr>
              <w:t>RCA,</w:t>
            </w:r>
            <w:r>
              <w:rPr>
                <w:rFonts w:hint="eastAsia" w:ascii="Calibri" w:hAnsi="Calibri" w:eastAsia="Yu Mincho" w:cs="Calibri"/>
                <w:color w:val="000000"/>
                <w:sz w:val="14"/>
                <w:szCs w:val="18"/>
                <w:lang w:eastAsia="ja-JP"/>
              </w:rPr>
              <w:t>E</w:t>
            </w:r>
            <w:r>
              <w:rPr>
                <w:rFonts w:ascii="Calibri" w:hAnsi="Calibri" w:eastAsia="Yu Mincho" w:cs="Calibri"/>
                <w:color w:val="000000"/>
                <w:sz w:val="14"/>
                <w:szCs w:val="18"/>
                <w:lang w:eastAsia="ja-JP"/>
              </w:rPr>
              <w:t>NDC</w:t>
            </w:r>
          </w:p>
        </w:tc>
        <w:tc>
          <w:tcPr>
            <w:tcW w:w="973" w:type="dxa"/>
            <w:vMerge w:val="restart"/>
            <w:tcBorders>
              <w:top w:val="nil"/>
              <w:left w:val="single" w:color="auto" w:sz="4" w:space="0"/>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25dB</w:t>
            </w:r>
            <w:r>
              <w:rPr>
                <w:rFonts w:ascii="Calibri" w:hAnsi="Calibri" w:eastAsia="宋体" w:cs="Calibri"/>
                <w:color w:val="000000"/>
                <w:sz w:val="14"/>
                <w:szCs w:val="18"/>
              </w:rPr>
              <w:br w:type="textWrapping"/>
            </w:r>
            <w:r>
              <w:rPr>
                <w:rFonts w:ascii="Calibri" w:hAnsi="Calibri" w:eastAsia="宋体" w:cs="Calibri"/>
                <w:color w:val="000000"/>
                <w:sz w:val="14"/>
                <w:szCs w:val="18"/>
              </w:rPr>
              <w:t>full range</w:t>
            </w:r>
          </w:p>
        </w:tc>
        <w:tc>
          <w:tcPr>
            <w:tcW w:w="3320" w:type="dxa"/>
            <w:vMerge w:val="restart"/>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eastAsia="宋体" w:cs="Calibri"/>
                <w:color w:val="000000"/>
                <w:sz w:val="14"/>
                <w:szCs w:val="18"/>
              </w:rPr>
            </w:pPr>
            <w:r>
              <w:rPr>
                <w:rFonts w:ascii="Calibri" w:hAnsi="Calibri" w:eastAsia="宋体" w:cs="Calibri"/>
                <w:color w:val="000000"/>
                <w:sz w:val="14"/>
                <w:szCs w:val="18"/>
              </w:rPr>
              <w:t>Requires 8 antennas and LNA =&gt; is it compatible with smartphone? (for which frequency range), FWA only</w:t>
            </w:r>
          </w:p>
        </w:tc>
      </w:tr>
      <w:tr>
        <w:tblPrEx>
          <w:tblCellMar>
            <w:top w:w="0" w:type="dxa"/>
            <w:left w:w="108" w:type="dxa"/>
            <w:bottom w:w="0" w:type="dxa"/>
            <w:right w:w="108" w:type="dxa"/>
          </w:tblCellMar>
        </w:tblPrEx>
        <w:trPr>
          <w:trHeight w:val="70" w:hRule="atLeast"/>
          <w:jc w:val="center"/>
        </w:trPr>
        <w:tc>
          <w:tcPr>
            <w:tcW w:w="498" w:type="dxa"/>
            <w:vMerge w:val="continue"/>
            <w:tcBorders>
              <w:left w:val="single" w:color="auto" w:sz="4" w:space="0"/>
              <w:bottom w:val="single" w:color="auto" w:sz="4" w:space="0"/>
              <w:right w:val="single" w:color="auto" w:sz="4" w:space="0"/>
            </w:tcBorders>
            <w:shd w:val="clear" w:color="auto" w:fill="auto"/>
          </w:tcPr>
          <w:p>
            <w:pPr>
              <w:spacing w:after="0"/>
              <w:rPr>
                <w:rFonts w:ascii="Calibri" w:hAnsi="Calibri" w:eastAsia="宋体" w:cs="Calibri"/>
                <w:color w:val="000000"/>
                <w:sz w:val="14"/>
                <w:szCs w:val="18"/>
              </w:rPr>
            </w:pPr>
          </w:p>
        </w:tc>
        <w:tc>
          <w:tcPr>
            <w:tcW w:w="557"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2</w:t>
            </w:r>
          </w:p>
        </w:tc>
        <w:tc>
          <w:tcPr>
            <w:tcW w:w="411"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483" w:type="dxa"/>
            <w:vMerge w:val="continue"/>
            <w:tcBorders>
              <w:left w:val="nil"/>
              <w:bottom w:val="single" w:color="auto" w:sz="4" w:space="0"/>
              <w:right w:val="single" w:color="auto" w:sz="4" w:space="0"/>
            </w:tcBorders>
            <w:shd w:val="clear" w:color="auto" w:fill="auto"/>
            <w:vAlign w:val="bottom"/>
          </w:tcPr>
          <w:p>
            <w:pPr>
              <w:spacing w:after="0"/>
              <w:jc w:val="center"/>
              <w:rPr>
                <w:rFonts w:ascii="Calibri" w:hAnsi="Calibri" w:eastAsia="宋体" w:cs="Calibri"/>
                <w:color w:val="000000"/>
                <w:sz w:val="14"/>
                <w:szCs w:val="18"/>
              </w:rPr>
            </w:pPr>
          </w:p>
        </w:tc>
        <w:tc>
          <w:tcPr>
            <w:tcW w:w="604"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622"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w:t>
            </w:r>
          </w:p>
        </w:tc>
        <w:tc>
          <w:tcPr>
            <w:tcW w:w="429" w:type="dxa"/>
            <w:tcBorders>
              <w:top w:val="nil"/>
              <w:left w:val="nil"/>
              <w:bottom w:val="single" w:color="auto" w:sz="4" w:space="0"/>
              <w:right w:val="single" w:color="auto" w:sz="4" w:space="0"/>
            </w:tcBorders>
            <w:shd w:val="clear" w:color="auto" w:fill="auto"/>
            <w:noWrap/>
            <w:vAlign w:val="bottom"/>
          </w:tcPr>
          <w:p>
            <w:pPr>
              <w:spacing w:after="0"/>
              <w:jc w:val="center"/>
              <w:rPr>
                <w:rFonts w:ascii="Calibri" w:hAnsi="Calibri" w:eastAsia="宋体" w:cs="Calibri"/>
                <w:color w:val="000000"/>
                <w:sz w:val="14"/>
                <w:szCs w:val="18"/>
              </w:rPr>
            </w:pPr>
            <w:r>
              <w:rPr>
                <w:rFonts w:ascii="Calibri" w:hAnsi="Calibri" w:eastAsia="宋体" w:cs="Calibri"/>
                <w:color w:val="000000"/>
                <w:sz w:val="14"/>
                <w:szCs w:val="18"/>
              </w:rPr>
              <w:t>4Rx</w:t>
            </w:r>
          </w:p>
        </w:tc>
        <w:tc>
          <w:tcPr>
            <w:tcW w:w="962" w:type="dxa"/>
            <w:vMerge w:val="continue"/>
            <w:tcBorders>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c>
          <w:tcPr>
            <w:tcW w:w="1030" w:type="dxa"/>
            <w:vMerge w:val="continue"/>
            <w:tcBorders>
              <w:left w:val="single" w:color="auto" w:sz="4" w:space="0"/>
              <w:bottom w:val="single" w:color="auto" w:sz="4" w:space="0"/>
              <w:right w:val="single" w:color="auto" w:sz="4" w:space="0"/>
            </w:tcBorders>
          </w:tcPr>
          <w:p>
            <w:pPr>
              <w:spacing w:after="0"/>
              <w:jc w:val="center"/>
              <w:rPr>
                <w:rFonts w:ascii="Calibri" w:hAnsi="Calibri" w:eastAsia="宋体" w:cs="Calibri"/>
                <w:color w:val="000000"/>
                <w:sz w:val="14"/>
                <w:szCs w:val="18"/>
              </w:rPr>
            </w:pPr>
          </w:p>
        </w:tc>
        <w:tc>
          <w:tcPr>
            <w:tcW w:w="973" w:type="dxa"/>
            <w:vMerge w:val="continue"/>
            <w:tcBorders>
              <w:top w:val="nil"/>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c>
          <w:tcPr>
            <w:tcW w:w="3320" w:type="dxa"/>
            <w:vMerge w:val="continue"/>
            <w:tcBorders>
              <w:top w:val="nil"/>
              <w:left w:val="single" w:color="auto" w:sz="4" w:space="0"/>
              <w:bottom w:val="single" w:color="auto" w:sz="4" w:space="0"/>
              <w:right w:val="single" w:color="auto" w:sz="4" w:space="0"/>
            </w:tcBorders>
            <w:vAlign w:val="center"/>
          </w:tcPr>
          <w:p>
            <w:pPr>
              <w:spacing w:after="0"/>
              <w:rPr>
                <w:rFonts w:ascii="Calibri" w:hAnsi="Calibri" w:eastAsia="宋体" w:cs="Calibri"/>
                <w:color w:val="000000"/>
                <w:sz w:val="14"/>
                <w:szCs w:val="18"/>
              </w:rPr>
            </w:pPr>
          </w:p>
        </w:tc>
      </w:tr>
      <w:bookmarkEnd w:id="1"/>
    </w:tbl>
    <w:p>
      <w:pPr>
        <w:adjustRightInd w:val="0"/>
        <w:snapToGrid w:val="0"/>
        <w:spacing w:before="180" w:beforeLines="-2147483648"/>
        <w:rPr>
          <w:rFonts w:hint="eastAsia"/>
          <w:bCs/>
          <w:sz w:val="21"/>
          <w:szCs w:val="21"/>
          <w:u w:val="none"/>
          <w:lang w:val="en-US" w:eastAsia="zh-CN"/>
        </w:rPr>
      </w:pPr>
      <w:r>
        <w:rPr>
          <w:rFonts w:hint="eastAsia"/>
          <w:bCs/>
          <w:sz w:val="21"/>
          <w:szCs w:val="21"/>
          <w:u w:val="none"/>
          <w:lang w:val="en-US" w:eastAsia="zh-CN"/>
        </w:rPr>
        <w:t>It can be observed from the table that Type4 UE is assumed to have separate Rx chains for different CCs, similar with Type 2 UE. Different from Type2 UE, Type4 UE is up to 4-layer DL MIMO per CC. Therefore, the main difference between Type2 and Type4 is the supported MIMO layers per CC. In our view, the requirements of Type2 UE can be used as baseline for Type4 UE.</w:t>
      </w:r>
    </w:p>
    <w:p>
      <w:pPr>
        <w:adjustRightInd w:val="0"/>
        <w:snapToGrid w:val="0"/>
        <w:spacing w:before="180" w:beforeLines="-2147483648"/>
        <w:rPr>
          <w:rFonts w:hint="eastAsia" w:ascii="Times New Roman" w:hAnsi="Times New Roman" w:eastAsia="宋体" w:cs="Times New Roman"/>
          <w:bCs/>
          <w:sz w:val="21"/>
          <w:szCs w:val="21"/>
          <w:u w:val="none"/>
          <w:lang w:val="en-US" w:eastAsia="zh-CN"/>
        </w:rPr>
      </w:pPr>
      <w:r>
        <w:rPr>
          <w:rFonts w:hint="eastAsia"/>
          <w:bCs/>
          <w:sz w:val="21"/>
          <w:szCs w:val="21"/>
          <w:u w:val="none"/>
          <w:lang w:val="en-US" w:eastAsia="zh-CN"/>
        </w:rPr>
        <w:t xml:space="preserve">As to the difference between type 4a and type 4b, we can observe from above table that </w:t>
      </w:r>
      <w:r>
        <w:rPr>
          <w:rFonts w:hint="eastAsia" w:ascii="Times New Roman" w:hAnsi="Times New Roman" w:eastAsia="宋体" w:cs="Times New Roman"/>
          <w:bCs/>
          <w:sz w:val="21"/>
          <w:szCs w:val="21"/>
          <w:u w:val="none"/>
          <w:lang w:val="en-US" w:eastAsia="zh-CN"/>
        </w:rPr>
        <w:t>type 4a supports 2 DL MIMO on one CC and 4 DL MIMO on the other CC, while type 4b supports 4 DL MIMO on both CCs. In our understanding, there is no distingush between two sub types from RRM perspective.</w:t>
      </w:r>
    </w:p>
    <w:p>
      <w:pPr>
        <w:adjustRightInd w:val="0"/>
        <w:snapToGrid w:val="0"/>
        <w:spacing w:before="180" w:beforeLines="-2147483648"/>
        <w:rPr>
          <w:rFonts w:hint="eastAsia" w:ascii="Times New Roman" w:hAnsi="Times New Roman" w:eastAsia="宋体" w:cs="Times New Roman"/>
          <w:bCs/>
          <w:sz w:val="21"/>
          <w:szCs w:val="21"/>
          <w:u w:val="none"/>
          <w:lang w:val="en-US" w:eastAsia="zh-CN"/>
        </w:rPr>
      </w:pPr>
      <w:r>
        <w:rPr>
          <w:rFonts w:hint="eastAsia" w:ascii="Times New Roman" w:hAnsi="Times New Roman" w:eastAsia="宋体" w:cs="Times New Roman"/>
          <w:bCs/>
          <w:sz w:val="21"/>
          <w:szCs w:val="21"/>
          <w:u w:val="none"/>
          <w:lang w:val="en-US" w:eastAsia="zh-CN"/>
        </w:rPr>
        <w:t>In the last meeting, we have discussed the related requirements for Type4 UE [3], and reached consensus that the requirements list blew defined for type 2 UE in non-collocated condition in R18 can be applied.</w:t>
      </w:r>
    </w:p>
    <w:p>
      <w:pPr>
        <w:numPr>
          <w:ilvl w:val="0"/>
          <w:numId w:val="6"/>
        </w:numPr>
        <w:spacing w:before="157" w:beforeLines="50"/>
        <w:ind w:left="840" w:hanging="420"/>
        <w:rPr>
          <w:b w:val="0"/>
          <w:bCs/>
          <w:szCs w:val="24"/>
          <w:u w:val="none"/>
          <w:lang w:eastAsia="zh-CN"/>
        </w:rPr>
      </w:pPr>
      <w:r>
        <w:rPr>
          <w:b w:val="0"/>
          <w:bCs/>
          <w:szCs w:val="24"/>
          <w:u w:val="none"/>
          <w:lang w:eastAsia="zh-CN"/>
        </w:rPr>
        <w:t xml:space="preserve">MRTD and MTTD for Type 4 capable UE in </w:t>
      </w:r>
      <w:r>
        <w:rPr>
          <w:b w:val="0"/>
          <w:bCs/>
          <w:szCs w:val="24"/>
          <w:highlight w:val="yellow"/>
          <w:u w:val="none"/>
          <w:lang w:eastAsia="zh-CN"/>
        </w:rPr>
        <w:t>non-collocated</w:t>
      </w:r>
      <w:r>
        <w:rPr>
          <w:b w:val="0"/>
          <w:bCs/>
          <w:szCs w:val="24"/>
          <w:u w:val="none"/>
          <w:lang w:eastAsia="zh-CN"/>
        </w:rPr>
        <w:t xml:space="preserve"> scenario</w:t>
      </w:r>
    </w:p>
    <w:p>
      <w:pPr>
        <w:numPr>
          <w:ilvl w:val="0"/>
          <w:numId w:val="6"/>
        </w:numPr>
        <w:spacing w:before="0" w:beforeLines="0"/>
        <w:ind w:left="840" w:hanging="420"/>
        <w:rPr>
          <w:b w:val="0"/>
          <w:bCs/>
          <w:szCs w:val="24"/>
          <w:u w:val="none"/>
          <w:lang w:eastAsia="zh-CN"/>
        </w:rPr>
      </w:pPr>
      <w:r>
        <w:rPr>
          <w:b w:val="0"/>
          <w:bCs/>
          <w:szCs w:val="24"/>
          <w:u w:val="none"/>
          <w:lang w:eastAsia="zh-CN"/>
        </w:rPr>
        <w:t xml:space="preserve">MRTD and MTTD for Type 4 capable UE in </w:t>
      </w:r>
      <w:r>
        <w:rPr>
          <w:b w:val="0"/>
          <w:bCs/>
          <w:szCs w:val="24"/>
          <w:highlight w:val="yellow"/>
          <w:u w:val="none"/>
          <w:lang w:eastAsia="zh-CN"/>
        </w:rPr>
        <w:t>collocated</w:t>
      </w:r>
      <w:r>
        <w:rPr>
          <w:b w:val="0"/>
          <w:bCs/>
          <w:szCs w:val="24"/>
          <w:u w:val="none"/>
          <w:lang w:eastAsia="zh-CN"/>
        </w:rPr>
        <w:t xml:space="preserve"> scenario</w:t>
      </w:r>
    </w:p>
    <w:p>
      <w:pPr>
        <w:numPr>
          <w:ilvl w:val="0"/>
          <w:numId w:val="6"/>
        </w:numPr>
        <w:spacing w:before="0" w:beforeLines="0"/>
        <w:ind w:left="840" w:hanging="420"/>
        <w:rPr>
          <w:b w:val="0"/>
          <w:bCs/>
          <w:szCs w:val="24"/>
          <w:u w:val="none"/>
          <w:lang w:eastAsia="zh-CN"/>
        </w:rPr>
      </w:pPr>
      <w:r>
        <w:rPr>
          <w:b w:val="0"/>
          <w:bCs/>
          <w:szCs w:val="24"/>
          <w:u w:val="none"/>
          <w:lang w:eastAsia="zh-CN"/>
        </w:rPr>
        <w:t>Interruption requirements for Type 4 capable UE when UE operates with separate RF chain in non-collocated scenario</w:t>
      </w:r>
    </w:p>
    <w:p>
      <w:pPr>
        <w:numPr>
          <w:ilvl w:val="0"/>
          <w:numId w:val="6"/>
        </w:numPr>
        <w:spacing w:before="0" w:beforeLines="0"/>
        <w:ind w:left="840" w:hanging="420"/>
        <w:rPr>
          <w:b w:val="0"/>
          <w:bCs/>
          <w:szCs w:val="24"/>
          <w:u w:val="none"/>
          <w:lang w:eastAsia="zh-CN"/>
        </w:rPr>
      </w:pPr>
      <w:r>
        <w:rPr>
          <w:b w:val="0"/>
          <w:bCs/>
          <w:szCs w:val="24"/>
          <w:u w:val="none"/>
          <w:lang w:eastAsia="zh-CN"/>
        </w:rPr>
        <w:t>SCell activation delay requirements for Type 4 capable UE when UE operates with separate RF chain in non-collocated condition</w:t>
      </w:r>
    </w:p>
    <w:p>
      <w:pPr>
        <w:numPr>
          <w:ilvl w:val="0"/>
          <w:numId w:val="6"/>
        </w:numPr>
        <w:spacing w:before="0" w:beforeLines="0"/>
        <w:ind w:left="840" w:hanging="420"/>
        <w:rPr>
          <w:b w:val="0"/>
          <w:bCs/>
          <w:szCs w:val="24"/>
          <w:u w:val="none"/>
          <w:lang w:eastAsia="zh-CN"/>
        </w:rPr>
      </w:pPr>
      <w:r>
        <w:rPr>
          <w:b w:val="0"/>
          <w:bCs/>
          <w:szCs w:val="24"/>
          <w:u w:val="none"/>
          <w:lang w:eastAsia="zh-CN"/>
        </w:rPr>
        <w:t>Scheduling availability for Type 4 capable UE when UE operates with separate RF chain in non-collocated condition</w:t>
      </w:r>
    </w:p>
    <w:p>
      <w:pPr>
        <w:adjustRightInd w:val="0"/>
        <w:snapToGrid w:val="0"/>
        <w:spacing w:before="180" w:beforeLines="-2147483648"/>
        <w:rPr>
          <w:rFonts w:hint="eastAsia"/>
          <w:b w:val="0"/>
          <w:bCs/>
          <w:szCs w:val="21"/>
          <w:u w:val="none"/>
          <w:lang w:val="en-US" w:eastAsia="zh-CN"/>
        </w:rPr>
      </w:pPr>
      <w:r>
        <w:rPr>
          <w:rFonts w:hint="eastAsia"/>
          <w:b w:val="0"/>
          <w:bCs/>
          <w:szCs w:val="21"/>
          <w:u w:val="none"/>
          <w:lang w:val="en-US" w:eastAsia="zh-CN"/>
        </w:rPr>
        <w:t>Besides, there are some issues need further discussion. According to WF[], at least the following issues need to be resolved.</w:t>
      </w:r>
    </w:p>
    <w:p>
      <w:pPr>
        <w:numPr>
          <w:ilvl w:val="0"/>
          <w:numId w:val="6"/>
        </w:numPr>
        <w:spacing w:before="157" w:beforeLines="50"/>
        <w:ind w:left="840" w:hanging="420"/>
        <w:rPr>
          <w:b w:val="0"/>
          <w:bCs/>
          <w:szCs w:val="24"/>
          <w:u w:val="none"/>
          <w:lang w:eastAsia="zh-CN"/>
        </w:rPr>
      </w:pPr>
      <w:r>
        <w:rPr>
          <w:b w:val="0"/>
          <w:bCs/>
          <w:szCs w:val="24"/>
          <w:u w:val="none"/>
          <w:lang w:eastAsia="zh-CN"/>
        </w:rPr>
        <w:t>Whether to introduce MRTD/MTTD requirements for non-collocated FR1 intra-band asynchronous NR-CA for Type 4 UE in Rel-19</w:t>
      </w:r>
    </w:p>
    <w:p>
      <w:pPr>
        <w:numPr>
          <w:ilvl w:val="0"/>
          <w:numId w:val="6"/>
        </w:numPr>
        <w:spacing w:before="0" w:beforeLines="0"/>
        <w:ind w:left="840" w:hanging="420"/>
        <w:rPr>
          <w:b w:val="0"/>
          <w:bCs/>
          <w:szCs w:val="24"/>
          <w:u w:val="none"/>
          <w:lang w:eastAsia="zh-CN"/>
        </w:rPr>
      </w:pPr>
      <w:r>
        <w:rPr>
          <w:b w:val="0"/>
          <w:bCs/>
          <w:szCs w:val="24"/>
          <w:u w:val="none"/>
          <w:lang w:eastAsia="zh-CN"/>
        </w:rPr>
        <w:t>Interruption requirements for Type 4 capable UE</w:t>
      </w:r>
      <w:r>
        <w:rPr>
          <w:rFonts w:hint="eastAsia"/>
          <w:b w:val="0"/>
          <w:bCs/>
          <w:szCs w:val="24"/>
          <w:u w:val="none"/>
          <w:lang w:eastAsia="zh-CN"/>
        </w:rPr>
        <w:t xml:space="preserve"> </w:t>
      </w:r>
      <w:r>
        <w:rPr>
          <w:b w:val="0"/>
          <w:bCs/>
          <w:szCs w:val="24"/>
          <w:u w:val="none"/>
          <w:lang w:eastAsia="zh-CN"/>
        </w:rPr>
        <w:t>when UE operates with shared RF chains in collocated scenario</w:t>
      </w:r>
    </w:p>
    <w:p>
      <w:pPr>
        <w:numPr>
          <w:ilvl w:val="0"/>
          <w:numId w:val="6"/>
        </w:numPr>
        <w:spacing w:before="0" w:beforeLines="0"/>
        <w:ind w:left="840" w:hanging="420"/>
        <w:rPr>
          <w:b w:val="0"/>
          <w:bCs/>
          <w:szCs w:val="24"/>
          <w:u w:val="none"/>
          <w:lang w:eastAsia="zh-CN"/>
        </w:rPr>
      </w:pPr>
      <w:r>
        <w:rPr>
          <w:b w:val="0"/>
          <w:bCs/>
          <w:szCs w:val="24"/>
          <w:u w:val="none"/>
          <w:lang w:eastAsia="zh-CN"/>
        </w:rPr>
        <w:t>SCell activation delay requirements for Type 4 capable UE when UE operates with shared RF chains in collocated condition</w:t>
      </w:r>
    </w:p>
    <w:p>
      <w:pPr>
        <w:numPr>
          <w:ilvl w:val="0"/>
          <w:numId w:val="6"/>
        </w:numPr>
        <w:spacing w:before="0" w:beforeLines="0"/>
        <w:ind w:left="840" w:hanging="420"/>
        <w:rPr>
          <w:b w:val="0"/>
          <w:bCs/>
          <w:szCs w:val="24"/>
          <w:u w:val="none"/>
          <w:lang w:eastAsia="zh-CN"/>
        </w:rPr>
      </w:pPr>
      <w:r>
        <w:rPr>
          <w:b w:val="0"/>
          <w:bCs/>
          <w:szCs w:val="24"/>
          <w:u w:val="none"/>
          <w:lang w:eastAsia="zh-CN"/>
        </w:rPr>
        <w:t>Scheduling availability for Type 4 capable UE when UE operates with shared RF chain in collocated condition</w:t>
      </w:r>
    </w:p>
    <w:p>
      <w:pPr>
        <w:numPr>
          <w:ilvl w:val="0"/>
          <w:numId w:val="6"/>
        </w:numPr>
        <w:spacing w:before="0" w:beforeLines="0"/>
        <w:ind w:left="840" w:hanging="420"/>
        <w:rPr>
          <w:rFonts w:hint="default"/>
          <w:b w:val="0"/>
          <w:bCs/>
          <w:szCs w:val="24"/>
          <w:u w:val="none"/>
          <w:lang w:val="en-US" w:eastAsia="zh-CN"/>
        </w:rPr>
      </w:pPr>
      <w:r>
        <w:rPr>
          <w:b w:val="0"/>
          <w:bCs/>
          <w:szCs w:val="24"/>
          <w:u w:val="none"/>
          <w:lang w:eastAsia="zh-CN"/>
        </w:rPr>
        <w:t>SCell BFD/CBD requirements for Type 4 capable UE</w:t>
      </w:r>
    </w:p>
    <w:p>
      <w:pPr>
        <w:pStyle w:val="3"/>
        <w:numPr>
          <w:ilvl w:val="1"/>
          <w:numId w:val="1"/>
        </w:numPr>
        <w:ind w:left="720" w:hanging="720"/>
        <w:rPr>
          <w:rFonts w:hint="eastAsia"/>
          <w:szCs w:val="22"/>
          <w:lang w:val="en-US" w:eastAsia="zh-CN"/>
        </w:rPr>
      </w:pPr>
      <w:r>
        <w:rPr>
          <w:rFonts w:hint="eastAsia"/>
          <w:szCs w:val="22"/>
          <w:lang w:val="en-US" w:eastAsia="zh-CN"/>
        </w:rPr>
        <w:t>MRTD/MTTD requirements</w:t>
      </w:r>
    </w:p>
    <w:p>
      <w:pPr>
        <w:numPr>
          <w:ilvl w:val="0"/>
          <w:numId w:val="6"/>
        </w:numPr>
        <w:spacing w:before="157" w:beforeLines="50"/>
        <w:ind w:left="840" w:hanging="420"/>
        <w:rPr>
          <w:rFonts w:hint="eastAsia"/>
          <w:lang w:val="en-US" w:eastAsia="zh-CN"/>
        </w:rPr>
      </w:pPr>
      <w:r>
        <w:rPr>
          <w:b w:val="0"/>
          <w:bCs/>
          <w:szCs w:val="24"/>
          <w:u w:val="none"/>
          <w:lang w:eastAsia="zh-CN"/>
        </w:rPr>
        <w:t>Whether to introduce MRTD/MTTD requirements for non-collocated FR1 intra-band asynchronous NR-CA for Type 4 UE in Rel-19</w:t>
      </w:r>
    </w:p>
    <w:p>
      <w:pPr>
        <w:adjustRightInd w:val="0"/>
        <w:snapToGrid w:val="0"/>
        <w:spacing w:before="180"/>
        <w:rPr>
          <w:rFonts w:hint="eastAsia"/>
          <w:bCs/>
          <w:szCs w:val="21"/>
          <w:u w:val="none"/>
          <w:lang w:val="en-US" w:eastAsia="zh-CN"/>
        </w:rPr>
      </w:pPr>
      <w:r>
        <w:rPr>
          <w:rFonts w:hint="eastAsia"/>
          <w:bCs/>
          <w:szCs w:val="21"/>
          <w:u w:val="none"/>
          <w:lang w:val="en-US" w:eastAsia="zh-CN"/>
        </w:rPr>
        <w:t>In the last meeting, MRTD/MTTD requirements defined for Type 4 capable UE in non-collocated condition and  collocated condition (depend on RF progress), which are same as Type 2 UE due to the similar RF structure. Meanwhile, some company proposed whether to introduce MRTD/MTTD requirements for non-collocated FR1 intra-band asynchronous NR-CA for Type 4 UE in Rel-19. In Rel 18, the requirements for non-collocated FR1 intra-band asynchronous NR-CA and non-collocated FR1 inter-band asynchronous EN-DC with overlapping DL bands for TDD-TDD band combinations for Type 2 UE was not defined.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rPr>
                <w:rFonts w:hint="default"/>
                <w:lang w:val="en-US" w:eastAsia="zh-CN"/>
              </w:rPr>
            </w:pPr>
            <w:r>
              <w:rPr>
                <w:rFonts w:hint="eastAsia"/>
                <w:lang w:val="en-US" w:eastAsia="zh-CN"/>
              </w:rPr>
              <w:t>RAN4#106</w:t>
            </w:r>
          </w:p>
          <w:p>
            <w:pPr>
              <w:rPr>
                <w:b/>
                <w:color w:val="000000" w:themeColor="text1"/>
                <w:u w:val="single"/>
                <w14:textFill>
                  <w14:solidFill>
                    <w14:schemeClr w14:val="tx1"/>
                  </w14:solidFill>
                </w14:textFill>
              </w:rPr>
            </w:pPr>
            <w:r>
              <w:rPr>
                <w:b/>
                <w:color w:val="000000" w:themeColor="text1"/>
                <w:u w:val="single"/>
                <w14:textFill>
                  <w14:solidFill>
                    <w14:schemeClr w14:val="tx1"/>
                  </w14:solidFill>
                </w14:textFill>
              </w:rPr>
              <w:t>Issue 1-1-4: MRTD/MTTD requirements for FR1 inter-band asynchronous EN-DC with overlapping DL band for Type-2 UE</w:t>
            </w:r>
          </w:p>
          <w:p>
            <w:pPr>
              <w:pStyle w:val="33"/>
              <w:numPr>
                <w:ilvl w:val="1"/>
                <w:numId w:val="7"/>
              </w:numPr>
              <w:overflowPunct w:val="0"/>
              <w:autoSpaceDE w:val="0"/>
              <w:autoSpaceDN w:val="0"/>
              <w:adjustRightInd w:val="0"/>
              <w:spacing w:line="252" w:lineRule="auto"/>
              <w:rPr>
                <w:highlight w:val="green"/>
                <w:lang w:eastAsia="ja-JP"/>
              </w:rPr>
            </w:pPr>
            <w:r>
              <w:rPr>
                <w:highlight w:val="green"/>
                <w:lang w:eastAsia="ja-JP"/>
              </w:rPr>
              <w:t xml:space="preserve">Do not </w:t>
            </w:r>
            <w:r>
              <w:rPr>
                <w:highlight w:val="green"/>
              </w:rPr>
              <w:t>consider MRTD/MTTD requirements for non-collocated FR1 inter-band asynchronous EN-DC with overlapping DL bands for TDD-TDD band combinations in the scope of this work item</w:t>
            </w:r>
          </w:p>
          <w:p>
            <w:pPr>
              <w:rPr>
                <w:b/>
                <w:color w:val="000000" w:themeColor="text1"/>
                <w:u w:val="single"/>
                <w14:textFill>
                  <w14:solidFill>
                    <w14:schemeClr w14:val="tx1"/>
                  </w14:solidFill>
                </w14:textFill>
              </w:rPr>
            </w:pPr>
            <w:r>
              <w:rPr>
                <w:b/>
                <w:color w:val="000000" w:themeColor="text1"/>
                <w:u w:val="single"/>
                <w14:textFill>
                  <w14:solidFill>
                    <w14:schemeClr w14:val="tx1"/>
                  </w14:solidFill>
                </w14:textFill>
              </w:rPr>
              <w:t>Issue 1-1-5: MRTD/MTTD requirements for non-collocated FR1 intra-band asynchronous NR-CA for Type 2 UE</w:t>
            </w:r>
          </w:p>
          <w:p>
            <w:pPr>
              <w:pStyle w:val="33"/>
              <w:numPr>
                <w:ilvl w:val="1"/>
                <w:numId w:val="8"/>
              </w:numPr>
              <w:overflowPunct w:val="0"/>
              <w:autoSpaceDE w:val="0"/>
              <w:autoSpaceDN w:val="0"/>
              <w:adjustRightInd w:val="0"/>
              <w:spacing w:line="252" w:lineRule="auto"/>
              <w:rPr>
                <w:highlight w:val="green"/>
                <w:lang w:eastAsia="ja-JP"/>
              </w:rPr>
            </w:pPr>
            <w:r>
              <w:rPr>
                <w:highlight w:val="green"/>
                <w:lang w:eastAsia="ja-JP"/>
              </w:rPr>
              <w:t xml:space="preserve">Do not introduce </w:t>
            </w:r>
            <w:r>
              <w:rPr>
                <w:color w:val="000000" w:themeColor="text1"/>
                <w:highlight w:val="green"/>
                <w:lang w:eastAsia="ko-KR"/>
                <w14:textFill>
                  <w14:solidFill>
                    <w14:schemeClr w14:val="tx1"/>
                  </w14:solidFill>
                </w14:textFill>
              </w:rPr>
              <w:t>MRTD/MTTD requirements for non-collocated FR1 intra-band asynchronous NR-CA for Type 2 UE</w:t>
            </w:r>
          </w:p>
          <w:p>
            <w:pPr>
              <w:pStyle w:val="33"/>
              <w:numPr>
                <w:ilvl w:val="-1"/>
                <w:numId w:val="0"/>
              </w:numPr>
              <w:ind w:left="0" w:leftChars="0" w:firstLine="0" w:firstLineChars="0"/>
              <w:rPr>
                <w:lang w:val="en-US"/>
              </w:rPr>
            </w:pPr>
          </w:p>
        </w:tc>
      </w:tr>
    </w:tbl>
    <w:p>
      <w:pPr>
        <w:adjustRightInd w:val="0"/>
        <w:snapToGrid w:val="0"/>
        <w:spacing w:before="180"/>
        <w:rPr>
          <w:rFonts w:hint="eastAsia" w:ascii="Times New Roman" w:hAnsi="Times New Roman" w:cs="Times New Roman"/>
          <w:bCs/>
          <w:szCs w:val="21"/>
          <w:u w:val="none"/>
          <w:lang w:val="en-US" w:eastAsia="zh-CN"/>
        </w:rPr>
      </w:pPr>
      <w:r>
        <w:rPr>
          <w:rFonts w:hint="eastAsia" w:ascii="Times New Roman" w:hAnsi="Times New Roman" w:cs="Times New Roman"/>
          <w:bCs/>
          <w:szCs w:val="21"/>
          <w:u w:val="none"/>
        </w:rPr>
        <w:t>Since it was agreed in RRM that not to introduce MRTD/MTTD requirements for non-collocated intra-band asynchronous NR-CA Type 2 UE in Rel-18</w:t>
      </w:r>
      <w:r>
        <w:rPr>
          <w:rFonts w:hint="eastAsia" w:ascii="Times New Roman" w:hAnsi="Times New Roman" w:cs="Times New Roman"/>
          <w:bCs/>
          <w:szCs w:val="21"/>
          <w:u w:val="none"/>
          <w:lang w:val="en-US" w:eastAsia="zh-CN"/>
        </w:rPr>
        <w:t>, we think Type 4 UE can use the same method to handle this scenario.</w:t>
      </w:r>
    </w:p>
    <w:p>
      <w:pPr>
        <w:tabs>
          <w:tab w:val="left" w:pos="415"/>
        </w:tabs>
        <w:spacing w:before="157" w:beforeLines="50"/>
        <w:rPr>
          <w:rFonts w:hint="eastAsia"/>
          <w:b/>
          <w:bCs/>
          <w:highlight w:val="none"/>
          <w:lang w:val="en-US" w:eastAsia="zh-CN"/>
        </w:rPr>
      </w:pPr>
      <w:r>
        <w:rPr>
          <w:rFonts w:hint="eastAsia"/>
          <w:b/>
          <w:bCs/>
          <w:highlight w:val="none"/>
          <w:lang w:val="en-US" w:eastAsia="zh-CN"/>
        </w:rPr>
        <w:t>Proposal 1: Similar as Type 2 UE, for Type 4 UE</w:t>
      </w:r>
    </w:p>
    <w:p>
      <w:pPr>
        <w:pStyle w:val="33"/>
        <w:numPr>
          <w:ilvl w:val="1"/>
          <w:numId w:val="7"/>
        </w:numPr>
        <w:overflowPunct w:val="0"/>
        <w:autoSpaceDE w:val="0"/>
        <w:autoSpaceDN w:val="0"/>
        <w:adjustRightInd w:val="0"/>
        <w:spacing w:line="252" w:lineRule="auto"/>
        <w:rPr>
          <w:b/>
          <w:bCs/>
          <w:highlight w:val="none"/>
          <w:lang w:eastAsia="ja-JP"/>
        </w:rPr>
      </w:pPr>
      <w:r>
        <w:rPr>
          <w:b/>
          <w:bCs/>
          <w:highlight w:val="none"/>
          <w:lang w:eastAsia="ja-JP"/>
        </w:rPr>
        <w:t xml:space="preserve">Do not </w:t>
      </w:r>
      <w:r>
        <w:rPr>
          <w:b/>
          <w:bCs/>
          <w:highlight w:val="none"/>
        </w:rPr>
        <w:t>consider MRTD/MTTD requirements for non-collocated FR1 inter-band asynchronous EN-DC with overlapping DL bands for TDD-TDD band combinations in the scope of this work item</w:t>
      </w:r>
    </w:p>
    <w:p>
      <w:pPr>
        <w:pStyle w:val="33"/>
        <w:numPr>
          <w:ilvl w:val="1"/>
          <w:numId w:val="8"/>
        </w:numPr>
        <w:overflowPunct w:val="0"/>
        <w:autoSpaceDE w:val="0"/>
        <w:autoSpaceDN w:val="0"/>
        <w:adjustRightInd w:val="0"/>
        <w:spacing w:line="252" w:lineRule="auto"/>
        <w:rPr>
          <w:rFonts w:hint="eastAsia"/>
          <w:b/>
          <w:bCs/>
          <w:highlight w:val="none"/>
          <w:lang w:val="en-US" w:eastAsia="zh-CN"/>
        </w:rPr>
      </w:pPr>
      <w:r>
        <w:rPr>
          <w:b/>
          <w:bCs/>
          <w:highlight w:val="none"/>
          <w:lang w:eastAsia="ja-JP"/>
        </w:rPr>
        <w:t xml:space="preserve">Do not introduce </w:t>
      </w:r>
      <w:r>
        <w:rPr>
          <w:b/>
          <w:bCs/>
          <w:color w:val="000000" w:themeColor="text1"/>
          <w:highlight w:val="none"/>
          <w:lang w:eastAsia="ko-KR"/>
          <w14:textFill>
            <w14:solidFill>
              <w14:schemeClr w14:val="tx1"/>
            </w14:solidFill>
          </w14:textFill>
        </w:rPr>
        <w:t xml:space="preserve">MRTD/MTTD requirements for non-collocated FR1 intra-band asynchronous NR-CA for Type </w:t>
      </w:r>
      <w:r>
        <w:rPr>
          <w:rFonts w:hint="eastAsia"/>
          <w:b/>
          <w:bCs/>
          <w:color w:val="000000" w:themeColor="text1"/>
          <w:highlight w:val="none"/>
          <w:lang w:val="en-US" w:eastAsia="zh-CN"/>
          <w14:textFill>
            <w14:solidFill>
              <w14:schemeClr w14:val="tx1"/>
            </w14:solidFill>
          </w14:textFill>
        </w:rPr>
        <w:t>4</w:t>
      </w:r>
      <w:r>
        <w:rPr>
          <w:b/>
          <w:bCs/>
          <w:color w:val="000000" w:themeColor="text1"/>
          <w:highlight w:val="none"/>
          <w:lang w:eastAsia="ko-KR"/>
          <w14:textFill>
            <w14:solidFill>
              <w14:schemeClr w14:val="tx1"/>
            </w14:solidFill>
          </w14:textFill>
        </w:rPr>
        <w:t xml:space="preserve"> UE</w:t>
      </w:r>
    </w:p>
    <w:p>
      <w:pPr>
        <w:pStyle w:val="3"/>
        <w:ind w:left="0" w:firstLine="0"/>
        <w:rPr>
          <w:rFonts w:hint="eastAsia" w:eastAsiaTheme="minorEastAsia"/>
          <w:b w:val="0"/>
          <w:bCs/>
          <w:i w:val="0"/>
          <w:iCs/>
          <w:lang w:val="en-US" w:eastAsia="zh-CN"/>
        </w:rPr>
      </w:pPr>
      <w:r>
        <w:rPr>
          <w:rFonts w:hint="eastAsia" w:eastAsiaTheme="minorEastAsia"/>
          <w:b w:val="0"/>
          <w:bCs/>
          <w:i w:val="0"/>
          <w:iCs/>
          <w:lang w:val="en-US" w:eastAsia="zh-CN"/>
        </w:rPr>
        <w:t>2.2 SCell operation related delay and interruption</w:t>
      </w:r>
    </w:p>
    <w:p>
      <w:pPr>
        <w:numPr>
          <w:ilvl w:val="0"/>
          <w:numId w:val="6"/>
        </w:numPr>
        <w:spacing w:before="157" w:beforeLines="50"/>
        <w:ind w:left="840" w:hanging="420"/>
        <w:rPr>
          <w:b w:val="0"/>
          <w:bCs/>
          <w:szCs w:val="24"/>
          <w:u w:val="none"/>
          <w:lang w:eastAsia="zh-CN"/>
        </w:rPr>
      </w:pPr>
      <w:r>
        <w:rPr>
          <w:b w:val="0"/>
          <w:bCs/>
          <w:szCs w:val="24"/>
          <w:u w:val="none"/>
          <w:lang w:eastAsia="zh-CN"/>
        </w:rPr>
        <w:t>Interruption requirements for Type 4 capable UE</w:t>
      </w:r>
      <w:r>
        <w:rPr>
          <w:rFonts w:hint="eastAsia"/>
          <w:b w:val="0"/>
          <w:bCs/>
          <w:szCs w:val="24"/>
          <w:u w:val="none"/>
          <w:lang w:eastAsia="zh-CN"/>
        </w:rPr>
        <w:t xml:space="preserve"> </w:t>
      </w:r>
      <w:r>
        <w:rPr>
          <w:b w:val="0"/>
          <w:bCs/>
          <w:szCs w:val="24"/>
          <w:u w:val="none"/>
          <w:lang w:eastAsia="zh-CN"/>
        </w:rPr>
        <w:t>when UE operates with shared RF chains in collocated scenario</w:t>
      </w:r>
    </w:p>
    <w:p>
      <w:pPr>
        <w:numPr>
          <w:ilvl w:val="0"/>
          <w:numId w:val="6"/>
        </w:numPr>
        <w:spacing w:before="157" w:beforeLines="50"/>
        <w:ind w:left="840" w:hanging="420"/>
        <w:rPr>
          <w:b w:val="0"/>
          <w:bCs/>
          <w:szCs w:val="24"/>
          <w:u w:val="none"/>
          <w:lang w:eastAsia="zh-CN"/>
        </w:rPr>
      </w:pPr>
      <w:r>
        <w:rPr>
          <w:b w:val="0"/>
          <w:bCs/>
          <w:szCs w:val="24"/>
          <w:u w:val="none"/>
          <w:lang w:eastAsia="zh-CN"/>
        </w:rPr>
        <w:t>SCell activation delay requirements for Type 4 capable UE when UE operates with shared RF chains in collocated condition</w:t>
      </w:r>
    </w:p>
    <w:p>
      <w:pPr>
        <w:numPr>
          <w:ilvl w:val="0"/>
          <w:numId w:val="6"/>
        </w:numPr>
        <w:spacing w:before="157" w:beforeLines="50"/>
        <w:ind w:left="840" w:hanging="420"/>
        <w:rPr>
          <w:rFonts w:hint="eastAsia"/>
          <w:lang w:val="en-US" w:eastAsia="zh-CN"/>
        </w:rPr>
      </w:pPr>
      <w:r>
        <w:rPr>
          <w:b w:val="0"/>
          <w:bCs/>
          <w:szCs w:val="24"/>
          <w:u w:val="none"/>
          <w:lang w:eastAsia="zh-CN"/>
        </w:rPr>
        <w:t>Scheduling availability for Type 4 capable UE when UE operates with shared RF chain in collocated condition</w:t>
      </w:r>
    </w:p>
    <w:p>
      <w:pPr>
        <w:widowControl w:val="0"/>
        <w:adjustRightInd w:val="0"/>
        <w:snapToGrid w:val="0"/>
        <w:spacing w:before="180"/>
        <w:rPr>
          <w:rFonts w:hint="default" w:eastAsia="宋体"/>
          <w:sz w:val="21"/>
          <w:szCs w:val="21"/>
          <w:lang w:val="en-US" w:eastAsia="zh-CN"/>
        </w:rPr>
      </w:pPr>
      <w:r>
        <w:rPr>
          <w:rFonts w:hint="eastAsia"/>
          <w:sz w:val="21"/>
          <w:szCs w:val="21"/>
          <w:lang w:val="en-US" w:eastAsia="zh-CN"/>
        </w:rPr>
        <w:t xml:space="preserve">In this part, we should discuss the requirements about </w:t>
      </w:r>
      <w:r>
        <w:rPr>
          <w:b w:val="0"/>
          <w:bCs/>
          <w:szCs w:val="21"/>
          <w:u w:val="none"/>
          <w:lang w:eastAsia="zh-CN"/>
        </w:rPr>
        <w:t>Interruption</w:t>
      </w:r>
      <w:r>
        <w:rPr>
          <w:rFonts w:hint="eastAsia"/>
          <w:b w:val="0"/>
          <w:bCs/>
          <w:szCs w:val="21"/>
          <w:u w:val="none"/>
          <w:lang w:val="en-US" w:eastAsia="zh-CN"/>
        </w:rPr>
        <w:t xml:space="preserve">, </w:t>
      </w:r>
      <w:r>
        <w:rPr>
          <w:b w:val="0"/>
          <w:bCs/>
          <w:szCs w:val="21"/>
          <w:u w:val="none"/>
          <w:lang w:eastAsia="zh-CN"/>
        </w:rPr>
        <w:t>SCell activation delay</w:t>
      </w:r>
      <w:r>
        <w:rPr>
          <w:rFonts w:hint="eastAsia"/>
          <w:b w:val="0"/>
          <w:bCs/>
          <w:szCs w:val="21"/>
          <w:u w:val="none"/>
          <w:lang w:val="en-US" w:eastAsia="zh-CN"/>
        </w:rPr>
        <w:t xml:space="preserve"> and s</w:t>
      </w:r>
      <w:r>
        <w:rPr>
          <w:b w:val="0"/>
          <w:bCs/>
          <w:szCs w:val="21"/>
          <w:u w:val="none"/>
          <w:lang w:eastAsia="zh-CN"/>
        </w:rPr>
        <w:t>cheduling availability</w:t>
      </w:r>
      <w:r>
        <w:rPr>
          <w:rFonts w:hint="eastAsia"/>
          <w:b w:val="0"/>
          <w:bCs/>
          <w:szCs w:val="21"/>
          <w:u w:val="none"/>
          <w:lang w:val="en-US" w:eastAsia="zh-CN"/>
        </w:rPr>
        <w:t xml:space="preserve"> for Type 4 UE. In the last meeting, we have discussed the requirements for Type 4 capable UE when UE operates with separate RF chain in non-collocated scenario and </w:t>
      </w:r>
      <w:r>
        <w:rPr>
          <w:rFonts w:hint="eastAsia"/>
          <w:sz w:val="21"/>
          <w:szCs w:val="21"/>
          <w:lang w:val="en-US" w:eastAsia="zh-CN"/>
        </w:rPr>
        <w:t>reached consensus to reuse the SCell activation delay defined for type 2 UE in non-collocated condition in R18</w:t>
      </w:r>
      <w:r>
        <w:rPr>
          <w:rFonts w:hint="eastAsia"/>
          <w:b w:val="0"/>
          <w:bCs/>
          <w:szCs w:val="21"/>
          <w:u w:val="none"/>
          <w:lang w:val="en-US" w:eastAsia="zh-CN"/>
        </w:rPr>
        <w:t>.</w:t>
      </w:r>
    </w:p>
    <w:p>
      <w:pPr>
        <w:widowControl w:val="0"/>
        <w:adjustRightInd w:val="0"/>
        <w:snapToGrid w:val="0"/>
        <w:spacing w:before="180" w:beforeLines="-2147483648"/>
        <w:rPr>
          <w:rFonts w:eastAsia="宋体"/>
          <w:sz w:val="21"/>
          <w:szCs w:val="21"/>
          <w:lang w:eastAsia="zh-CN"/>
        </w:rPr>
      </w:pPr>
      <w:r>
        <w:rPr>
          <w:rFonts w:hint="default"/>
          <w:sz w:val="21"/>
          <w:szCs w:val="21"/>
          <w:lang w:val="en-US" w:eastAsia="zh-CN"/>
        </w:rPr>
        <w:t xml:space="preserve">As to interruptions requirements, </w:t>
      </w:r>
      <w:r>
        <w:rPr>
          <w:rFonts w:eastAsia="宋体"/>
          <w:sz w:val="21"/>
          <w:szCs w:val="21"/>
          <w:lang w:eastAsia="zh-CN"/>
        </w:rPr>
        <w:t>separate Rx chains are assumed</w:t>
      </w:r>
      <w:r>
        <w:rPr>
          <w:rFonts w:hint="default" w:eastAsia="宋体"/>
          <w:sz w:val="21"/>
          <w:szCs w:val="21"/>
          <w:lang w:val="en-US" w:eastAsia="zh-CN"/>
        </w:rPr>
        <w:t xml:space="preserve"> </w:t>
      </w:r>
      <w:r>
        <w:rPr>
          <w:rFonts w:eastAsia="宋体"/>
          <w:sz w:val="21"/>
          <w:szCs w:val="21"/>
          <w:lang w:eastAsia="zh-CN"/>
        </w:rPr>
        <w:t>For inter-band</w:t>
      </w:r>
      <w:r>
        <w:rPr>
          <w:rFonts w:hint="default" w:eastAsia="宋体"/>
          <w:sz w:val="21"/>
          <w:szCs w:val="21"/>
          <w:lang w:val="en-US" w:eastAsia="zh-CN"/>
        </w:rPr>
        <w:t xml:space="preserve"> case and intra-band non-collocated </w:t>
      </w:r>
      <w:r>
        <w:rPr>
          <w:rFonts w:hint="default"/>
          <w:sz w:val="21"/>
          <w:szCs w:val="21"/>
          <w:lang w:val="en-US" w:eastAsia="zh-CN"/>
        </w:rPr>
        <w:t>(</w:t>
      </w:r>
      <w:r>
        <w:rPr>
          <w:rFonts w:hint="default" w:eastAsia="宋体"/>
          <w:sz w:val="21"/>
          <w:szCs w:val="21"/>
          <w:lang w:val="en-US" w:eastAsia="zh-CN"/>
        </w:rPr>
        <w:t>Type 2 UE</w:t>
      </w:r>
      <w:r>
        <w:rPr>
          <w:rFonts w:hint="default"/>
          <w:sz w:val="21"/>
          <w:szCs w:val="21"/>
          <w:lang w:val="en-US" w:eastAsia="zh-CN"/>
        </w:rPr>
        <w:t>)</w:t>
      </w:r>
      <w:r>
        <w:rPr>
          <w:rFonts w:eastAsia="宋体"/>
          <w:sz w:val="21"/>
          <w:szCs w:val="21"/>
          <w:lang w:eastAsia="zh-CN"/>
        </w:rPr>
        <w:t xml:space="preserve"> case, and there is no interruption due to AGC settling. For intra-band case</w:t>
      </w:r>
      <w:r>
        <w:rPr>
          <w:rFonts w:hint="default" w:eastAsia="宋体"/>
          <w:sz w:val="21"/>
          <w:szCs w:val="21"/>
          <w:lang w:val="en-US" w:eastAsia="zh-CN"/>
        </w:rPr>
        <w:t xml:space="preserve"> collocated case</w:t>
      </w:r>
      <w:r>
        <w:rPr>
          <w:rFonts w:eastAsia="宋体"/>
          <w:sz w:val="21"/>
          <w:szCs w:val="21"/>
          <w:lang w:eastAsia="zh-CN"/>
        </w:rPr>
        <w:t>, shared Rx chain is assumed</w:t>
      </w:r>
      <w:r>
        <w:rPr>
          <w:rFonts w:hint="default" w:eastAsia="宋体"/>
          <w:sz w:val="21"/>
          <w:szCs w:val="21"/>
          <w:lang w:val="en-US" w:eastAsia="zh-CN"/>
        </w:rPr>
        <w:t xml:space="preserve"> </w:t>
      </w:r>
      <w:r>
        <w:rPr>
          <w:rFonts w:eastAsia="宋体"/>
          <w:sz w:val="21"/>
          <w:szCs w:val="21"/>
          <w:lang w:eastAsia="zh-CN"/>
        </w:rPr>
        <w:t>and the interruption due to AGC settling is included. In R1</w:t>
      </w:r>
      <w:r>
        <w:rPr>
          <w:rFonts w:hint="default" w:eastAsia="宋体"/>
          <w:sz w:val="21"/>
          <w:szCs w:val="21"/>
          <w:lang w:val="en-US" w:eastAsia="zh-CN"/>
        </w:rPr>
        <w:t>9</w:t>
      </w:r>
      <w:r>
        <w:rPr>
          <w:rFonts w:eastAsia="宋体"/>
          <w:sz w:val="21"/>
          <w:szCs w:val="21"/>
          <w:lang w:eastAsia="zh-CN"/>
        </w:rPr>
        <w:t xml:space="preserve">, Type </w:t>
      </w:r>
      <w:r>
        <w:rPr>
          <w:rFonts w:hint="default" w:eastAsia="宋体"/>
          <w:sz w:val="21"/>
          <w:szCs w:val="21"/>
          <w:lang w:val="en-US" w:eastAsia="zh-CN"/>
        </w:rPr>
        <w:t>4</w:t>
      </w:r>
      <w:r>
        <w:rPr>
          <w:rFonts w:eastAsia="宋体"/>
          <w:sz w:val="21"/>
          <w:szCs w:val="21"/>
          <w:lang w:eastAsia="zh-CN"/>
        </w:rPr>
        <w:t xml:space="preserve"> UE with separate Rx chains are assumed for </w:t>
      </w:r>
      <w:r>
        <w:rPr>
          <w:rFonts w:hint="eastAsia" w:eastAsia="宋体"/>
          <w:sz w:val="21"/>
          <w:szCs w:val="21"/>
          <w:lang w:eastAsia="zh-CN"/>
        </w:rPr>
        <w:t>intra-band</w:t>
      </w:r>
      <w:r>
        <w:rPr>
          <w:rFonts w:eastAsia="宋体"/>
          <w:sz w:val="21"/>
          <w:szCs w:val="21"/>
          <w:lang w:eastAsia="zh-CN"/>
        </w:rPr>
        <w:t xml:space="preserve"> non-contiguous case, which is same as the assumption for inter-band case</w:t>
      </w:r>
      <w:r>
        <w:rPr>
          <w:rFonts w:hint="default" w:eastAsia="宋体"/>
          <w:sz w:val="21"/>
          <w:szCs w:val="21"/>
          <w:lang w:val="en-US" w:eastAsia="zh-CN"/>
        </w:rPr>
        <w:t xml:space="preserve"> and intra-band non-collocated for Type 2 UE</w:t>
      </w:r>
      <w:r>
        <w:rPr>
          <w:rFonts w:eastAsia="宋体"/>
          <w:sz w:val="21"/>
          <w:szCs w:val="21"/>
          <w:lang w:eastAsia="zh-CN"/>
        </w:rPr>
        <w:t xml:space="preserve">. </w:t>
      </w:r>
      <w:r>
        <w:rPr>
          <w:rFonts w:hint="default" w:eastAsia="宋体"/>
          <w:sz w:val="21"/>
          <w:szCs w:val="21"/>
          <w:lang w:val="en-US" w:eastAsia="zh-CN"/>
        </w:rPr>
        <w:t>Therefore</w:t>
      </w:r>
      <w:r>
        <w:rPr>
          <w:rFonts w:eastAsia="宋体"/>
          <w:sz w:val="21"/>
          <w:szCs w:val="21"/>
          <w:lang w:eastAsia="zh-CN"/>
        </w:rPr>
        <w:t xml:space="preserve">, the current interruption requirements for inter-band CA also can be applied for </w:t>
      </w:r>
      <w:r>
        <w:rPr>
          <w:rFonts w:hint="default" w:eastAsia="宋体"/>
          <w:sz w:val="21"/>
          <w:szCs w:val="21"/>
          <w:lang w:val="en-US" w:eastAsia="zh-CN"/>
        </w:rPr>
        <w:t>Type 4 UE</w:t>
      </w:r>
      <w:r>
        <w:rPr>
          <w:rFonts w:eastAsia="宋体"/>
          <w:sz w:val="21"/>
          <w:szCs w:val="21"/>
          <w:lang w:eastAsia="zh-CN"/>
        </w:rPr>
        <w:t>.</w:t>
      </w:r>
    </w:p>
    <w:p>
      <w:pPr>
        <w:widowControl w:val="0"/>
        <w:adjustRightInd w:val="0"/>
        <w:snapToGrid w:val="0"/>
        <w:spacing w:before="180"/>
        <w:rPr>
          <w:rFonts w:hint="eastAsia" w:eastAsia="宋体"/>
          <w:sz w:val="21"/>
          <w:szCs w:val="21"/>
          <w:lang w:val="en-US" w:eastAsia="zh-CN"/>
        </w:rPr>
      </w:pPr>
      <w:r>
        <w:rPr>
          <w:rFonts w:hint="eastAsia"/>
          <w:sz w:val="21"/>
          <w:szCs w:val="21"/>
          <w:lang w:val="en-US" w:eastAsia="zh-CN"/>
        </w:rPr>
        <w:t xml:space="preserve">For </w:t>
      </w:r>
      <w:r>
        <w:rPr>
          <w:rFonts w:eastAsia="宋体"/>
          <w:sz w:val="21"/>
          <w:szCs w:val="21"/>
          <w:lang w:eastAsia="zh-CN"/>
        </w:rPr>
        <w:t>SCell activation delay</w:t>
      </w:r>
      <w:r>
        <w:rPr>
          <w:rFonts w:hint="eastAsia"/>
          <w:sz w:val="21"/>
          <w:szCs w:val="21"/>
          <w:lang w:val="en-US" w:eastAsia="zh-CN"/>
        </w:rPr>
        <w:t xml:space="preserve">, </w:t>
      </w:r>
      <w:r>
        <w:rPr>
          <w:rFonts w:eastAsia="宋体"/>
          <w:sz w:val="21"/>
          <w:szCs w:val="21"/>
          <w:lang w:eastAsia="zh-CN"/>
        </w:rPr>
        <w:t>the same requirements are applied for FR1 intra-band collocated non-contiguous CA and FR1 inter-band CA cases</w:t>
      </w:r>
      <w:r>
        <w:rPr>
          <w:rFonts w:hint="eastAsia"/>
          <w:sz w:val="21"/>
          <w:szCs w:val="21"/>
          <w:lang w:val="en-US" w:eastAsia="zh-CN"/>
        </w:rPr>
        <w:t xml:space="preserve">. Meanwhile, </w:t>
      </w:r>
      <w:r>
        <w:rPr>
          <w:rFonts w:eastAsia="宋体"/>
          <w:sz w:val="21"/>
          <w:szCs w:val="21"/>
          <w:lang w:eastAsia="zh-CN"/>
        </w:rPr>
        <w:t>MRTD for</w:t>
      </w:r>
      <w:r>
        <w:rPr>
          <w:rFonts w:hint="eastAsia" w:eastAsia="宋体"/>
          <w:sz w:val="21"/>
          <w:szCs w:val="21"/>
          <w:lang w:eastAsia="zh-CN"/>
        </w:rPr>
        <w:t xml:space="preserve"> intra-band</w:t>
      </w:r>
      <w:r>
        <w:rPr>
          <w:rFonts w:eastAsia="宋体"/>
          <w:sz w:val="21"/>
          <w:szCs w:val="21"/>
          <w:lang w:eastAsia="zh-CN"/>
        </w:rPr>
        <w:t xml:space="preserve"> </w:t>
      </w:r>
      <w:r>
        <w:rPr>
          <w:rFonts w:hint="eastAsia"/>
          <w:sz w:val="21"/>
          <w:szCs w:val="21"/>
          <w:lang w:val="en-US" w:eastAsia="zh-CN"/>
        </w:rPr>
        <w:t>non-</w:t>
      </w:r>
      <w:r>
        <w:rPr>
          <w:rFonts w:eastAsia="宋体"/>
          <w:sz w:val="21"/>
          <w:szCs w:val="21"/>
          <w:lang w:eastAsia="zh-CN"/>
        </w:rPr>
        <w:t>collocated</w:t>
      </w:r>
      <w:r>
        <w:rPr>
          <w:rFonts w:hint="eastAsia"/>
          <w:sz w:val="21"/>
          <w:szCs w:val="21"/>
          <w:lang w:val="en-US" w:eastAsia="zh-CN"/>
        </w:rPr>
        <w:t xml:space="preserve"> </w:t>
      </w:r>
      <w:r>
        <w:rPr>
          <w:rFonts w:eastAsia="宋体"/>
          <w:sz w:val="21"/>
          <w:szCs w:val="21"/>
          <w:lang w:eastAsia="zh-CN"/>
        </w:rPr>
        <w:t>non-contiguous CA is extended from 3us to 33us, which is same as that for inter-band CA</w:t>
      </w:r>
      <w:r>
        <w:rPr>
          <w:rFonts w:hint="eastAsia"/>
          <w:sz w:val="21"/>
          <w:szCs w:val="21"/>
          <w:lang w:val="en-US" w:eastAsia="zh-CN"/>
        </w:rPr>
        <w:t>. Therefore,</w:t>
      </w:r>
      <w:r>
        <w:rPr>
          <w:rFonts w:hint="eastAsia" w:eastAsia="宋体"/>
          <w:sz w:val="21"/>
          <w:szCs w:val="21"/>
          <w:lang w:val="en-US" w:eastAsia="zh-CN"/>
        </w:rPr>
        <w:t xml:space="preserve"> </w:t>
      </w:r>
      <w:r>
        <w:rPr>
          <w:rFonts w:eastAsia="宋体"/>
          <w:sz w:val="21"/>
          <w:szCs w:val="21"/>
          <w:lang w:eastAsia="zh-CN"/>
        </w:rPr>
        <w:t xml:space="preserve">the </w:t>
      </w:r>
      <w:r>
        <w:rPr>
          <w:rFonts w:hint="eastAsia" w:eastAsia="宋体"/>
          <w:sz w:val="21"/>
          <w:szCs w:val="21"/>
          <w:lang w:eastAsia="zh-CN"/>
        </w:rPr>
        <w:t>SCell</w:t>
      </w:r>
      <w:r>
        <w:rPr>
          <w:rFonts w:eastAsia="宋体"/>
          <w:sz w:val="21"/>
          <w:szCs w:val="21"/>
          <w:lang w:eastAsia="zh-CN"/>
        </w:rPr>
        <w:t xml:space="preserve"> activation delay requirements for FR</w:t>
      </w:r>
      <w:r>
        <w:rPr>
          <w:rFonts w:hint="eastAsia"/>
          <w:sz w:val="21"/>
          <w:szCs w:val="21"/>
          <w:lang w:val="en-US" w:eastAsia="zh-CN"/>
        </w:rPr>
        <w:t>1</w:t>
      </w:r>
      <w:r>
        <w:rPr>
          <w:rFonts w:eastAsia="宋体"/>
          <w:sz w:val="21"/>
          <w:szCs w:val="21"/>
          <w:lang w:eastAsia="zh-CN"/>
        </w:rPr>
        <w:t xml:space="preserve"> inter-band CA case</w:t>
      </w:r>
      <w:r>
        <w:rPr>
          <w:rFonts w:hint="eastAsia" w:eastAsia="宋体"/>
          <w:sz w:val="21"/>
          <w:szCs w:val="21"/>
          <w:lang w:val="en-US" w:eastAsia="zh-CN"/>
        </w:rPr>
        <w:t xml:space="preserve"> have been</w:t>
      </w:r>
      <w:r>
        <w:rPr>
          <w:rFonts w:eastAsia="宋体"/>
          <w:sz w:val="21"/>
          <w:szCs w:val="21"/>
          <w:lang w:eastAsia="zh-CN"/>
        </w:rPr>
        <w:t xml:space="preserve"> </w:t>
      </w:r>
      <w:r>
        <w:rPr>
          <w:rFonts w:hint="eastAsia" w:eastAsia="宋体"/>
          <w:sz w:val="21"/>
          <w:szCs w:val="21"/>
          <w:lang w:val="en-US" w:eastAsia="zh-CN"/>
        </w:rPr>
        <w:t>reused f</w:t>
      </w:r>
      <w:r>
        <w:rPr>
          <w:rFonts w:hint="eastAsia" w:eastAsia="宋体"/>
          <w:sz w:val="21"/>
          <w:szCs w:val="21"/>
          <w:lang w:eastAsia="zh-CN"/>
        </w:rPr>
        <w:t>or</w:t>
      </w:r>
      <w:r>
        <w:rPr>
          <w:rFonts w:eastAsia="宋体"/>
          <w:sz w:val="21"/>
          <w:szCs w:val="21"/>
          <w:lang w:eastAsia="zh-CN"/>
        </w:rPr>
        <w:t xml:space="preserve"> FR1 </w:t>
      </w:r>
      <w:r>
        <w:rPr>
          <w:rFonts w:hint="eastAsia" w:eastAsia="宋体"/>
          <w:sz w:val="21"/>
          <w:szCs w:val="21"/>
          <w:lang w:eastAsia="zh-CN"/>
        </w:rPr>
        <w:t>intra-band</w:t>
      </w:r>
      <w:r>
        <w:rPr>
          <w:rFonts w:hint="eastAsia"/>
          <w:sz w:val="21"/>
          <w:szCs w:val="21"/>
          <w:lang w:val="en-US" w:eastAsia="zh-CN"/>
        </w:rPr>
        <w:t xml:space="preserve"> non-</w:t>
      </w:r>
      <w:r>
        <w:rPr>
          <w:rFonts w:eastAsia="宋体"/>
          <w:sz w:val="21"/>
          <w:szCs w:val="21"/>
          <w:lang w:eastAsia="zh-CN"/>
        </w:rPr>
        <w:t>collocated non-contiguous case.</w:t>
      </w:r>
      <w:r>
        <w:rPr>
          <w:rFonts w:hint="eastAsia" w:eastAsia="宋体"/>
          <w:sz w:val="21"/>
          <w:szCs w:val="21"/>
          <w:lang w:val="en-US" w:eastAsia="zh-CN"/>
        </w:rPr>
        <w:t xml:space="preserve"> </w:t>
      </w:r>
    </w:p>
    <w:p>
      <w:pPr>
        <w:widowControl w:val="0"/>
        <w:adjustRightInd w:val="0"/>
        <w:snapToGrid w:val="0"/>
        <w:spacing w:before="180"/>
        <w:rPr>
          <w:rFonts w:hint="default" w:eastAsia="宋体"/>
          <w:sz w:val="21"/>
          <w:szCs w:val="21"/>
          <w:lang w:val="en-US" w:eastAsia="zh-CN"/>
        </w:rPr>
      </w:pPr>
      <w:r>
        <w:rPr>
          <w:rFonts w:hint="default" w:eastAsia="宋体"/>
          <w:sz w:val="21"/>
          <w:szCs w:val="21"/>
          <w:lang w:val="en-US" w:eastAsia="zh-CN"/>
        </w:rPr>
        <w:t>For current scheduling availability requirements, the scheduling restrictions on one FR1 serving cell shall also apply to other serving cells in the same band based on the assumption that shared Rx chain is used for intra-band CA, and there is no scheduling restrictions on serving cells in other bands based on the assumption that separate Rx chains are used for inter-band CA or intra-band CA. Due to separate Rx chains assumed for intra-band non-contiguous CA for supporting non-collocated deployment, there is no scheduling restrictions on non-contiguous serving cells in the same band.</w:t>
      </w:r>
    </w:p>
    <w:p>
      <w:pPr>
        <w:widowControl w:val="0"/>
        <w:adjustRightInd w:val="0"/>
        <w:snapToGrid w:val="0"/>
        <w:spacing w:before="180"/>
        <w:rPr>
          <w:rFonts w:hint="eastAsia" w:eastAsia="宋体"/>
          <w:sz w:val="21"/>
          <w:szCs w:val="21"/>
          <w:lang w:val="en-US" w:eastAsia="zh-CN"/>
        </w:rPr>
      </w:pPr>
      <w:r>
        <w:rPr>
          <w:rFonts w:hint="eastAsia"/>
          <w:sz w:val="21"/>
          <w:szCs w:val="21"/>
          <w:lang w:val="en-US" w:eastAsia="zh-CN"/>
        </w:rPr>
        <w:t xml:space="preserve">In this meeting, we should focus on the collocated scenario and discuss whether the requirements </w:t>
      </w:r>
      <w:r>
        <w:rPr>
          <w:sz w:val="21"/>
          <w:szCs w:val="21"/>
        </w:rPr>
        <w:t>defined for type 2 UE in collocated scenario in R18 can be applied</w:t>
      </w:r>
      <w:r>
        <w:rPr>
          <w:rFonts w:hint="eastAsia"/>
          <w:sz w:val="21"/>
          <w:szCs w:val="21"/>
          <w:lang w:val="en-US" w:eastAsia="zh-CN"/>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widowControl w:val="0"/>
              <w:adjustRightInd w:val="0"/>
              <w:snapToGrid w:val="0"/>
              <w:spacing w:before="180"/>
              <w:rPr>
                <w:rFonts w:hint="default"/>
                <w:sz w:val="22"/>
                <w:vertAlign w:val="baseline"/>
                <w:lang w:val="en-US" w:eastAsia="zh-CN"/>
              </w:rPr>
            </w:pPr>
            <w:r>
              <w:rPr>
                <w:rFonts w:hint="eastAsia"/>
                <w:b/>
                <w:bCs/>
                <w:sz w:val="22"/>
                <w:vertAlign w:val="baseline"/>
                <w:lang w:val="en-US" w:eastAsia="zh-CN"/>
              </w:rPr>
              <w:t>Type 4 UE</w:t>
            </w:r>
          </w:p>
        </w:tc>
        <w:tc>
          <w:tcPr>
            <w:tcW w:w="3321" w:type="dxa"/>
          </w:tcPr>
          <w:p>
            <w:pPr>
              <w:widowControl w:val="0"/>
              <w:adjustRightInd w:val="0"/>
              <w:snapToGrid w:val="0"/>
              <w:spacing w:before="180"/>
              <w:rPr>
                <w:rFonts w:hint="default"/>
                <w:b/>
                <w:bCs/>
                <w:sz w:val="22"/>
                <w:vertAlign w:val="baseline"/>
                <w:lang w:val="en-US" w:eastAsia="zh-CN"/>
              </w:rPr>
            </w:pPr>
            <w:r>
              <w:rPr>
                <w:rFonts w:hint="default"/>
                <w:b/>
                <w:bCs/>
                <w:sz w:val="22"/>
                <w:vertAlign w:val="baseline"/>
                <w:lang w:val="en-US" w:eastAsia="zh-CN"/>
              </w:rPr>
              <w:t xml:space="preserve"> separate RF chain</w:t>
            </w:r>
          </w:p>
          <w:p>
            <w:pPr>
              <w:widowControl w:val="0"/>
              <w:adjustRightInd w:val="0"/>
              <w:snapToGrid w:val="0"/>
              <w:spacing w:before="180"/>
              <w:rPr>
                <w:rFonts w:hint="default"/>
                <w:sz w:val="22"/>
                <w:vertAlign w:val="baseline"/>
                <w:lang w:val="en-US" w:eastAsia="zh-CN"/>
              </w:rPr>
            </w:pPr>
            <w:r>
              <w:rPr>
                <w:rFonts w:hint="eastAsia"/>
                <w:sz w:val="22"/>
                <w:vertAlign w:val="baseline"/>
                <w:lang w:val="en-US" w:eastAsia="zh-CN"/>
              </w:rPr>
              <w:t>(</w:t>
            </w:r>
            <w:r>
              <w:rPr>
                <w:rFonts w:hint="default"/>
                <w:sz w:val="22"/>
                <w:vertAlign w:val="baseline"/>
                <w:lang w:val="en-US" w:eastAsia="zh-CN"/>
              </w:rPr>
              <w:t xml:space="preserve"> non-collocated scenario</w:t>
            </w:r>
            <w:r>
              <w:rPr>
                <w:rFonts w:hint="eastAsia"/>
                <w:sz w:val="22"/>
                <w:vertAlign w:val="baseline"/>
                <w:lang w:val="en-US" w:eastAsia="zh-CN"/>
              </w:rPr>
              <w:t>)</w:t>
            </w:r>
          </w:p>
        </w:tc>
        <w:tc>
          <w:tcPr>
            <w:tcW w:w="3321" w:type="dxa"/>
          </w:tcPr>
          <w:p>
            <w:pPr>
              <w:numPr>
                <w:ilvl w:val="-1"/>
                <w:numId w:val="0"/>
              </w:numPr>
              <w:spacing w:before="157" w:beforeLines="50"/>
              <w:ind w:left="0" w:firstLine="0"/>
              <w:rPr>
                <w:b/>
                <w:bCs w:val="0"/>
                <w:szCs w:val="24"/>
                <w:u w:val="none"/>
                <w:lang w:eastAsia="zh-CN"/>
              </w:rPr>
            </w:pPr>
            <w:r>
              <w:rPr>
                <w:b/>
                <w:bCs w:val="0"/>
                <w:szCs w:val="24"/>
                <w:u w:val="none"/>
                <w:lang w:eastAsia="zh-CN"/>
              </w:rPr>
              <w:t>shared RF chains</w:t>
            </w:r>
          </w:p>
          <w:p>
            <w:pPr>
              <w:numPr>
                <w:ilvl w:val="-1"/>
                <w:numId w:val="0"/>
              </w:numPr>
              <w:spacing w:before="157" w:beforeLines="50"/>
              <w:ind w:left="0" w:firstLine="0"/>
              <w:rPr>
                <w:rFonts w:hint="default"/>
                <w:b w:val="0"/>
                <w:bCs/>
                <w:szCs w:val="24"/>
                <w:u w:val="none"/>
                <w:lang w:val="en-US" w:eastAsia="zh-CN"/>
              </w:rPr>
            </w:pPr>
            <w:r>
              <w:rPr>
                <w:rFonts w:hint="eastAsia"/>
                <w:b w:val="0"/>
                <w:bCs/>
                <w:szCs w:val="24"/>
                <w:u w:val="none"/>
                <w:lang w:val="en-US" w:eastAsia="zh-CN"/>
              </w:rPr>
              <w:t>(</w:t>
            </w:r>
            <w:r>
              <w:rPr>
                <w:b w:val="0"/>
                <w:bCs/>
                <w:szCs w:val="24"/>
                <w:u w:val="none"/>
                <w:lang w:eastAsia="zh-CN"/>
              </w:rPr>
              <w:t>collocated scenario</w:t>
            </w:r>
            <w:r>
              <w:rPr>
                <w:rFonts w:hint="eastAsia"/>
                <w:b w:val="0"/>
                <w:bCs/>
                <w:szCs w:val="24"/>
                <w:u w:val="none"/>
                <w:lang w:val="en-US" w:eastAsia="zh-CN"/>
              </w:rPr>
              <w:t>)</w:t>
            </w:r>
          </w:p>
          <w:p>
            <w:pPr>
              <w:widowControl w:val="0"/>
              <w:adjustRightInd w:val="0"/>
              <w:snapToGrid w:val="0"/>
              <w:spacing w:before="180"/>
              <w:rPr>
                <w:rFonts w:hint="default"/>
                <w:sz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widowControl w:val="0"/>
              <w:adjustRightInd w:val="0"/>
              <w:snapToGrid w:val="0"/>
              <w:spacing w:before="180"/>
              <w:rPr>
                <w:rFonts w:hint="default"/>
                <w:sz w:val="22"/>
                <w:vertAlign w:val="baseline"/>
                <w:lang w:val="en-US" w:eastAsia="zh-CN"/>
              </w:rPr>
            </w:pPr>
            <w:r>
              <w:rPr>
                <w:b/>
                <w:bCs w:val="0"/>
                <w:szCs w:val="24"/>
                <w:u w:val="none"/>
                <w:lang w:eastAsia="zh-CN"/>
              </w:rPr>
              <w:t>Interruption requirements</w:t>
            </w:r>
          </w:p>
        </w:tc>
        <w:tc>
          <w:tcPr>
            <w:tcW w:w="3321" w:type="dxa"/>
          </w:tcPr>
          <w:p>
            <w:pPr>
              <w:widowControl w:val="0"/>
              <w:adjustRightInd w:val="0"/>
              <w:snapToGrid w:val="0"/>
              <w:spacing w:before="180"/>
              <w:rPr>
                <w:rFonts w:hint="eastAsia"/>
                <w:sz w:val="22"/>
                <w:vertAlign w:val="baseline"/>
                <w:lang w:val="en-US" w:eastAsia="zh-CN"/>
              </w:rPr>
            </w:pPr>
            <w:r>
              <w:rPr>
                <w:rFonts w:hint="eastAsia"/>
                <w:sz w:val="22"/>
                <w:vertAlign w:val="baseline"/>
                <w:lang w:val="en-US" w:eastAsia="zh-CN"/>
              </w:rPr>
              <w:t>Reuse</w:t>
            </w:r>
          </w:p>
          <w:p>
            <w:pPr>
              <w:widowControl w:val="0"/>
              <w:adjustRightInd w:val="0"/>
              <w:snapToGrid w:val="0"/>
              <w:spacing w:before="180"/>
              <w:rPr>
                <w:rFonts w:hint="default"/>
                <w:sz w:val="22"/>
                <w:vertAlign w:val="baseline"/>
                <w:lang w:val="en-US" w:eastAsia="zh-CN"/>
              </w:rPr>
            </w:pPr>
            <w:r>
              <w:rPr>
                <w:rFonts w:hint="eastAsia"/>
                <w:sz w:val="22"/>
                <w:vertAlign w:val="baseline"/>
                <w:lang w:val="en-US" w:eastAsia="zh-CN"/>
              </w:rPr>
              <w:t>(same as type 2 UE in non-collocated condition in R18)</w:t>
            </w:r>
          </w:p>
        </w:tc>
        <w:tc>
          <w:tcPr>
            <w:tcW w:w="3321" w:type="dxa"/>
          </w:tcPr>
          <w:p>
            <w:pPr>
              <w:widowControl w:val="0"/>
              <w:adjustRightInd w:val="0"/>
              <w:snapToGrid w:val="0"/>
              <w:spacing w:before="180"/>
              <w:rPr>
                <w:rFonts w:hint="default"/>
                <w:sz w:val="22"/>
                <w:vertAlign w:val="baseline"/>
                <w:lang w:val="en-US" w:eastAsia="zh-CN"/>
              </w:rPr>
            </w:pPr>
            <w:r>
              <w:rPr>
                <w:rFonts w:hint="eastAsia"/>
                <w:sz w:val="22"/>
                <w:vertAlign w:val="baseli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widowControl w:val="0"/>
              <w:adjustRightInd w:val="0"/>
              <w:snapToGrid w:val="0"/>
              <w:spacing w:before="180"/>
              <w:rPr>
                <w:rFonts w:hint="default"/>
                <w:sz w:val="22"/>
                <w:vertAlign w:val="baseline"/>
                <w:lang w:val="en-US" w:eastAsia="zh-CN"/>
              </w:rPr>
            </w:pPr>
            <w:r>
              <w:rPr>
                <w:b/>
                <w:bCs w:val="0"/>
                <w:szCs w:val="24"/>
                <w:u w:val="none"/>
                <w:lang w:eastAsia="zh-CN"/>
              </w:rPr>
              <w:t>SCell activation delay requirements</w:t>
            </w:r>
          </w:p>
        </w:tc>
        <w:tc>
          <w:tcPr>
            <w:tcW w:w="3321" w:type="dxa"/>
          </w:tcPr>
          <w:p>
            <w:pPr>
              <w:widowControl w:val="0"/>
              <w:adjustRightInd w:val="0"/>
              <w:snapToGrid w:val="0"/>
              <w:spacing w:before="180"/>
              <w:rPr>
                <w:rFonts w:hint="eastAsia"/>
                <w:sz w:val="22"/>
                <w:vertAlign w:val="baseline"/>
                <w:lang w:val="en-US" w:eastAsia="zh-CN"/>
              </w:rPr>
            </w:pPr>
            <w:r>
              <w:rPr>
                <w:rFonts w:hint="eastAsia"/>
                <w:sz w:val="22"/>
                <w:vertAlign w:val="baseline"/>
                <w:lang w:val="en-US" w:eastAsia="zh-CN"/>
              </w:rPr>
              <w:t>Reuse</w:t>
            </w:r>
          </w:p>
          <w:p>
            <w:pPr>
              <w:widowControl w:val="0"/>
              <w:adjustRightInd w:val="0"/>
              <w:snapToGrid w:val="0"/>
              <w:spacing w:before="180"/>
              <w:rPr>
                <w:rFonts w:hint="default"/>
                <w:sz w:val="22"/>
                <w:vertAlign w:val="baseline"/>
                <w:lang w:val="en-US" w:eastAsia="zh-CN"/>
              </w:rPr>
            </w:pPr>
            <w:r>
              <w:rPr>
                <w:rFonts w:hint="eastAsia"/>
                <w:sz w:val="22"/>
                <w:vertAlign w:val="baseline"/>
                <w:lang w:val="en-US" w:eastAsia="zh-CN"/>
              </w:rPr>
              <w:t>(same as type 2 UE in non-collocated condition in R18)</w:t>
            </w:r>
          </w:p>
        </w:tc>
        <w:tc>
          <w:tcPr>
            <w:tcW w:w="3321" w:type="dxa"/>
          </w:tcPr>
          <w:p>
            <w:pPr>
              <w:widowControl w:val="0"/>
              <w:adjustRightInd w:val="0"/>
              <w:snapToGrid w:val="0"/>
              <w:spacing w:before="180"/>
              <w:rPr>
                <w:rFonts w:hint="default"/>
                <w:sz w:val="22"/>
                <w:vertAlign w:val="baseline"/>
                <w:lang w:val="en-US" w:eastAsia="zh-CN"/>
              </w:rPr>
            </w:pPr>
            <w:r>
              <w:rPr>
                <w:rFonts w:hint="eastAsia"/>
                <w:sz w:val="22"/>
                <w:vertAlign w:val="baseli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widowControl w:val="0"/>
              <w:adjustRightInd w:val="0"/>
              <w:snapToGrid w:val="0"/>
              <w:spacing w:before="180"/>
              <w:rPr>
                <w:rFonts w:hint="default"/>
                <w:sz w:val="22"/>
                <w:vertAlign w:val="baseline"/>
                <w:lang w:val="en-US" w:eastAsia="zh-CN"/>
              </w:rPr>
            </w:pPr>
            <w:r>
              <w:rPr>
                <w:b/>
                <w:bCs w:val="0"/>
                <w:szCs w:val="24"/>
                <w:u w:val="none"/>
                <w:lang w:eastAsia="zh-CN"/>
              </w:rPr>
              <w:t>Scheduling availability</w:t>
            </w:r>
          </w:p>
        </w:tc>
        <w:tc>
          <w:tcPr>
            <w:tcW w:w="3321" w:type="dxa"/>
          </w:tcPr>
          <w:p>
            <w:pPr>
              <w:widowControl w:val="0"/>
              <w:adjustRightInd w:val="0"/>
              <w:snapToGrid w:val="0"/>
              <w:spacing w:before="180"/>
              <w:rPr>
                <w:rFonts w:hint="eastAsia"/>
                <w:sz w:val="22"/>
                <w:vertAlign w:val="baseline"/>
                <w:lang w:val="en-US" w:eastAsia="zh-CN"/>
              </w:rPr>
            </w:pPr>
            <w:r>
              <w:rPr>
                <w:rFonts w:hint="eastAsia"/>
                <w:sz w:val="22"/>
                <w:vertAlign w:val="baseline"/>
                <w:lang w:val="en-US" w:eastAsia="zh-CN"/>
              </w:rPr>
              <w:t>Reuse</w:t>
            </w:r>
          </w:p>
          <w:p>
            <w:pPr>
              <w:widowControl w:val="0"/>
              <w:adjustRightInd w:val="0"/>
              <w:snapToGrid w:val="0"/>
              <w:spacing w:before="180"/>
              <w:rPr>
                <w:rFonts w:hint="default"/>
                <w:sz w:val="22"/>
                <w:vertAlign w:val="baseline"/>
                <w:lang w:val="en-US" w:eastAsia="zh-CN"/>
              </w:rPr>
            </w:pPr>
            <w:r>
              <w:rPr>
                <w:rFonts w:hint="eastAsia"/>
                <w:sz w:val="22"/>
                <w:vertAlign w:val="baseline"/>
                <w:lang w:val="en-US" w:eastAsia="zh-CN"/>
              </w:rPr>
              <w:t>(same as type 2 UE in non-collocated condition in R18)</w:t>
            </w:r>
          </w:p>
        </w:tc>
        <w:tc>
          <w:tcPr>
            <w:tcW w:w="3321" w:type="dxa"/>
          </w:tcPr>
          <w:p>
            <w:pPr>
              <w:widowControl w:val="0"/>
              <w:adjustRightInd w:val="0"/>
              <w:snapToGrid w:val="0"/>
              <w:spacing w:before="180"/>
              <w:rPr>
                <w:rFonts w:hint="default"/>
                <w:sz w:val="22"/>
                <w:vertAlign w:val="baseline"/>
                <w:lang w:val="en-US" w:eastAsia="zh-CN"/>
              </w:rPr>
            </w:pPr>
            <w:r>
              <w:rPr>
                <w:rFonts w:hint="eastAsia"/>
                <w:sz w:val="22"/>
                <w:vertAlign w:val="baseline"/>
                <w:lang w:val="en-US" w:eastAsia="zh-CN"/>
              </w:rPr>
              <w:t>FFS</w:t>
            </w:r>
          </w:p>
        </w:tc>
      </w:tr>
    </w:tbl>
    <w:p>
      <w:pPr>
        <w:widowControl w:val="0"/>
        <w:adjustRightInd w:val="0"/>
        <w:snapToGrid w:val="0"/>
        <w:spacing w:before="180"/>
        <w:rPr>
          <w:rFonts w:hint="eastAsia" w:eastAsia="宋体"/>
          <w:sz w:val="22"/>
          <w:lang w:val="en-US" w:eastAsia="zh-CN"/>
        </w:rPr>
      </w:pPr>
      <w:r>
        <w:rPr>
          <w:rFonts w:hint="eastAsia" w:eastAsia="宋体"/>
          <w:sz w:val="22"/>
          <w:lang w:val="en-US" w:eastAsia="zh-CN"/>
        </w:rPr>
        <w:t>As to FFS, there are two options could be considered and both are reasonable in our view.</w:t>
      </w:r>
    </w:p>
    <w:p>
      <w:pPr>
        <w:pStyle w:val="33"/>
        <w:numPr>
          <w:ilvl w:val="1"/>
          <w:numId w:val="8"/>
        </w:numPr>
        <w:spacing w:after="120"/>
        <w:ind w:firstLineChars="0"/>
        <w:rPr>
          <w:sz w:val="21"/>
          <w:szCs w:val="21"/>
        </w:rPr>
      </w:pPr>
      <w:r>
        <w:rPr>
          <w:rFonts w:hint="eastAsia" w:eastAsiaTheme="minorEastAsia"/>
          <w:lang w:val="en-US" w:eastAsia="zh-CN"/>
        </w:rPr>
        <w:t>W</w:t>
      </w:r>
      <w:r>
        <w:rPr>
          <w:lang w:val="en-US" w:eastAsia="zh-CN"/>
        </w:rPr>
        <w:t xml:space="preserve">hen type 4 capable UE operates with shared RF chain in collocated condition, </w:t>
      </w:r>
      <w:r>
        <w:rPr>
          <w:sz w:val="21"/>
          <w:szCs w:val="21"/>
        </w:rPr>
        <w:t>scheduling availability defined for type 2 UE in collocated condition in R18 can be applied</w:t>
      </w:r>
    </w:p>
    <w:p>
      <w:pPr>
        <w:spacing w:after="120"/>
        <w:ind w:left="1656"/>
        <w:rPr>
          <w:i/>
          <w:iCs/>
          <w:sz w:val="21"/>
          <w:szCs w:val="21"/>
          <w:lang w:eastAsia="zh-CN"/>
        </w:rPr>
      </w:pPr>
      <w:r>
        <w:rPr>
          <w:i/>
          <w:iCs/>
          <w:sz w:val="21"/>
          <w:szCs w:val="21"/>
          <w:lang w:eastAsia="zh-CN"/>
        </w:rPr>
        <w:t xml:space="preserve">Note: </w:t>
      </w:r>
      <w:r>
        <w:rPr>
          <w:rFonts w:eastAsiaTheme="minorEastAsia"/>
          <w:i/>
          <w:iCs/>
          <w:lang w:eastAsia="zh-CN"/>
        </w:rPr>
        <w:t>Some clarifications are needed with regard to the UE capability reporting signalling and network indication</w:t>
      </w:r>
    </w:p>
    <w:p>
      <w:pPr>
        <w:pStyle w:val="33"/>
        <w:numPr>
          <w:ilvl w:val="1"/>
          <w:numId w:val="8"/>
        </w:numPr>
        <w:ind w:firstLineChars="0"/>
        <w:rPr>
          <w:sz w:val="21"/>
          <w:szCs w:val="21"/>
        </w:rPr>
      </w:pPr>
      <w:r>
        <w:rPr>
          <w:rFonts w:eastAsiaTheme="minorEastAsia"/>
          <w:sz w:val="21"/>
          <w:szCs w:val="21"/>
          <w:lang w:eastAsia="zh-CN"/>
        </w:rPr>
        <w:t>wait for RF progress on</w:t>
      </w:r>
      <w:r>
        <w:t xml:space="preserve"> </w:t>
      </w:r>
      <w:r>
        <w:rPr>
          <w:rFonts w:eastAsiaTheme="minorEastAsia"/>
          <w:sz w:val="21"/>
          <w:szCs w:val="21"/>
          <w:lang w:eastAsia="zh-CN"/>
        </w:rPr>
        <w:t>UE type transition and design of new UE capabilities/NW signalling.</w:t>
      </w:r>
    </w:p>
    <w:p>
      <w:pPr>
        <w:widowControl w:val="0"/>
        <w:adjustRightInd w:val="0"/>
        <w:snapToGrid w:val="0"/>
        <w:spacing w:before="180"/>
        <w:rPr>
          <w:rFonts w:hint="default"/>
          <w:bCs/>
          <w:szCs w:val="21"/>
          <w:lang w:val="en-US" w:eastAsia="zh-CN"/>
        </w:rPr>
      </w:pPr>
      <w:r>
        <w:rPr>
          <w:rFonts w:eastAsia="宋体"/>
          <w:sz w:val="21"/>
          <w:szCs w:val="21"/>
          <w:lang w:eastAsia="zh-CN"/>
        </w:rPr>
        <w:t>For Type 4 UE, if UE is in non-collocated scenario, UE shall work with separate RF chains.</w:t>
      </w:r>
      <w:r>
        <w:rPr>
          <w:rFonts w:hint="eastAsia" w:eastAsia="宋体"/>
          <w:sz w:val="21"/>
          <w:szCs w:val="21"/>
          <w:lang w:val="en-US" w:eastAsia="zh-CN"/>
        </w:rPr>
        <w:t xml:space="preserve"> And </w:t>
      </w:r>
      <w:r>
        <w:rPr>
          <w:rFonts w:eastAsia="宋体"/>
          <w:sz w:val="21"/>
          <w:szCs w:val="21"/>
          <w:lang w:eastAsia="zh-CN"/>
        </w:rPr>
        <w:t>if UE is in collocated scenario, UE would change its hardware to use shared RF chains</w:t>
      </w:r>
      <w:r>
        <w:rPr>
          <w:rFonts w:hint="eastAsia" w:eastAsia="宋体"/>
          <w:sz w:val="21"/>
          <w:szCs w:val="21"/>
          <w:lang w:val="en-US" w:eastAsia="zh-CN"/>
        </w:rPr>
        <w:t>, which is same as Type 2 UE. Therefore, it</w:t>
      </w:r>
      <w:r>
        <w:rPr>
          <w:rFonts w:hint="default" w:eastAsia="宋体"/>
          <w:sz w:val="21"/>
          <w:szCs w:val="21"/>
          <w:lang w:val="en-US" w:eastAsia="zh-CN"/>
        </w:rPr>
        <w:t>’</w:t>
      </w:r>
      <w:r>
        <w:rPr>
          <w:rFonts w:hint="eastAsia" w:eastAsia="宋体"/>
          <w:sz w:val="21"/>
          <w:szCs w:val="21"/>
          <w:lang w:val="en-US" w:eastAsia="zh-CN"/>
        </w:rPr>
        <w:t>s reasonable to reuse the requirements defined for t</w:t>
      </w:r>
      <w:r>
        <w:rPr>
          <w:sz w:val="21"/>
          <w:szCs w:val="21"/>
        </w:rPr>
        <w:t>ype 2 UE in collocated condition</w:t>
      </w:r>
      <w:r>
        <w:rPr>
          <w:rFonts w:hint="eastAsia"/>
          <w:sz w:val="21"/>
          <w:szCs w:val="21"/>
          <w:lang w:val="en-US" w:eastAsia="zh-CN"/>
        </w:rPr>
        <w:t xml:space="preserve">. However, </w:t>
      </w:r>
      <w:r>
        <w:rPr>
          <w:rFonts w:hint="eastAsia" w:eastAsia="宋体"/>
          <w:sz w:val="21"/>
          <w:szCs w:val="21"/>
          <w:lang w:val="en-US" w:eastAsia="zh-CN"/>
        </w:rPr>
        <w:t xml:space="preserve">BS signalling was introduced to indicate </w:t>
      </w:r>
      <w:r>
        <w:rPr>
          <w:bCs/>
          <w:szCs w:val="21"/>
        </w:rPr>
        <w:t>that UE is operating under Type 1 or Type 2 CA/DC</w:t>
      </w:r>
      <w:r>
        <w:rPr>
          <w:rFonts w:hint="eastAsia"/>
          <w:bCs/>
          <w:szCs w:val="21"/>
          <w:lang w:val="en-US" w:eastAsia="zh-CN"/>
        </w:rPr>
        <w:t xml:space="preserve"> in R18, and the releated RRM requirements mentioned above have been revised due to new BS signalling.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rPr>
                <w:rFonts w:hint="default"/>
                <w:lang w:val="en-US" w:eastAsia="zh-CN"/>
              </w:rPr>
            </w:pPr>
            <w:r>
              <w:rPr>
                <w:rFonts w:hint="eastAsia"/>
                <w:lang w:val="en-US" w:eastAsia="zh-CN"/>
              </w:rPr>
              <w:t>RAN4#109</w:t>
            </w:r>
          </w:p>
          <w:p>
            <w:pPr>
              <w:rPr>
                <w:b/>
                <w:color w:val="000000" w:themeColor="text1"/>
                <w:u w:val="single"/>
                <w14:textFill>
                  <w14:solidFill>
                    <w14:schemeClr w14:val="tx1"/>
                  </w14:solidFill>
                </w14:textFill>
              </w:rPr>
            </w:pPr>
            <w:r>
              <w:rPr>
                <w:b/>
                <w:color w:val="000000" w:themeColor="text1"/>
                <w:u w:val="single"/>
                <w14:textFill>
                  <w14:solidFill>
                    <w14:schemeClr w14:val="tx1"/>
                  </w14:solidFill>
                </w14:textFill>
              </w:rPr>
              <w:t xml:space="preserve">Issue 1-3: the impacted RRM requirement </w:t>
            </w:r>
            <w:r>
              <w:rPr>
                <w:b/>
                <w:color w:val="000000" w:themeColor="text1"/>
                <w:u w:val="single"/>
                <w:lang w:eastAsia="zh-CN"/>
                <w14:textFill>
                  <w14:solidFill>
                    <w14:schemeClr w14:val="tx1"/>
                  </w14:solidFill>
                </w14:textFill>
              </w:rPr>
              <w:t>for UE supporting [</w:t>
            </w:r>
            <w:r>
              <w:rPr>
                <w:b/>
                <w:i/>
                <w:color w:val="000000" w:themeColor="text1"/>
                <w:u w:val="single"/>
                <w:lang w:eastAsia="zh-CN"/>
                <w14:textFill>
                  <w14:solidFill>
                    <w14:schemeClr w14:val="tx1"/>
                  </w14:solidFill>
                </w14:textFill>
              </w:rPr>
              <w:t>intraBandNRCA-NonCollocated-r18</w:t>
            </w:r>
            <w:r>
              <w:rPr>
                <w:b/>
                <w:color w:val="000000" w:themeColor="text1"/>
                <w:u w:val="single"/>
                <w:lang w:eastAsia="zh-CN"/>
                <w14:textFill>
                  <w14:solidFill>
                    <w14:schemeClr w14:val="tx1"/>
                  </w14:solidFill>
                </w14:textFill>
              </w:rPr>
              <w:t>] due to new BS signalling</w:t>
            </w:r>
          </w:p>
          <w:p>
            <w:pPr>
              <w:rPr>
                <w:rFonts w:eastAsia="宋体"/>
                <w:color w:val="000000"/>
                <w:szCs w:val="24"/>
                <w:highlight w:val="green"/>
                <w:lang w:eastAsia="zh-CN"/>
              </w:rPr>
            </w:pPr>
            <w:r>
              <w:rPr>
                <w:rFonts w:eastAsia="宋体"/>
                <w:color w:val="000000"/>
                <w:szCs w:val="24"/>
                <w:highlight w:val="green"/>
                <w:lang w:eastAsia="zh-CN"/>
              </w:rPr>
              <w:t>Agreement:</w:t>
            </w:r>
          </w:p>
          <w:p>
            <w:pPr>
              <w:rPr>
                <w:rFonts w:eastAsia="宋体"/>
                <w:color w:val="000000"/>
                <w:szCs w:val="24"/>
                <w:highlight w:val="green"/>
                <w:lang w:eastAsia="zh-CN"/>
              </w:rPr>
            </w:pPr>
            <w:r>
              <w:rPr>
                <w:rFonts w:eastAsia="宋体"/>
                <w:color w:val="000000"/>
                <w:szCs w:val="24"/>
                <w:highlight w:val="green"/>
                <w:lang w:eastAsia="zh-CN"/>
              </w:rPr>
              <w:t>The impacted RRM requirement applicability for UE supporting [intraBandNRCA-NonCollocated-r18] due to new BS signalling</w:t>
            </w:r>
          </w:p>
          <w:p>
            <w:pPr>
              <w:widowControl w:val="0"/>
              <w:numPr>
                <w:ilvl w:val="1"/>
                <w:numId w:val="8"/>
              </w:numPr>
              <w:overflowPunct/>
              <w:autoSpaceDE/>
              <w:autoSpaceDN/>
              <w:adjustRightInd/>
              <w:spacing w:after="120"/>
              <w:ind w:left="1440"/>
              <w:jc w:val="both"/>
              <w:rPr>
                <w:rFonts w:ascii="Times New Roman" w:hAnsi="Times New Roman" w:eastAsia="宋体" w:cs="Times New Roman"/>
                <w:color w:val="000000"/>
                <w:kern w:val="2"/>
                <w:sz w:val="21"/>
                <w:szCs w:val="24"/>
                <w:highlight w:val="green"/>
                <w:lang w:val="en-US" w:eastAsia="zh-CN" w:bidi="ar-SA"/>
              </w:rPr>
            </w:pPr>
            <w:r>
              <w:rPr>
                <w:rFonts w:ascii="Times New Roman" w:hAnsi="Times New Roman" w:eastAsia="宋体" w:cs="Times New Roman"/>
                <w:color w:val="000000"/>
                <w:kern w:val="2"/>
                <w:sz w:val="21"/>
                <w:szCs w:val="24"/>
                <w:highlight w:val="green"/>
                <w:lang w:val="en-US" w:eastAsia="zh-CN" w:bidi="ar-SA"/>
              </w:rPr>
              <w:t xml:space="preserve">MRTD/MTTD, interruption, </w:t>
            </w:r>
            <w:r>
              <w:rPr>
                <w:rFonts w:hint="eastAsia" w:ascii="Times New Roman" w:hAnsi="Times New Roman" w:eastAsia="宋体" w:cs="Times New Roman"/>
                <w:color w:val="000000"/>
                <w:kern w:val="2"/>
                <w:sz w:val="21"/>
                <w:szCs w:val="24"/>
                <w:highlight w:val="green"/>
                <w:lang w:val="en-US" w:eastAsia="zh-CN" w:bidi="ar-SA"/>
              </w:rPr>
              <w:t>[</w:t>
            </w:r>
            <w:r>
              <w:rPr>
                <w:rFonts w:ascii="Times New Roman" w:hAnsi="Times New Roman" w:eastAsia="宋体" w:cs="Times New Roman"/>
                <w:color w:val="000000"/>
                <w:kern w:val="2"/>
                <w:sz w:val="21"/>
                <w:szCs w:val="24"/>
                <w:highlight w:val="green"/>
                <w:lang w:val="en-US" w:eastAsia="zh-CN" w:bidi="ar-SA"/>
              </w:rPr>
              <w:t>SCell</w:t>
            </w:r>
            <w:r>
              <w:rPr>
                <w:rFonts w:ascii="Times New Roman" w:hAnsi="Times New Roman" w:eastAsia="宋体" w:cs="Times New Roman"/>
                <w:kern w:val="2"/>
                <w:sz w:val="21"/>
                <w:szCs w:val="24"/>
                <w:highlight w:val="green"/>
                <w:lang w:val="en-US" w:eastAsia="zh-CN" w:bidi="ar-SA"/>
              </w:rPr>
              <w:t xml:space="preserve"> </w:t>
            </w:r>
            <w:r>
              <w:rPr>
                <w:rFonts w:ascii="Times New Roman" w:hAnsi="Times New Roman" w:eastAsia="宋体" w:cs="Times New Roman"/>
                <w:color w:val="000000"/>
                <w:kern w:val="2"/>
                <w:sz w:val="21"/>
                <w:szCs w:val="24"/>
                <w:highlight w:val="green"/>
                <w:lang w:val="en-US" w:eastAsia="zh-CN" w:bidi="ar-SA"/>
              </w:rPr>
              <w:t>activation delay, BFD/CBD, scheduling restrictions and measurement restrictions requirements.]</w:t>
            </w:r>
          </w:p>
          <w:p>
            <w:pPr>
              <w:rPr>
                <w:b/>
                <w:color w:val="000000" w:themeColor="text1"/>
                <w:u w:val="single"/>
                <w14:textFill>
                  <w14:solidFill>
                    <w14:schemeClr w14:val="tx1"/>
                  </w14:solidFill>
                </w14:textFill>
              </w:rPr>
            </w:pPr>
            <w:r>
              <w:rPr>
                <w:b/>
                <w:color w:val="000000" w:themeColor="text1"/>
                <w:u w:val="single"/>
                <w14:textFill>
                  <w14:solidFill>
                    <w14:schemeClr w14:val="tx1"/>
                  </w14:solidFill>
                </w14:textFill>
              </w:rPr>
              <w:t xml:space="preserve">Issue 1-4: the impacted RRM requirement </w:t>
            </w:r>
            <w:r>
              <w:rPr>
                <w:b/>
                <w:color w:val="000000" w:themeColor="text1"/>
                <w:u w:val="single"/>
                <w:lang w:eastAsia="zh-CN"/>
                <w14:textFill>
                  <w14:solidFill>
                    <w14:schemeClr w14:val="tx1"/>
                  </w14:solidFill>
                </w14:textFill>
              </w:rPr>
              <w:t xml:space="preserve">for R18 UE supporting </w:t>
            </w:r>
            <w:r>
              <w:rPr>
                <w:b/>
                <w:i/>
                <w:color w:val="000000" w:themeColor="text1"/>
                <w:u w:val="single"/>
                <w:lang w:eastAsia="zh-CN"/>
                <w14:textFill>
                  <w14:solidFill>
                    <w14:schemeClr w14:val="tx1"/>
                  </w14:solidFill>
                </w14:textFill>
              </w:rPr>
              <w:t>interBandMRDC-WithOverlapDL-Bands-r16</w:t>
            </w:r>
            <w:r>
              <w:rPr>
                <w:b/>
                <w:color w:val="000000" w:themeColor="text1"/>
                <w:u w:val="single"/>
                <w:lang w:eastAsia="zh-CN"/>
                <w14:textFill>
                  <w14:solidFill>
                    <w14:schemeClr w14:val="tx1"/>
                  </w14:solidFill>
                </w14:textFill>
              </w:rPr>
              <w:t xml:space="preserve"> due to new BS signalling</w:t>
            </w:r>
          </w:p>
          <w:p>
            <w:pPr>
              <w:rPr>
                <w:color w:val="000000" w:themeColor="text1"/>
                <w:lang w:eastAsia="zh-CN"/>
                <w14:textFill>
                  <w14:solidFill>
                    <w14:schemeClr w14:val="tx1"/>
                  </w14:solidFill>
                </w14:textFill>
              </w:rPr>
            </w:pPr>
            <w:r>
              <w:rPr>
                <w:color w:val="000000" w:themeColor="text1"/>
                <w:highlight w:val="green"/>
                <w:lang w:eastAsia="zh-CN"/>
                <w14:textFill>
                  <w14:solidFill>
                    <w14:schemeClr w14:val="tx1"/>
                  </w14:solidFill>
                </w14:textFill>
              </w:rPr>
              <w:t>Agreement</w:t>
            </w:r>
            <w:r>
              <w:rPr>
                <w:color w:val="000000" w:themeColor="text1"/>
                <w:lang w:eastAsia="zh-CN"/>
                <w14:textFill>
                  <w14:solidFill>
                    <w14:schemeClr w14:val="tx1"/>
                  </w14:solidFill>
                </w14:textFill>
              </w:rPr>
              <w:t>:</w:t>
            </w:r>
          </w:p>
          <w:p>
            <w:pPr>
              <w:rPr>
                <w:color w:val="000000" w:themeColor="text1"/>
                <w:highlight w:val="green"/>
                <w:lang w:eastAsia="zh-CN"/>
                <w14:textFill>
                  <w14:solidFill>
                    <w14:schemeClr w14:val="tx1"/>
                  </w14:solidFill>
                </w14:textFill>
              </w:rPr>
            </w:pPr>
            <w:r>
              <w:rPr>
                <w:color w:val="000000" w:themeColor="text1"/>
                <w:highlight w:val="green"/>
                <w:lang w:eastAsia="zh-CN"/>
                <w14:textFill>
                  <w14:solidFill>
                    <w14:schemeClr w14:val="tx1"/>
                  </w14:solidFill>
                </w14:textFill>
              </w:rPr>
              <w:t>The impacted RRM requirement applicability for UE supporting interBandMRDC-WithOverlapDL-Bands-r16 due to new BS signalling</w:t>
            </w:r>
          </w:p>
          <w:p>
            <w:pPr>
              <w:pStyle w:val="33"/>
              <w:numPr>
                <w:ilvl w:val="1"/>
                <w:numId w:val="8"/>
              </w:numPr>
              <w:ind w:left="1440"/>
              <w:rPr>
                <w:color w:val="000000" w:themeColor="text1"/>
                <w:highlight w:val="green"/>
                <w14:textFill>
                  <w14:solidFill>
                    <w14:schemeClr w14:val="tx1"/>
                  </w14:solidFill>
                </w14:textFill>
              </w:rPr>
            </w:pPr>
            <w:r>
              <w:rPr>
                <w:color w:val="000000" w:themeColor="text1"/>
                <w:highlight w:val="green"/>
                <w14:textFill>
                  <w14:solidFill>
                    <w14:schemeClr w14:val="tx1"/>
                  </w14:solidFill>
                </w14:textFill>
              </w:rPr>
              <w:t>MRTD/MTTD and interruption requirements.</w:t>
            </w:r>
          </w:p>
          <w:p>
            <w:pPr>
              <w:pStyle w:val="33"/>
              <w:numPr>
                <w:ilvl w:val="-1"/>
                <w:numId w:val="0"/>
              </w:numPr>
              <w:ind w:left="0" w:leftChars="0" w:firstLine="0" w:firstLineChars="0"/>
              <w:rPr>
                <w:lang w:val="en-US"/>
              </w:rPr>
            </w:pPr>
          </w:p>
        </w:tc>
      </w:tr>
    </w:tbl>
    <w:p>
      <w:pPr>
        <w:widowControl w:val="0"/>
        <w:adjustRightInd w:val="0"/>
        <w:snapToGrid w:val="0"/>
        <w:spacing w:before="180"/>
        <w:rPr>
          <w:rFonts w:hint="default"/>
          <w:b/>
          <w:bCs/>
          <w:lang w:val="en-US" w:eastAsia="zh-CN"/>
        </w:rPr>
      </w:pPr>
      <w:r>
        <w:rPr>
          <w:rFonts w:hint="eastAsia"/>
          <w:b/>
          <w:bCs/>
          <w:lang w:val="en-US" w:eastAsia="zh-CN"/>
        </w:rPr>
        <w:t xml:space="preserve">Observation 1: For type 4 capable UE, </w:t>
      </w:r>
      <w:r>
        <w:rPr>
          <w:b/>
          <w:bCs/>
          <w:lang w:eastAsia="zh-CN"/>
        </w:rPr>
        <w:t>MRTD/MTTD and the other RRM requirements need to be adapted based on the eventual UE type in operation which is indicated by the BS signaling</w:t>
      </w:r>
      <w:r>
        <w:rPr>
          <w:rFonts w:hint="eastAsia"/>
          <w:b/>
          <w:bCs/>
          <w:lang w:val="en-US" w:eastAsia="zh-CN"/>
        </w:rPr>
        <w:t>.</w:t>
      </w:r>
    </w:p>
    <w:p>
      <w:pPr>
        <w:widowControl w:val="0"/>
        <w:adjustRightInd w:val="0"/>
        <w:snapToGrid w:val="0"/>
        <w:spacing w:before="180"/>
        <w:rPr>
          <w:rFonts w:hint="default"/>
          <w:lang w:val="en-US" w:eastAsia="zh-CN"/>
        </w:rPr>
      </w:pPr>
      <w:r>
        <w:rPr>
          <w:rFonts w:hint="eastAsia"/>
          <w:lang w:val="en-US" w:eastAsia="zh-CN"/>
        </w:rPr>
        <w:t xml:space="preserve">In our understanding, the requirements defined for </w:t>
      </w:r>
      <w:r>
        <w:rPr>
          <w:sz w:val="21"/>
          <w:szCs w:val="21"/>
        </w:rPr>
        <w:t>type 2 UE in collocated scenario in R18</w:t>
      </w:r>
      <w:r>
        <w:rPr>
          <w:rFonts w:hint="eastAsia"/>
          <w:sz w:val="21"/>
          <w:szCs w:val="21"/>
          <w:lang w:val="en-US" w:eastAsia="zh-CN"/>
        </w:rPr>
        <w:t xml:space="preserve"> can be applied</w:t>
      </w:r>
      <w:r>
        <w:rPr>
          <w:rFonts w:hint="eastAsia"/>
          <w:lang w:val="en-US" w:eastAsia="zh-CN"/>
        </w:rPr>
        <w:t xml:space="preserve"> w</w:t>
      </w:r>
      <w:r>
        <w:rPr>
          <w:lang w:val="en-US" w:eastAsia="zh-CN"/>
        </w:rPr>
        <w:t>hen Type 4 capable UE operates with shared RF chains in collocated scenario</w:t>
      </w:r>
      <w:r>
        <w:rPr>
          <w:rFonts w:hint="eastAsia"/>
          <w:lang w:val="en-US" w:eastAsia="zh-CN"/>
        </w:rPr>
        <w:t>. However, new BS Signaling to switch between Type 4a/4b and Type 1 UE is discussing in RF session [4]. To avoid modifying the requirements again, it</w:t>
      </w:r>
      <w:r>
        <w:rPr>
          <w:rFonts w:hint="default"/>
          <w:lang w:val="en-US" w:eastAsia="zh-CN"/>
        </w:rPr>
        <w:t>’</w:t>
      </w:r>
      <w:r>
        <w:rPr>
          <w:rFonts w:hint="eastAsia"/>
          <w:lang w:val="en-US" w:eastAsia="zh-CN"/>
        </w:rPr>
        <w:t xml:space="preserve">s fine for us to </w:t>
      </w:r>
      <w:r>
        <w:rPr>
          <w:rFonts w:eastAsiaTheme="minorEastAsia"/>
          <w:sz w:val="21"/>
          <w:szCs w:val="21"/>
          <w:lang w:eastAsia="zh-CN"/>
        </w:rPr>
        <w:t>wait for RF progress on</w:t>
      </w:r>
      <w:r>
        <w:t xml:space="preserve"> </w:t>
      </w:r>
      <w:r>
        <w:rPr>
          <w:rFonts w:eastAsiaTheme="minorEastAsia"/>
          <w:sz w:val="21"/>
          <w:szCs w:val="21"/>
          <w:lang w:eastAsia="zh-CN"/>
        </w:rPr>
        <w:t>UE type transition and design of new UE capabilities/NW signalling.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rPr>
                <w:rFonts w:hint="default"/>
                <w:lang w:val="en-US" w:eastAsia="zh-CN"/>
              </w:rPr>
            </w:pPr>
            <w:r>
              <w:rPr>
                <w:rFonts w:hint="eastAsia"/>
                <w:lang w:val="en-US" w:eastAsia="zh-CN"/>
              </w:rPr>
              <w:t>RAN4#112</w:t>
            </w:r>
          </w:p>
          <w:p>
            <w:pPr>
              <w:pStyle w:val="4"/>
              <w:rPr>
                <w:sz w:val="22"/>
                <w:szCs w:val="22"/>
                <w:lang w:eastAsia="ko-KR"/>
              </w:rPr>
            </w:pPr>
            <w:r>
              <w:rPr>
                <w:sz w:val="22"/>
                <w:szCs w:val="22"/>
                <w:lang w:eastAsia="ko-KR"/>
              </w:rPr>
              <w:t>&lt; Issue 2-3-4: New BS Signaling to switch between Type 4a/4b and Type 1 4L/CC(collocated)&gt;</w:t>
            </w:r>
          </w:p>
          <w:p>
            <w:pPr>
              <w:rPr>
                <w:b/>
                <w:lang w:val="en-US" w:eastAsia="zh-CN"/>
              </w:rPr>
            </w:pPr>
            <w:r>
              <w:rPr>
                <w:b/>
                <w:lang w:val="en-US" w:eastAsia="zh-CN"/>
              </w:rPr>
              <w:t>Way Forward:</w:t>
            </w:r>
          </w:p>
          <w:p>
            <w:pPr>
              <w:numPr>
                <w:ilvl w:val="0"/>
                <w:numId w:val="9"/>
              </w:numPr>
            </w:pPr>
            <w:r>
              <w:t>First, conclude discussions of whether to add new UE capability(s) for Type 4.</w:t>
            </w:r>
          </w:p>
          <w:p>
            <w:pPr>
              <w:numPr>
                <w:ilvl w:val="0"/>
                <w:numId w:val="9"/>
              </w:numPr>
            </w:pPr>
            <w:r>
              <w:t>And then, continue further discussion on BS signalling in the next meeting.</w:t>
            </w:r>
          </w:p>
          <w:p/>
          <w:p>
            <w:pPr>
              <w:pStyle w:val="4"/>
              <w:rPr>
                <w:sz w:val="22"/>
                <w:szCs w:val="22"/>
                <w:lang w:eastAsia="ko-KR"/>
              </w:rPr>
            </w:pPr>
            <w:r>
              <w:rPr>
                <w:sz w:val="22"/>
                <w:szCs w:val="22"/>
                <w:lang w:eastAsia="ko-KR"/>
              </w:rPr>
              <w:t>&lt; Issue 2-3-5:  New BS Signaling to switch between Type 4a/4b and Type 1 6L/8L/CC(collocated) &gt;</w:t>
            </w:r>
          </w:p>
          <w:p>
            <w:pPr>
              <w:rPr>
                <w:b/>
                <w:lang w:val="en-US" w:eastAsia="zh-CN"/>
              </w:rPr>
            </w:pPr>
            <w:r>
              <w:rPr>
                <w:b/>
                <w:lang w:val="en-US" w:eastAsia="zh-CN"/>
              </w:rPr>
              <w:t>Way Forward:</w:t>
            </w:r>
          </w:p>
          <w:p>
            <w:pPr>
              <w:numPr>
                <w:ilvl w:val="0"/>
                <w:numId w:val="9"/>
              </w:numPr>
            </w:pPr>
            <w:r>
              <w:t>First, conclude discussions of whether to add new UE capability(s) for Type 4.</w:t>
            </w:r>
          </w:p>
          <w:p>
            <w:pPr>
              <w:numPr>
                <w:ilvl w:val="0"/>
                <w:numId w:val="9"/>
              </w:numPr>
            </w:pPr>
            <w:r>
              <w:t>And then, continue further discussion on BS signalling in the next meeting.</w:t>
            </w:r>
          </w:p>
          <w:p>
            <w:pPr>
              <w:pStyle w:val="33"/>
              <w:numPr>
                <w:ilvl w:val="-1"/>
                <w:numId w:val="0"/>
              </w:numPr>
              <w:ind w:left="0" w:leftChars="0" w:firstLine="0" w:firstLineChars="0"/>
              <w:rPr>
                <w:lang w:val="en-US"/>
              </w:rPr>
            </w:pPr>
          </w:p>
        </w:tc>
      </w:tr>
    </w:tbl>
    <w:p>
      <w:pPr>
        <w:widowControl w:val="0"/>
        <w:adjustRightInd w:val="0"/>
        <w:snapToGrid w:val="0"/>
        <w:spacing w:before="180"/>
        <w:rPr>
          <w:rFonts w:hint="eastAsia"/>
          <w:b/>
          <w:szCs w:val="24"/>
          <w:u w:val="none"/>
          <w:lang w:val="en-US" w:eastAsia="zh-CN"/>
        </w:rPr>
      </w:pPr>
      <w:r>
        <w:rPr>
          <w:rFonts w:hint="eastAsia" w:eastAsia="宋体"/>
          <w:b/>
          <w:bCs/>
          <w:sz w:val="22"/>
          <w:lang w:val="en-US" w:eastAsia="zh-CN"/>
        </w:rPr>
        <w:t xml:space="preserve">Proposal 2: </w:t>
      </w:r>
      <w:r>
        <w:rPr>
          <w:rFonts w:hint="eastAsia" w:eastAsia="宋体"/>
          <w:b/>
          <w:bCs/>
          <w:sz w:val="22"/>
          <w:u w:val="none"/>
          <w:lang w:val="en-US" w:eastAsia="zh-CN"/>
        </w:rPr>
        <w:t>R</w:t>
      </w:r>
      <w:r>
        <w:rPr>
          <w:b/>
          <w:szCs w:val="24"/>
          <w:u w:val="none"/>
          <w:lang w:eastAsia="zh-CN"/>
        </w:rPr>
        <w:t>equirements for Type 4 capable UE</w:t>
      </w:r>
      <w:r>
        <w:rPr>
          <w:rFonts w:hint="eastAsia"/>
          <w:b/>
          <w:szCs w:val="24"/>
          <w:u w:val="none"/>
          <w:lang w:eastAsia="zh-CN"/>
        </w:rPr>
        <w:t xml:space="preserve"> </w:t>
      </w:r>
      <w:r>
        <w:rPr>
          <w:b/>
          <w:szCs w:val="24"/>
          <w:u w:val="none"/>
          <w:lang w:eastAsia="zh-CN"/>
        </w:rPr>
        <w:t xml:space="preserve">when UE operates with shared RF chains </w:t>
      </w:r>
      <w:r>
        <w:rPr>
          <w:rFonts w:hint="eastAsia"/>
          <w:b/>
          <w:szCs w:val="24"/>
          <w:u w:val="none"/>
          <w:lang w:val="en-US" w:eastAsia="zh-CN"/>
        </w:rPr>
        <w:t xml:space="preserve">should be discussed based on RF progress on UE type transition and design of new UE capabilities/NW signalling. </w:t>
      </w:r>
    </w:p>
    <w:p>
      <w:pPr>
        <w:pStyle w:val="3"/>
      </w:pPr>
      <w:r>
        <w:rPr>
          <w:rFonts w:hint="eastAsia"/>
          <w:lang w:eastAsia="zh-CN"/>
        </w:rPr>
        <w:t>2.3 SCell BFD/CBD requirements</w:t>
      </w:r>
    </w:p>
    <w:p>
      <w:pPr>
        <w:numPr>
          <w:ilvl w:val="0"/>
          <w:numId w:val="6"/>
        </w:numPr>
        <w:spacing w:before="157" w:beforeLines="50"/>
        <w:ind w:left="840" w:hanging="420"/>
        <w:rPr>
          <w:rFonts w:hint="eastAsia"/>
          <w:sz w:val="22"/>
          <w:szCs w:val="16"/>
          <w:lang w:val="en-US" w:eastAsia="zh-CN"/>
        </w:rPr>
      </w:pPr>
      <w:r>
        <w:rPr>
          <w:b w:val="0"/>
          <w:bCs/>
          <w:szCs w:val="24"/>
          <w:u w:val="none"/>
          <w:lang w:eastAsia="zh-CN"/>
        </w:rPr>
        <w:t>SCell BFD/CBD requirements for Type 4 capable UE</w:t>
      </w:r>
    </w:p>
    <w:p>
      <w:pPr>
        <w:widowControl w:val="0"/>
        <w:adjustRightInd w:val="0"/>
        <w:snapToGrid w:val="0"/>
        <w:spacing w:before="180" w:beforeLines="-2147483648"/>
        <w:rPr>
          <w:rFonts w:hint="eastAsia" w:eastAsia="宋体"/>
          <w:sz w:val="22"/>
          <w:lang w:val="en-US" w:eastAsia="zh-CN"/>
        </w:rPr>
      </w:pPr>
      <w:r>
        <w:rPr>
          <w:rFonts w:hint="eastAsia" w:eastAsia="宋体"/>
          <w:b w:val="0"/>
          <w:i w:val="0"/>
          <w:color w:val="auto"/>
          <w:sz w:val="22"/>
          <w:lang w:val="en-US" w:eastAsia="zh-CN"/>
        </w:rPr>
        <w:t xml:space="preserve">Similar as Type2 UE, we should revised BFD/CBD measurements requirements for FR1 intra-band non-contiguous CA supporting non-collocated deployment for 4-layer MIMO case. As mentioned in previous meeting, </w:t>
      </w:r>
      <w:r>
        <w:rPr>
          <w:rFonts w:hint="eastAsia" w:eastAsia="宋体"/>
          <w:sz w:val="22"/>
          <w:lang w:val="en-US" w:eastAsia="zh-CN"/>
        </w:rPr>
        <w:t>i</w:t>
      </w:r>
      <w:r>
        <w:rPr>
          <w:rFonts w:eastAsia="宋体"/>
          <w:sz w:val="22"/>
          <w:lang w:eastAsia="zh-CN"/>
        </w:rPr>
        <w:t>t is assumed that the serving cells in the same band have the similar link quality in co-located deploymen</w:t>
      </w:r>
      <w:r>
        <w:rPr>
          <w:rFonts w:hint="eastAsia" w:eastAsia="宋体"/>
          <w:sz w:val="22"/>
          <w:lang w:val="en-US" w:eastAsia="zh-CN"/>
        </w:rPr>
        <w:t xml:space="preserve"> f</w:t>
      </w:r>
      <w:r>
        <w:rPr>
          <w:rFonts w:eastAsia="宋体"/>
          <w:sz w:val="22"/>
          <w:lang w:eastAsia="zh-CN"/>
        </w:rPr>
        <w:t xml:space="preserve">or link recovery procedure, </w:t>
      </w:r>
      <w:r>
        <w:rPr>
          <w:rFonts w:hint="eastAsia" w:eastAsia="宋体"/>
          <w:sz w:val="22"/>
          <w:lang w:val="en-US" w:eastAsia="zh-CN"/>
        </w:rPr>
        <w:t xml:space="preserve">and </w:t>
      </w:r>
      <w:r>
        <w:rPr>
          <w:rFonts w:eastAsia="宋体"/>
          <w:sz w:val="22"/>
          <w:lang w:eastAsia="zh-CN"/>
        </w:rPr>
        <w:t>the link qualities of serving cells in the same band could be different</w:t>
      </w:r>
      <w:r>
        <w:rPr>
          <w:rFonts w:hint="eastAsia" w:eastAsia="宋体"/>
          <w:sz w:val="22"/>
          <w:lang w:val="en-US" w:eastAsia="zh-CN"/>
        </w:rPr>
        <w:t xml:space="preserve"> </w:t>
      </w:r>
      <w:r>
        <w:rPr>
          <w:rFonts w:eastAsia="宋体"/>
          <w:sz w:val="22"/>
          <w:lang w:eastAsia="zh-CN"/>
        </w:rPr>
        <w:t xml:space="preserve">for Type 2 UE in non-collocated deployment. </w:t>
      </w:r>
      <w:r>
        <w:rPr>
          <w:rFonts w:hint="eastAsia" w:eastAsia="宋体"/>
          <w:sz w:val="22"/>
          <w:lang w:val="en-US" w:eastAsia="zh-CN"/>
        </w:rPr>
        <w:t>Consequently, t</w:t>
      </w:r>
      <w:r>
        <w:rPr>
          <w:rFonts w:eastAsia="宋体"/>
          <w:sz w:val="22"/>
          <w:lang w:eastAsia="zh-CN"/>
        </w:rPr>
        <w:t>here is no need to limit BFD/CBD requirements only on one serving cell.</w:t>
      </w:r>
      <w:r>
        <w:rPr>
          <w:rFonts w:hint="eastAsia" w:eastAsia="宋体"/>
          <w:sz w:val="22"/>
          <w:lang w:val="en-US" w:eastAsia="zh-CN"/>
        </w:rPr>
        <w:t xml:space="preserve"> The same principle can be applied to type4 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33"/>
              <w:numPr>
                <w:ilvl w:val="-1"/>
                <w:numId w:val="0"/>
              </w:numPr>
              <w:overflowPunct w:val="0"/>
              <w:autoSpaceDE w:val="0"/>
              <w:autoSpaceDN w:val="0"/>
              <w:adjustRightInd w:val="0"/>
              <w:spacing w:line="252" w:lineRule="auto"/>
              <w:ind w:left="0" w:leftChars="0" w:firstLine="0" w:firstLineChars="0"/>
              <w:rPr>
                <w:rFonts w:hint="default" w:eastAsia="宋体"/>
                <w:lang w:val="en-US" w:eastAsia="zh-CN"/>
              </w:rPr>
            </w:pPr>
            <w:r>
              <w:rPr>
                <w:rFonts w:hint="eastAsia"/>
                <w:lang w:val="en-US" w:eastAsia="zh-CN"/>
              </w:rPr>
              <w:t>Ran4#106bis</w:t>
            </w:r>
          </w:p>
          <w:p>
            <w:pPr>
              <w:rPr>
                <w:rFonts w:hint="default" w:eastAsia="宋体"/>
                <w:lang w:val="en-US" w:eastAsia="zh-CN"/>
              </w:rPr>
            </w:pPr>
            <w:r>
              <w:rPr>
                <w:rFonts w:hint="eastAsia"/>
                <w:lang w:val="en-US" w:eastAsia="zh-CN"/>
              </w:rPr>
              <w:t xml:space="preserve">   </w:t>
            </w:r>
            <w:r>
              <w:rPr>
                <w:b/>
                <w:color w:val="000000" w:themeColor="text1"/>
                <w:sz w:val="22"/>
                <w:szCs w:val="22"/>
                <w:u w:val="single"/>
                <w:lang w:eastAsia="ko-KR"/>
                <w14:textFill>
                  <w14:solidFill>
                    <w14:schemeClr w14:val="tx1"/>
                  </w14:solidFill>
                </w14:textFill>
              </w:rPr>
              <w:t>Issue 1-5-2: Impacts on SCell BFD requirements</w:t>
            </w:r>
          </w:p>
          <w:p>
            <w:pPr>
              <w:pStyle w:val="33"/>
              <w:numPr>
                <w:ilvl w:val="1"/>
                <w:numId w:val="7"/>
              </w:numPr>
              <w:overflowPunct w:val="0"/>
              <w:autoSpaceDE w:val="0"/>
              <w:autoSpaceDN w:val="0"/>
              <w:adjustRightInd w:val="0"/>
              <w:spacing w:line="252" w:lineRule="auto"/>
              <w:rPr>
                <w:lang w:val="en-US"/>
              </w:rPr>
            </w:pPr>
            <w:r>
              <w:rPr>
                <w:highlight w:val="green"/>
                <w:lang w:eastAsia="ja-JP"/>
              </w:rPr>
              <w:t>For non-collocated FR1 intra-band non-contiguous CA, Type 2 UE can be configured with BFD/CBD measurements on up to two serving cells in the same band</w:t>
            </w:r>
          </w:p>
        </w:tc>
      </w:tr>
    </w:tbl>
    <w:p>
      <w:pPr>
        <w:adjustRightInd w:val="0"/>
        <w:snapToGrid w:val="0"/>
        <w:spacing w:before="180" w:beforeLines="-2147483648"/>
        <w:rPr>
          <w:rFonts w:hint="default"/>
          <w:iCs/>
          <w:sz w:val="22"/>
          <w:highlight w:val="none"/>
          <w:lang w:val="en-US" w:eastAsia="zh-CN"/>
        </w:rPr>
      </w:pPr>
      <w:r>
        <w:rPr>
          <w:rFonts w:hint="eastAsia" w:eastAsia="宋体"/>
          <w:b/>
          <w:i w:val="0"/>
          <w:iCs/>
          <w:sz w:val="22"/>
          <w:highlight w:val="none"/>
          <w:lang w:eastAsia="zh-CN"/>
        </w:rPr>
        <w:t>P</w:t>
      </w:r>
      <w:r>
        <w:rPr>
          <w:rFonts w:eastAsia="宋体"/>
          <w:b/>
          <w:i w:val="0"/>
          <w:iCs/>
          <w:sz w:val="22"/>
          <w:highlight w:val="none"/>
          <w:lang w:eastAsia="zh-CN"/>
        </w:rPr>
        <w:t xml:space="preserve">roposal </w:t>
      </w:r>
      <w:r>
        <w:rPr>
          <w:rFonts w:hint="eastAsia" w:eastAsia="宋体"/>
          <w:b/>
          <w:i w:val="0"/>
          <w:iCs/>
          <w:sz w:val="22"/>
          <w:highlight w:val="none"/>
          <w:lang w:val="en-US" w:eastAsia="zh-CN"/>
        </w:rPr>
        <w:t>3</w:t>
      </w:r>
      <w:r>
        <w:rPr>
          <w:rFonts w:eastAsia="宋体"/>
          <w:b/>
          <w:i w:val="0"/>
          <w:iCs/>
          <w:sz w:val="22"/>
          <w:highlight w:val="none"/>
          <w:lang w:eastAsia="zh-CN"/>
        </w:rPr>
        <w:t xml:space="preserve">: It is suggested that Type </w:t>
      </w:r>
      <w:r>
        <w:rPr>
          <w:rFonts w:hint="eastAsia" w:eastAsia="宋体"/>
          <w:b/>
          <w:i w:val="0"/>
          <w:iCs/>
          <w:sz w:val="22"/>
          <w:highlight w:val="none"/>
          <w:lang w:val="en-US" w:eastAsia="zh-CN"/>
        </w:rPr>
        <w:t>4</w:t>
      </w:r>
      <w:r>
        <w:rPr>
          <w:rFonts w:eastAsia="宋体"/>
          <w:b/>
          <w:i w:val="0"/>
          <w:iCs/>
          <w:sz w:val="22"/>
          <w:highlight w:val="none"/>
          <w:lang w:eastAsia="zh-CN"/>
        </w:rPr>
        <w:t xml:space="preserve"> UE can be configured with BFD/CBD measurements on more than one serving cells in the same band.</w:t>
      </w:r>
    </w:p>
    <w:p>
      <w:pPr>
        <w:pStyle w:val="54"/>
        <w:tabs>
          <w:tab w:val="left" w:pos="323"/>
          <w:tab w:val="left" w:pos="567"/>
          <w:tab w:val="clear" w:pos="1985"/>
        </w:tabs>
        <w:adjustRightInd w:val="0"/>
        <w:ind w:left="510" w:hanging="510"/>
      </w:pPr>
      <w:r>
        <w:rPr>
          <w:rFonts w:hint="eastAsia"/>
          <w:lang w:eastAsia="zh-CN"/>
        </w:rPr>
        <w:tab/>
      </w:r>
      <w:r>
        <w:t>Conclusions</w:t>
      </w:r>
    </w:p>
    <w:p>
      <w:pPr>
        <w:rPr>
          <w:rFonts w:hint="eastAsia" w:ascii="Times New Roman" w:hAnsi="Times New Roman" w:eastAsia="宋体"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w:t>
      </w:r>
      <w:r>
        <w:rPr>
          <w:rFonts w:hint="default" w:ascii="Times New Roman" w:hAnsi="Times New Roman" w:cs="Times New Roman"/>
          <w:b w:val="0"/>
          <w:bCs w:val="0"/>
          <w:sz w:val="21"/>
          <w:szCs w:val="21"/>
          <w:lang w:val="en-US" w:eastAsia="en-US"/>
        </w:rPr>
        <w:t>s</w:t>
      </w:r>
      <w:r>
        <w:rPr>
          <w:rFonts w:hint="eastAsia" w:cs="Times New Roman"/>
          <w:b w:val="0"/>
          <w:bCs w:val="0"/>
          <w:sz w:val="21"/>
          <w:szCs w:val="21"/>
          <w:lang w:val="en-US" w:eastAsia="zh-CN"/>
        </w:rPr>
        <w:t>:</w:t>
      </w:r>
    </w:p>
    <w:p>
      <w:pPr>
        <w:spacing w:before="157" w:beforeLines="50"/>
        <w:rPr>
          <w:rFonts w:hint="eastAsia"/>
          <w:b/>
          <w:bCs/>
          <w:i w:val="0"/>
          <w:iCs w:val="0"/>
          <w:highlight w:val="none"/>
          <w:lang w:val="en-US" w:eastAsia="zh-CN"/>
        </w:rPr>
      </w:pPr>
      <w:r>
        <w:rPr>
          <w:rFonts w:hint="eastAsia"/>
          <w:b/>
          <w:bCs/>
          <w:i w:val="0"/>
          <w:iCs w:val="0"/>
          <w:highlight w:val="none"/>
          <w:lang w:val="en-US" w:eastAsia="zh-CN"/>
        </w:rPr>
        <w:t>Proposal 1: Similar as Type 2 UE, for Type 4 UE</w:t>
      </w:r>
    </w:p>
    <w:p>
      <w:pPr>
        <w:pStyle w:val="33"/>
        <w:numPr>
          <w:ilvl w:val="0"/>
          <w:numId w:val="7"/>
        </w:numPr>
        <w:overflowPunct w:val="0"/>
        <w:autoSpaceDE w:val="0"/>
        <w:autoSpaceDN w:val="0"/>
        <w:adjustRightInd w:val="0"/>
        <w:spacing w:line="252" w:lineRule="auto"/>
        <w:ind w:left="660"/>
        <w:rPr>
          <w:b/>
          <w:bCs/>
          <w:i w:val="0"/>
          <w:iCs w:val="0"/>
          <w:highlight w:val="none"/>
          <w:lang w:eastAsia="ja-JP"/>
        </w:rPr>
      </w:pPr>
      <w:r>
        <w:rPr>
          <w:b/>
          <w:bCs/>
          <w:i w:val="0"/>
          <w:iCs w:val="0"/>
          <w:highlight w:val="none"/>
          <w:lang w:eastAsia="ja-JP"/>
        </w:rPr>
        <w:t xml:space="preserve">Do not </w:t>
      </w:r>
      <w:r>
        <w:rPr>
          <w:b/>
          <w:bCs/>
          <w:i w:val="0"/>
          <w:iCs w:val="0"/>
          <w:highlight w:val="none"/>
        </w:rPr>
        <w:t>consider MRTD/MTTD requirements for non-collocated FR1 inter-band asynchronous EN-DC with overlapping DL bands for TDD-TDD band combinations in the scope of this work item</w:t>
      </w:r>
    </w:p>
    <w:p>
      <w:pPr>
        <w:pStyle w:val="33"/>
        <w:numPr>
          <w:ilvl w:val="0"/>
          <w:numId w:val="7"/>
        </w:numPr>
        <w:overflowPunct w:val="0"/>
        <w:autoSpaceDE w:val="0"/>
        <w:autoSpaceDN w:val="0"/>
        <w:adjustRightInd w:val="0"/>
        <w:spacing w:before="0" w:beforeLines="-2147483648" w:line="252" w:lineRule="auto"/>
        <w:ind w:left="660"/>
        <w:rPr>
          <w:rFonts w:hint="eastAsia"/>
          <w:b/>
          <w:bCs/>
          <w:i w:val="0"/>
          <w:iCs w:val="0"/>
          <w:highlight w:val="none"/>
          <w:lang w:val="en-US" w:eastAsia="zh-CN"/>
        </w:rPr>
      </w:pPr>
      <w:r>
        <w:rPr>
          <w:b/>
          <w:bCs/>
          <w:i w:val="0"/>
          <w:iCs w:val="0"/>
          <w:highlight w:val="none"/>
          <w:lang w:eastAsia="ja-JP"/>
        </w:rPr>
        <w:t xml:space="preserve">Do not introduce </w:t>
      </w:r>
      <w:r>
        <w:rPr>
          <w:b/>
          <w:bCs/>
          <w:i w:val="0"/>
          <w:iCs w:val="0"/>
          <w:color w:val="000000" w:themeColor="text1"/>
          <w:highlight w:val="none"/>
          <w:lang w:eastAsia="ko-KR"/>
          <w14:textFill>
            <w14:solidFill>
              <w14:schemeClr w14:val="tx1"/>
            </w14:solidFill>
          </w14:textFill>
        </w:rPr>
        <w:t xml:space="preserve">MRTD/MTTD requirements for non-collocated FR1 intra-band asynchronous NR-CA for Type </w:t>
      </w:r>
      <w:r>
        <w:rPr>
          <w:rFonts w:hint="eastAsia"/>
          <w:b/>
          <w:bCs/>
          <w:i w:val="0"/>
          <w:iCs w:val="0"/>
          <w:color w:val="000000" w:themeColor="text1"/>
          <w:highlight w:val="none"/>
          <w:lang w:val="en-US" w:eastAsia="zh-CN"/>
          <w14:textFill>
            <w14:solidFill>
              <w14:schemeClr w14:val="tx1"/>
            </w14:solidFill>
          </w14:textFill>
        </w:rPr>
        <w:t>4</w:t>
      </w:r>
      <w:r>
        <w:rPr>
          <w:b/>
          <w:bCs/>
          <w:i w:val="0"/>
          <w:iCs w:val="0"/>
          <w:color w:val="000000" w:themeColor="text1"/>
          <w:highlight w:val="none"/>
          <w:lang w:eastAsia="ko-KR"/>
          <w14:textFill>
            <w14:solidFill>
              <w14:schemeClr w14:val="tx1"/>
            </w14:solidFill>
          </w14:textFill>
        </w:rPr>
        <w:t xml:space="preserve"> UE</w:t>
      </w:r>
    </w:p>
    <w:p>
      <w:pPr>
        <w:widowControl w:val="0"/>
        <w:adjustRightInd w:val="0"/>
        <w:snapToGrid w:val="0"/>
        <w:spacing w:before="180"/>
        <w:rPr>
          <w:rFonts w:hint="default"/>
          <w:b/>
          <w:bCs/>
          <w:i w:val="0"/>
          <w:iCs w:val="0"/>
          <w:lang w:val="en-US" w:eastAsia="zh-CN"/>
        </w:rPr>
      </w:pPr>
      <w:r>
        <w:rPr>
          <w:rFonts w:hint="eastAsia"/>
          <w:b/>
          <w:bCs/>
          <w:i w:val="0"/>
          <w:iCs w:val="0"/>
          <w:lang w:val="en-US" w:eastAsia="zh-CN"/>
        </w:rPr>
        <w:t xml:space="preserve">Observation 1: For type 4 capable UE, </w:t>
      </w:r>
      <w:r>
        <w:rPr>
          <w:b/>
          <w:bCs/>
          <w:i w:val="0"/>
          <w:iCs w:val="0"/>
          <w:lang w:eastAsia="zh-CN"/>
        </w:rPr>
        <w:t>MRTD/MTTD and the other RRM requirements need to be adapted based on the eventual UE type in operation which is indicated by the BS signaling</w:t>
      </w:r>
      <w:r>
        <w:rPr>
          <w:rFonts w:hint="eastAsia"/>
          <w:b/>
          <w:bCs/>
          <w:i w:val="0"/>
          <w:iCs w:val="0"/>
          <w:lang w:val="en-US" w:eastAsia="zh-CN"/>
        </w:rPr>
        <w:t>.</w:t>
      </w:r>
    </w:p>
    <w:p>
      <w:pPr>
        <w:adjustRightInd w:val="0"/>
        <w:snapToGrid w:val="0"/>
        <w:spacing w:before="180" w:beforeLines="-2147483648"/>
        <w:rPr>
          <w:rFonts w:hint="eastAsia" w:eastAsia="宋体"/>
          <w:b/>
          <w:i w:val="0"/>
          <w:iCs w:val="0"/>
          <w:sz w:val="22"/>
          <w:highlight w:val="none"/>
          <w:lang w:eastAsia="zh-CN"/>
        </w:rPr>
      </w:pPr>
      <w:r>
        <w:rPr>
          <w:rFonts w:hint="eastAsia" w:eastAsia="宋体"/>
          <w:b/>
          <w:bCs/>
          <w:i w:val="0"/>
          <w:iCs w:val="0"/>
          <w:sz w:val="22"/>
          <w:lang w:val="en-US" w:eastAsia="zh-CN"/>
        </w:rPr>
        <w:t xml:space="preserve">Proposal 2: </w:t>
      </w:r>
      <w:r>
        <w:rPr>
          <w:rFonts w:hint="eastAsia" w:eastAsia="宋体"/>
          <w:b/>
          <w:bCs/>
          <w:i w:val="0"/>
          <w:iCs w:val="0"/>
          <w:sz w:val="22"/>
          <w:u w:val="none"/>
          <w:lang w:val="en-US" w:eastAsia="zh-CN"/>
        </w:rPr>
        <w:t>R</w:t>
      </w:r>
      <w:r>
        <w:rPr>
          <w:b/>
          <w:i w:val="0"/>
          <w:iCs w:val="0"/>
          <w:szCs w:val="24"/>
          <w:u w:val="none"/>
          <w:lang w:eastAsia="zh-CN"/>
        </w:rPr>
        <w:t>equirements for Type 4 capable UE</w:t>
      </w:r>
      <w:r>
        <w:rPr>
          <w:rFonts w:hint="eastAsia"/>
          <w:b/>
          <w:i w:val="0"/>
          <w:iCs w:val="0"/>
          <w:szCs w:val="24"/>
          <w:u w:val="none"/>
          <w:lang w:eastAsia="zh-CN"/>
        </w:rPr>
        <w:t xml:space="preserve"> </w:t>
      </w:r>
      <w:r>
        <w:rPr>
          <w:b/>
          <w:i w:val="0"/>
          <w:iCs w:val="0"/>
          <w:szCs w:val="24"/>
          <w:u w:val="none"/>
          <w:lang w:eastAsia="zh-CN"/>
        </w:rPr>
        <w:t xml:space="preserve">when UE operates with shared RF chains </w:t>
      </w:r>
      <w:r>
        <w:rPr>
          <w:rFonts w:hint="eastAsia"/>
          <w:b/>
          <w:i w:val="0"/>
          <w:iCs w:val="0"/>
          <w:szCs w:val="24"/>
          <w:u w:val="none"/>
          <w:lang w:val="en-US" w:eastAsia="zh-CN"/>
        </w:rPr>
        <w:t>should be discussed based on RF progress on UE type transition and design of new UE capabilities/NW signalling.</w:t>
      </w:r>
    </w:p>
    <w:p>
      <w:pPr>
        <w:adjustRightInd w:val="0"/>
        <w:snapToGrid w:val="0"/>
        <w:spacing w:before="180" w:beforeLines="-2147483648"/>
        <w:rPr>
          <w:rFonts w:eastAsiaTheme="minorEastAsia"/>
          <w:b/>
          <w:i w:val="0"/>
          <w:iCs w:val="0"/>
          <w:sz w:val="22"/>
          <w:highlight w:val="none"/>
          <w:lang w:val="en-US" w:eastAsia="zh-CN"/>
        </w:rPr>
      </w:pPr>
      <w:r>
        <w:rPr>
          <w:rFonts w:hint="eastAsia" w:eastAsia="宋体"/>
          <w:b/>
          <w:i w:val="0"/>
          <w:iCs w:val="0"/>
          <w:sz w:val="22"/>
          <w:highlight w:val="none"/>
          <w:lang w:eastAsia="zh-CN"/>
        </w:rPr>
        <w:t>P</w:t>
      </w:r>
      <w:r>
        <w:rPr>
          <w:rFonts w:eastAsia="宋体"/>
          <w:b/>
          <w:i w:val="0"/>
          <w:iCs w:val="0"/>
          <w:sz w:val="22"/>
          <w:highlight w:val="none"/>
          <w:lang w:eastAsia="zh-CN"/>
        </w:rPr>
        <w:t xml:space="preserve">roposal </w:t>
      </w:r>
      <w:r>
        <w:rPr>
          <w:rFonts w:hint="eastAsia"/>
          <w:b/>
          <w:i w:val="0"/>
          <w:iCs w:val="0"/>
          <w:sz w:val="22"/>
          <w:highlight w:val="none"/>
          <w:lang w:val="en-US" w:eastAsia="zh-CN"/>
        </w:rPr>
        <w:t>3</w:t>
      </w:r>
      <w:r>
        <w:rPr>
          <w:rFonts w:eastAsia="宋体"/>
          <w:b/>
          <w:i w:val="0"/>
          <w:iCs w:val="0"/>
          <w:sz w:val="22"/>
          <w:highlight w:val="none"/>
          <w:lang w:eastAsia="zh-CN"/>
        </w:rPr>
        <w:t xml:space="preserve">: For Type </w:t>
      </w:r>
      <w:r>
        <w:rPr>
          <w:rFonts w:hint="eastAsia" w:eastAsia="宋体"/>
          <w:b/>
          <w:i w:val="0"/>
          <w:iCs w:val="0"/>
          <w:sz w:val="22"/>
          <w:highlight w:val="none"/>
          <w:lang w:val="en-US" w:eastAsia="zh-CN"/>
        </w:rPr>
        <w:t>4</w:t>
      </w:r>
      <w:r>
        <w:rPr>
          <w:rFonts w:eastAsia="宋体"/>
          <w:b/>
          <w:i w:val="0"/>
          <w:iCs w:val="0"/>
          <w:sz w:val="22"/>
          <w:highlight w:val="none"/>
          <w:lang w:eastAsia="zh-CN"/>
        </w:rPr>
        <w:t xml:space="preserve"> UE with FR1 intra-band CA, there are no scheduling restrictions on carriers in the same band.</w:t>
      </w:r>
    </w:p>
    <w:p>
      <w:pPr>
        <w:pStyle w:val="54"/>
        <w:tabs>
          <w:tab w:val="left" w:pos="567"/>
          <w:tab w:val="clear" w:pos="1985"/>
        </w:tabs>
        <w:adjustRightInd w:val="0"/>
        <w:ind w:left="510" w:hanging="510"/>
      </w:pPr>
      <w:r>
        <w:t>References</w:t>
      </w:r>
    </w:p>
    <w:p>
      <w:pPr>
        <w:numPr>
          <w:ilvl w:val="0"/>
          <w:numId w:val="10"/>
        </w:numPr>
      </w:pPr>
      <w:r>
        <w:rPr>
          <w:rFonts w:eastAsia="宋体"/>
          <w:sz w:val="22"/>
          <w:lang w:eastAsia="zh-CN"/>
        </w:rPr>
        <w:t xml:space="preserve">RP-240838, New WID on Support of intra-band non-collocated EN-DC/NR-CA, </w:t>
      </w:r>
      <w:r>
        <w:rPr>
          <w:rFonts w:hint="eastAsia" w:eastAsia="宋体"/>
          <w:sz w:val="22"/>
          <w:lang w:eastAsia="zh-CN"/>
        </w:rPr>
        <w:t>Moderator (Apple)</w:t>
      </w:r>
    </w:p>
    <w:p>
      <w:pPr>
        <w:numPr>
          <w:ilvl w:val="0"/>
          <w:numId w:val="10"/>
        </w:numPr>
        <w:rPr>
          <w:sz w:val="22"/>
          <w:szCs w:val="24"/>
        </w:rPr>
      </w:pPr>
      <w:r>
        <w:rPr>
          <w:rFonts w:hint="eastAsia"/>
          <w:sz w:val="22"/>
          <w:szCs w:val="24"/>
          <w:lang w:val="en-US" w:eastAsia="zh-CN"/>
        </w:rPr>
        <w:t xml:space="preserve">R4-2220537, </w:t>
      </w:r>
      <w:r>
        <w:rPr>
          <w:rFonts w:eastAsia="宋体"/>
          <w:sz w:val="22"/>
          <w:lang w:eastAsia="zh-CN"/>
        </w:rPr>
        <w:t>WF on the requirement for intra-band non-collocated CA/EN-DC, KDDI</w:t>
      </w:r>
    </w:p>
    <w:p>
      <w:pPr>
        <w:numPr>
          <w:ilvl w:val="0"/>
          <w:numId w:val="10"/>
        </w:numPr>
        <w:rPr>
          <w:sz w:val="22"/>
          <w:szCs w:val="24"/>
        </w:rPr>
      </w:pPr>
      <w:r>
        <w:rPr>
          <w:sz w:val="22"/>
          <w:szCs w:val="24"/>
        </w:rPr>
        <w:fldChar w:fldCharType="begin"/>
      </w:r>
      <w:r>
        <w:rPr>
          <w:sz w:val="22"/>
          <w:szCs w:val="24"/>
        </w:rPr>
        <w:instrText xml:space="preserve"> HYPERLINK "ftp://10.10.10.10/ftp/tsg_ran/WG4_Radio/TSGR4_112/Inbox/R4-2413973.zip" </w:instrText>
      </w:r>
      <w:r>
        <w:rPr>
          <w:sz w:val="22"/>
          <w:szCs w:val="24"/>
        </w:rPr>
        <w:fldChar w:fldCharType="separate"/>
      </w:r>
      <w:r>
        <w:rPr>
          <w:sz w:val="22"/>
          <w:szCs w:val="24"/>
        </w:rPr>
        <w:t>R4-2413973</w:t>
      </w:r>
      <w:r>
        <w:rPr>
          <w:sz w:val="22"/>
          <w:szCs w:val="24"/>
        </w:rPr>
        <w:fldChar w:fldCharType="end"/>
      </w:r>
      <w:r>
        <w:rPr>
          <w:rFonts w:hint="eastAsia"/>
          <w:sz w:val="22"/>
          <w:szCs w:val="24"/>
          <w:lang w:val="en-US" w:eastAsia="zh-CN"/>
        </w:rPr>
        <w:t>, WF on RRM requirements for supporting intra-band non-collocated EN-DC/NR-CA deployment Phase2: new receiver type(s), Huawei</w:t>
      </w:r>
    </w:p>
    <w:p>
      <w:pPr>
        <w:numPr>
          <w:ilvl w:val="0"/>
          <w:numId w:val="10"/>
        </w:numPr>
      </w:pPr>
      <w:r>
        <w:rPr>
          <w:rFonts w:hint="eastAsia"/>
          <w:sz w:val="22"/>
          <w:szCs w:val="24"/>
          <w:lang w:val="en-US" w:eastAsia="zh-CN"/>
        </w:rPr>
        <w:t>R4-2414453, WF on Rel-19 non-collocated scenario, KDDI</w:t>
      </w:r>
    </w:p>
    <w:p>
      <w:pPr>
        <w:pStyle w:val="19"/>
        <w:shd w:val="clear" w:color="auto" w:fill="FFFFFF"/>
        <w:spacing w:before="60" w:beforeAutospacing="0" w:after="0" w:afterAutospacing="0" w:line="300" w:lineRule="atLeast"/>
        <w:rPr>
          <w:rStyle w:val="26"/>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0A3A1D"/>
    <w:multiLevelType w:val="singleLevel"/>
    <w:tmpl w:val="DA0A3A1D"/>
    <w:lvl w:ilvl="0" w:tentative="0">
      <w:start w:val="1"/>
      <w:numFmt w:val="bullet"/>
      <w:lvlText w:val=""/>
      <w:lvlJc w:val="left"/>
      <w:pPr>
        <w:tabs>
          <w:tab w:val="left" w:pos="420"/>
        </w:tabs>
        <w:ind w:left="84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35571150"/>
    <w:multiLevelType w:val="multilevel"/>
    <w:tmpl w:val="3557115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533C5C"/>
    <w:multiLevelType w:val="multilevel"/>
    <w:tmpl w:val="3A533C5C"/>
    <w:lvl w:ilvl="0" w:tentative="0">
      <w:start w:val="1"/>
      <w:numFmt w:val="bullet"/>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6B43B9D"/>
    <w:multiLevelType w:val="multilevel"/>
    <w:tmpl w:val="46B43B9D"/>
    <w:lvl w:ilvl="0" w:tentative="0">
      <w:start w:val="1"/>
      <w:numFmt w:val="decimal"/>
      <w:pStyle w:val="96"/>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6E3167"/>
    <w:multiLevelType w:val="multilevel"/>
    <w:tmpl w:val="4D6E3167"/>
    <w:lvl w:ilvl="0" w:tentative="0">
      <w:start w:val="1"/>
      <w:numFmt w:val="decimal"/>
      <w:pStyle w:val="9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highlight w:val="gree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olor w:val="000000" w:themeColor="text1"/>
        <w14:textFill>
          <w14:solidFill>
            <w14:schemeClr w14:val="tx1"/>
          </w14:solidFill>
        </w14:textFil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9"/>
  </w:num>
  <w:num w:numId="3">
    <w:abstractNumId w:val="4"/>
  </w:num>
  <w:num w:numId="4">
    <w:abstractNumId w:val="5"/>
  </w:num>
  <w:num w:numId="5">
    <w:abstractNumId w:val="3"/>
  </w:num>
  <w:num w:numId="6">
    <w:abstractNumId w:val="0"/>
  </w:num>
  <w:num w:numId="7">
    <w:abstractNumId w:val="8"/>
  </w:num>
  <w:num w:numId="8">
    <w:abstractNumId w:val="6"/>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45BEB"/>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16E9"/>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44A2F"/>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DB613A"/>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573CE"/>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33387"/>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015BD"/>
    <w:rsid w:val="0D21615D"/>
    <w:rsid w:val="0D2454BF"/>
    <w:rsid w:val="0D2765E4"/>
    <w:rsid w:val="0D2767B5"/>
    <w:rsid w:val="0D3E327E"/>
    <w:rsid w:val="0D432A3E"/>
    <w:rsid w:val="0D480AA9"/>
    <w:rsid w:val="0D5800C7"/>
    <w:rsid w:val="0D591BF3"/>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1FE2252"/>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229EC"/>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0FCC"/>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54DE0"/>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1005"/>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4239"/>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30F76"/>
    <w:rsid w:val="26F40E3F"/>
    <w:rsid w:val="26F40EBD"/>
    <w:rsid w:val="26FA2DE3"/>
    <w:rsid w:val="26FF74CD"/>
    <w:rsid w:val="27121C64"/>
    <w:rsid w:val="27125B0D"/>
    <w:rsid w:val="27130E1A"/>
    <w:rsid w:val="27222699"/>
    <w:rsid w:val="272A3056"/>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427A8"/>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66979"/>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40F63"/>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9D6F19"/>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9B38B1"/>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065F2"/>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E9744E"/>
    <w:rsid w:val="3EF36AD8"/>
    <w:rsid w:val="3EF62480"/>
    <w:rsid w:val="3EFB57DC"/>
    <w:rsid w:val="3F0572F1"/>
    <w:rsid w:val="3F144192"/>
    <w:rsid w:val="3F1F30A0"/>
    <w:rsid w:val="3F217DDA"/>
    <w:rsid w:val="3F2B184D"/>
    <w:rsid w:val="3F2C7646"/>
    <w:rsid w:val="3F3A6C93"/>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D2257C"/>
    <w:rsid w:val="45E37678"/>
    <w:rsid w:val="45E526A6"/>
    <w:rsid w:val="45E66893"/>
    <w:rsid w:val="45E826B2"/>
    <w:rsid w:val="45F4334C"/>
    <w:rsid w:val="460D3781"/>
    <w:rsid w:val="461B39D6"/>
    <w:rsid w:val="46312362"/>
    <w:rsid w:val="463714CE"/>
    <w:rsid w:val="46466453"/>
    <w:rsid w:val="464871AD"/>
    <w:rsid w:val="46581B41"/>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C7291"/>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34726"/>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7D4E7F"/>
    <w:rsid w:val="558126EC"/>
    <w:rsid w:val="55851522"/>
    <w:rsid w:val="55883323"/>
    <w:rsid w:val="55883669"/>
    <w:rsid w:val="558A44CE"/>
    <w:rsid w:val="55906233"/>
    <w:rsid w:val="559417F6"/>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250D3B"/>
    <w:rsid w:val="5C3B2DCF"/>
    <w:rsid w:val="5C500AF8"/>
    <w:rsid w:val="5C523483"/>
    <w:rsid w:val="5C5348B4"/>
    <w:rsid w:val="5C5E033F"/>
    <w:rsid w:val="5C6875EE"/>
    <w:rsid w:val="5C6F12DC"/>
    <w:rsid w:val="5C7A2919"/>
    <w:rsid w:val="5C890156"/>
    <w:rsid w:val="5C9572EC"/>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D775DC"/>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DF2E3F"/>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BC563F"/>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26370"/>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4F6669"/>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830DB2"/>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C903ED"/>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60A9E"/>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1D3D41"/>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54510"/>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3A01"/>
    <w:rsid w:val="759B5CAF"/>
    <w:rsid w:val="759D4D4C"/>
    <w:rsid w:val="75A53BC6"/>
    <w:rsid w:val="75B3155F"/>
    <w:rsid w:val="75BB5F12"/>
    <w:rsid w:val="75C123A7"/>
    <w:rsid w:val="75CC74C8"/>
    <w:rsid w:val="75CD2584"/>
    <w:rsid w:val="75D357A7"/>
    <w:rsid w:val="75DB08A6"/>
    <w:rsid w:val="75DF13BD"/>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6448A"/>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56C28"/>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0"/>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semiHidden/>
    <w:qFormat/>
    <w:uiPriority w:val="0"/>
  </w:style>
  <w:style w:type="character" w:styleId="26">
    <w:name w:val="Emphasis"/>
    <w:qFormat/>
    <w:uiPriority w:val="20"/>
    <w:rPr>
      <w:color w:val="CC0000"/>
    </w:rPr>
  </w:style>
  <w:style w:type="character" w:styleId="27">
    <w:name w:val="Hyperlink"/>
    <w:basedOn w:val="23"/>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character" w:customStyle="1" w:styleId="30">
    <w:name w:val="批注框文本 Char"/>
    <w:link w:val="15"/>
    <w:semiHidden/>
    <w:qFormat/>
    <w:uiPriority w:val="99"/>
    <w:rPr>
      <w:kern w:val="2"/>
      <w:sz w:val="18"/>
      <w:szCs w:val="18"/>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6"/>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3"/>
    <w:qFormat/>
    <w:uiPriority w:val="0"/>
  </w:style>
  <w:style w:type="character" w:customStyle="1" w:styleId="62">
    <w:name w:val="c-icon"/>
    <w:basedOn w:val="23"/>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3"/>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3"/>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3"/>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char char char Char"/>
    <w:link w:val="38"/>
    <w:qFormat/>
    <w:uiPriority w:val="0"/>
    <w:rPr>
      <w:rFonts w:ascii="Arial" w:hAnsi="Arial" w:eastAsia="宋体" w:cs="Times New Roman"/>
      <w:kern w:val="0"/>
      <w:sz w:val="24"/>
      <w:szCs w:val="28"/>
    </w:rPr>
  </w:style>
  <w:style w:type="character" w:customStyle="1" w:styleId="77">
    <w:name w:val="页眉 Char"/>
    <w:link w:val="17"/>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6"/>
    <w:qFormat/>
    <w:uiPriority w:val="99"/>
    <w:rPr>
      <w:sz w:val="18"/>
      <w:szCs w:val="18"/>
    </w:rPr>
  </w:style>
  <w:style w:type="character" w:customStyle="1" w:styleId="82">
    <w:name w:val="批注主题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Agreement"/>
    <w:basedOn w:val="1"/>
    <w:next w:val="93"/>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3">
    <w:name w:val="Doc-text2"/>
    <w:basedOn w:val="1"/>
    <w:qFormat/>
    <w:uiPriority w:val="0"/>
    <w:pPr>
      <w:tabs>
        <w:tab w:val="left" w:pos="1622"/>
      </w:tabs>
      <w:ind w:left="1622" w:hanging="363"/>
    </w:pPr>
    <w:rPr>
      <w:rFonts w:ascii="Arial" w:hAnsi="Arial" w:eastAsia="MS Mincho"/>
      <w:sz w:val="20"/>
      <w:lang w:eastAsia="en-GB"/>
    </w:rPr>
  </w:style>
  <w:style w:type="paragraph" w:customStyle="1" w:styleId="94">
    <w:name w:val="paragraph"/>
    <w:basedOn w:val="1"/>
    <w:qFormat/>
    <w:uiPriority w:val="0"/>
    <w:pPr>
      <w:spacing w:before="100" w:beforeAutospacing="1" w:after="100" w:afterAutospacing="1" w:line="240" w:lineRule="auto"/>
      <w:jc w:val="left"/>
    </w:pPr>
    <w:rPr>
      <w:rFonts w:eastAsia="Times New Roman" w:cs="Times New Roman"/>
      <w:sz w:val="24"/>
      <w:szCs w:val="24"/>
    </w:rPr>
  </w:style>
  <w:style w:type="paragraph" w:customStyle="1" w:styleId="95">
    <w:name w:val="RAN4 observation"/>
    <w:basedOn w:val="96"/>
    <w:next w:val="1"/>
    <w:qFormat/>
    <w:uiPriority w:val="0"/>
    <w:pPr>
      <w:ind w:left="0" w:firstLine="0"/>
    </w:pPr>
  </w:style>
  <w:style w:type="paragraph" w:customStyle="1" w:styleId="96">
    <w:name w:val="RAN4 Observation"/>
    <w:basedOn w:val="33"/>
    <w:next w:val="1"/>
    <w:qFormat/>
    <w:uiPriority w:val="0"/>
    <w:pPr>
      <w:numPr>
        <w:ilvl w:val="0"/>
        <w:numId w:val="3"/>
      </w:numPr>
    </w:pPr>
    <w:rPr>
      <w:rFonts w:eastAsia="Calibri" w:cs="Times New Roman"/>
      <w:szCs w:val="20"/>
      <w:lang w:val="en-GB"/>
    </w:rPr>
  </w:style>
  <w:style w:type="paragraph" w:customStyle="1" w:styleId="97">
    <w:name w:val="RAN4 proposal"/>
    <w:basedOn w:val="11"/>
    <w:next w:val="1"/>
    <w:qFormat/>
    <w:uiPriority w:val="0"/>
    <w:pPr>
      <w:numPr>
        <w:ilvl w:val="0"/>
        <w:numId w:val="4"/>
      </w:numPr>
      <w:ind w:left="0" w:firstLine="0"/>
      <w:jc w:val="left"/>
    </w:pPr>
    <w:rPr>
      <w:rFonts w:ascii="Times New Roman" w:hAnsi="Times New Roman"/>
      <w:b/>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4</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2024-10-07T13:32:38Z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8DA764879C414488976A51B72524EDB9</vt:lpwstr>
  </property>
</Properties>
</file>