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bookmarkStart w:id="2" w:name="_GoBack"/>
      <w:r>
        <w:rPr>
          <w:rFonts w:hint="eastAsia" w:ascii="Arial" w:hAnsi="Arial" w:cs="Arial"/>
          <w:b/>
          <w:sz w:val="24"/>
          <w:szCs w:val="24"/>
        </w:rPr>
        <w:t>R4-2416385</w:t>
      </w:r>
      <w:bookmarkEnd w:id="2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zh-CN" w:eastAsia="zh-CN" w:bidi="ar-SA"/>
        </w:rPr>
      </w:pPr>
      <w:r>
        <w:rPr>
          <w:rFonts w:ascii="Arial" w:hAnsi="Arial" w:eastAsia="宋体" w:cs="Arial"/>
          <w:b/>
          <w:sz w:val="24"/>
          <w:szCs w:val="24"/>
          <w:lang w:val="zh-CN" w:eastAsia="zh-CN" w:bidi="ar-SA"/>
        </w:rPr>
        <w:t>Hefei, Anhui, China, 14</w:t>
      </w:r>
      <w:r>
        <w:rPr>
          <w:rFonts w:ascii="Arial" w:hAnsi="Arial" w:eastAsia="宋体" w:cs="Arial"/>
          <w:b/>
          <w:sz w:val="24"/>
          <w:szCs w:val="24"/>
          <w:vertAlign w:val="superscript"/>
          <w:lang w:val="zh-CN" w:eastAsia="zh-CN" w:bidi="ar-SA"/>
        </w:rPr>
        <w:t>th</w:t>
      </w:r>
      <w:r>
        <w:rPr>
          <w:rFonts w:ascii="Arial" w:hAnsi="Arial" w:eastAsia="宋体" w:cs="Arial"/>
          <w:b/>
          <w:sz w:val="24"/>
          <w:szCs w:val="24"/>
          <w:lang w:val="zh-CN" w:eastAsia="zh-CN" w:bidi="ar-SA"/>
        </w:rPr>
        <w:t xml:space="preserve"> –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val="zh-CN" w:eastAsia="zh-CN" w:bidi="ar-SA"/>
        </w:rPr>
        <w:t>th</w:t>
      </w:r>
      <w:r>
        <w:rPr>
          <w:rFonts w:ascii="Arial" w:hAnsi="Arial" w:eastAsia="宋体" w:cs="Arial"/>
          <w:b/>
          <w:sz w:val="24"/>
          <w:szCs w:val="24"/>
          <w:lang w:val="zh-CN" w:eastAsia="zh-CN" w:bidi="ar-SA"/>
        </w:rPr>
        <w:t xml:space="preserve"> October, 2024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0" w:firstLine="0"/>
        <w:textAlignment w:val="auto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6.24.2.2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Conditional Intra-CU LTM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6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Introduction</w:t>
      </w:r>
    </w:p>
    <w:p>
      <w:pPr>
        <w:spacing w:before="0" w:beforeLines="0" w:afterLine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Rel-18, LTM was introduced to reduce handover delay and interruption time compared to layer3 based mobility. As mentioned in WID [1], LTM as introduced in Rel-18 has a number of limitations compared to L3 mobility. In Rel-19, these limitations should be removed as much as possible.</w:t>
      </w:r>
    </w:p>
    <w:p>
      <w:pPr>
        <w:pStyle w:val="56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  <w:rPr>
          <w:rFonts w:hint="eastAsia"/>
          <w:lang w:val="en-US" w:eastAsia="zh-CN"/>
        </w:rPr>
      </w:pPr>
      <w:r>
        <w:rPr>
          <w:rFonts w:hint="eastAsia"/>
        </w:rPr>
        <w:t>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Compared to R18 LTM, </w:t>
      </w:r>
      <w:r>
        <w:rPr>
          <w:bCs/>
        </w:rPr>
        <w:t>conditional Intra-CU LTM</w:t>
      </w:r>
      <w:r>
        <w:rPr>
          <w:rFonts w:hint="eastAsia"/>
          <w:bCs/>
          <w:lang w:val="en-US" w:eastAsia="zh-CN"/>
        </w:rPr>
        <w:t xml:space="preserve"> should be supported in R19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29" w:type="dxa"/>
          </w:tcPr>
          <w:p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of conditional Intra-CU LTM [RAN2, RAN3, RAN1]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UE evaluated conditions for triggering LTM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Aim to support conditional LTM including subsequent LTM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Checkpoint at RAN#107 to review the objective on whether Intra-CU conditional LTM can be specified to DC scenarios and if so, to which cases. RAN WG work to not start before this checkpoint</w:t>
            </w:r>
          </w:p>
          <w:p/>
          <w:p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RRM requirements related to the above objectives as necessary [RAN4]</w:t>
            </w:r>
          </w:p>
          <w:p>
            <w:pPr>
              <w:pStyle w:val="94"/>
              <w:numPr>
                <w:ilvl w:val="-1"/>
                <w:numId w:val="0"/>
              </w:numPr>
              <w:tabs>
                <w:tab w:val="left" w:pos="644"/>
                <w:tab w:val="clear" w:pos="1619"/>
              </w:tabs>
              <w:overflowPunct w:val="0"/>
              <w:autoSpaceDE w:val="0"/>
              <w:autoSpaceDN w:val="0"/>
              <w:adjustRightInd w:val="0"/>
              <w:spacing w:before="157" w:beforeLines="50" w:after="0" w:afterLines="0"/>
              <w:ind w:left="0" w:firstLine="0"/>
              <w:textAlignment w:val="baseline"/>
              <w:rPr>
                <w:rFonts w:cs="Arial"/>
                <w:sz w:val="21"/>
                <w:szCs w:val="21"/>
              </w:rPr>
            </w:pPr>
          </w:p>
        </w:tc>
      </w:tr>
    </w:tbl>
    <w:p>
      <w:pPr>
        <w:spacing w:before="157" w:beforeLines="50"/>
        <w:rPr>
          <w:rFonts w:hint="eastAsia"/>
          <w:lang w:val="en-US" w:eastAsia="zh-CN"/>
        </w:rPr>
      </w:pPr>
      <w:r>
        <w:t>LTM as introduced in Rel-18 offers short interruption time but not with the same level of robustness as the conditional L3 mobility procedures. In Rel-19, enhancements should be specified so that the system can benefit from both the high robustness and short interruption.</w:t>
      </w:r>
      <w:r>
        <w:rPr>
          <w:rFonts w:hint="eastAsia"/>
          <w:lang w:val="en-US" w:eastAsia="zh-CN"/>
        </w:rPr>
        <w:t xml:space="preserve">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benefical to combine LTM and conditional L3 mobility procedures and RAN4 needs to define requirements based on RAN2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design. </w:t>
      </w:r>
    </w:p>
    <w:p>
      <w:pPr>
        <w:spacing w:before="157" w:before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From the objective, </w:t>
      </w:r>
      <w:r>
        <w:rPr>
          <w:bCs/>
        </w:rPr>
        <w:t>UE evaluated conditions</w:t>
      </w:r>
      <w:r>
        <w:rPr>
          <w:rFonts w:hint="eastAsia"/>
          <w:bCs/>
          <w:lang w:val="en-US" w:eastAsia="zh-CN"/>
        </w:rPr>
        <w:t xml:space="preserve"> will be specified by other groups to trigger LTM. RAN4 should define conditional cell switch delay requirement, both </w:t>
      </w:r>
      <w:r>
        <w:t>intra-frequency and inter-frequency</w:t>
      </w:r>
      <w:r>
        <w:rPr>
          <w:rFonts w:hint="eastAsia"/>
          <w:lang w:val="en-US" w:eastAsia="zh-CN"/>
        </w:rPr>
        <w:t xml:space="preserve"> need be considered. Meanwhile, t</w:t>
      </w:r>
      <w:r>
        <w:t xml:space="preserve">he requirements are applicable to conditional </w:t>
      </w:r>
      <w:r>
        <w:rPr>
          <w:rFonts w:hint="eastAsia"/>
          <w:lang w:val="en-US" w:eastAsia="zh-CN"/>
        </w:rPr>
        <w:t>cell switch</w:t>
      </w:r>
      <w:r>
        <w:t xml:space="preserve"> to change the NR PCell to another NR cell</w:t>
      </w:r>
      <w:r>
        <w:rPr>
          <w:rFonts w:hint="eastAsia"/>
          <w:lang w:val="en-US" w:eastAsia="zh-CN"/>
        </w:rPr>
        <w:t>, including FR1 to FR1, FR1 to FR2, FR2 to FR1 and FR2 to FR2</w:t>
      </w:r>
      <w:r>
        <w:t>.</w:t>
      </w:r>
      <w:r>
        <w:rPr>
          <w:rFonts w:hint="eastAsia"/>
          <w:lang w:val="en-US" w:eastAsia="zh-CN"/>
        </w:rPr>
        <w:t xml:space="preserve"> The relevant requirements can refer to the conditional handover of L3 in section 6.1.4.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29" w:type="dxa"/>
          </w:tcPr>
          <w:p>
            <w:pPr>
              <w:pStyle w:val="5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6.1.4.2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NR FR1 – NR FR1 conditional handover</w:t>
            </w:r>
          </w:p>
          <w:p>
            <w:r>
              <w:t>The requirements in this clause are applicable to both intra-frequency and inter-frequency conditional handover from NR FR1 cell to NR FR1 cell.</w:t>
            </w:r>
          </w:p>
          <w:p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6.1.4.2.1</w:t>
            </w:r>
            <w:r>
              <w:rPr>
                <w:rFonts w:ascii="Arial" w:hAnsi="Arial"/>
                <w:sz w:val="22"/>
              </w:rPr>
              <w:tab/>
            </w:r>
            <w:r>
              <w:rPr>
                <w:rFonts w:ascii="Arial" w:hAnsi="Arial"/>
                <w:sz w:val="22"/>
              </w:rPr>
              <w:t>Handover delay</w:t>
            </w:r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 xml:space="preserve">Procedure delays for all procedures that can command a conditional handover are specified in </w:t>
            </w:r>
            <w:r>
              <w:t>TS 38.331 [2]</w:t>
            </w:r>
            <w:r>
              <w:rPr>
                <w:rFonts w:cs="v4.2.0"/>
              </w:rPr>
              <w:t>.</w:t>
            </w:r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 xml:space="preserve">When the UE receives a RRC message implying conditional handover the UE shall be ready to </w:t>
            </w:r>
            <w:r>
              <w:rPr>
                <w:rFonts w:cs="v4.2.0"/>
                <w:snapToGrid w:val="0"/>
              </w:rPr>
              <w:t>start the transmission of the new uplink PRACH channel</w:t>
            </w:r>
            <w:r>
              <w:rPr>
                <w:rFonts w:cs="v4.2.0"/>
              </w:rPr>
              <w:t xml:space="preserve"> within D</w:t>
            </w:r>
            <w:r>
              <w:rPr>
                <w:rFonts w:cs="v4.2.0"/>
                <w:vertAlign w:val="subscript"/>
              </w:rPr>
              <w:t>CHO</w:t>
            </w:r>
            <w:r>
              <w:rPr>
                <w:rFonts w:cs="v4.2.0"/>
              </w:rPr>
              <w:t xml:space="preserve"> seconds from the end of the last TTI containing the RRC command.</w:t>
            </w:r>
          </w:p>
          <w:p>
            <w:pPr>
              <w:pStyle w:val="44"/>
              <w:rPr>
                <w:highlight w:val="green"/>
                <w:lang w:val="en-US" w:eastAsia="zh-CN"/>
              </w:rPr>
            </w:pPr>
            <w:r>
              <w:rPr>
                <w:lang w:val="en-US" w:eastAsia="zh-CN"/>
              </w:rPr>
              <w:tab/>
            </w:r>
            <w:r>
              <w:rPr>
                <w:highlight w:val="green"/>
                <w:lang w:val="en-US" w:eastAsia="zh-CN"/>
              </w:rPr>
              <w:t>D</w:t>
            </w:r>
            <w:r>
              <w:rPr>
                <w:highlight w:val="green"/>
                <w:vertAlign w:val="subscript"/>
                <w:lang w:val="en-US" w:eastAsia="zh-CN"/>
              </w:rPr>
              <w:t>CHO</w:t>
            </w:r>
            <w:r>
              <w:rPr>
                <w:highlight w:val="green"/>
                <w:lang w:val="en-US" w:eastAsia="zh-CN"/>
              </w:rPr>
              <w:t xml:space="preserve"> = T</w:t>
            </w:r>
            <w:r>
              <w:rPr>
                <w:highlight w:val="green"/>
                <w:vertAlign w:val="subscript"/>
                <w:lang w:val="en-US" w:eastAsia="zh-CN"/>
              </w:rPr>
              <w:t>RRC</w:t>
            </w:r>
            <w:r>
              <w:rPr>
                <w:highlight w:val="green"/>
                <w:lang w:val="en-US" w:eastAsia="zh-CN"/>
              </w:rPr>
              <w:t xml:space="preserve"> + </w:t>
            </w:r>
            <w:r>
              <w:rPr>
                <w:iCs/>
                <w:highlight w:val="green"/>
              </w:rPr>
              <w:t>T</w:t>
            </w:r>
            <w:r>
              <w:rPr>
                <w:iCs/>
                <w:highlight w:val="green"/>
                <w:vertAlign w:val="subscript"/>
              </w:rPr>
              <w:t>Event_DU</w:t>
            </w:r>
            <w:r>
              <w:rPr>
                <w:iCs/>
                <w:highlight w:val="green"/>
              </w:rPr>
              <w:t xml:space="preserve"> + </w:t>
            </w:r>
            <w:r>
              <w:rPr>
                <w:highlight w:val="green"/>
                <w:lang w:val="en-US" w:eastAsia="zh-CN"/>
              </w:rPr>
              <w:t>T</w:t>
            </w:r>
            <w:r>
              <w:rPr>
                <w:highlight w:val="green"/>
                <w:vertAlign w:val="subscript"/>
                <w:lang w:val="en-US" w:eastAsia="zh-CN"/>
              </w:rPr>
              <w:t>measure</w:t>
            </w:r>
            <w:r>
              <w:rPr>
                <w:highlight w:val="green"/>
                <w:lang w:val="en-US" w:eastAsia="zh-CN"/>
              </w:rPr>
              <w:t xml:space="preserve"> + </w:t>
            </w:r>
            <w:r>
              <w:rPr>
                <w:highlight w:val="green"/>
                <w:lang w:eastAsia="zh-CN"/>
              </w:rPr>
              <w:t>T</w:t>
            </w:r>
            <w:r>
              <w:rPr>
                <w:highlight w:val="green"/>
                <w:vertAlign w:val="subscript"/>
                <w:lang w:eastAsia="zh-CN"/>
              </w:rPr>
              <w:t>interrupt</w:t>
            </w:r>
            <w:r>
              <w:rPr>
                <w:highlight w:val="green"/>
                <w:lang w:eastAsia="zh-CN"/>
              </w:rPr>
              <w:t xml:space="preserve"> </w:t>
            </w:r>
            <w:r>
              <w:rPr>
                <w:highlight w:val="green"/>
                <w:lang w:val="en-US" w:eastAsia="zh-CN"/>
              </w:rPr>
              <w:t xml:space="preserve">+ </w:t>
            </w:r>
            <w:r>
              <w:rPr>
                <w:highlight w:val="green"/>
              </w:rPr>
              <w:t>T</w:t>
            </w:r>
            <w:r>
              <w:rPr>
                <w:highlight w:val="green"/>
                <w:vertAlign w:val="subscript"/>
              </w:rPr>
              <w:t>CHO_execution</w:t>
            </w:r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>Where:</w:t>
            </w:r>
          </w:p>
          <w:p>
            <w:pPr>
              <w:pStyle w:val="51"/>
            </w:pPr>
            <w:r>
              <w:rPr>
                <w:bCs/>
                <w:lang w:val="en-US" w:eastAsia="zh-CN"/>
              </w:rPr>
              <w:tab/>
            </w:r>
            <w:r>
              <w:rPr>
                <w:bCs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 w:eastAsia="zh-CN"/>
              </w:rPr>
              <w:t>RRC</w:t>
            </w:r>
            <w:r>
              <w:t xml:space="preserve"> is the RRC procedure delay defined in clause </w:t>
            </w:r>
            <w:r>
              <w:rPr>
                <w:lang w:eastAsia="zh-CN"/>
              </w:rPr>
              <w:t>12</w:t>
            </w:r>
            <w:r>
              <w:t xml:space="preserve"> in TS 38.331 [2].</w:t>
            </w:r>
          </w:p>
          <w:p>
            <w:pPr>
              <w:pStyle w:val="51"/>
            </w:pPr>
            <w:r>
              <w:rPr>
                <w:iCs/>
              </w:rPr>
              <w:tab/>
            </w:r>
            <w:r>
              <w:rPr>
                <w:iCs/>
              </w:rPr>
              <w:t>T</w:t>
            </w:r>
            <w:r>
              <w:rPr>
                <w:iCs/>
                <w:vertAlign w:val="subscript"/>
              </w:rPr>
              <w:t>Event_DU</w:t>
            </w:r>
            <w:r>
              <w:t xml:space="preserve"> is the delay uncertainty which is the time from when the UE successfully decodes a conditional handover command until</w:t>
            </w:r>
          </w:p>
          <w:p>
            <w:pPr>
              <w:pStyle w:val="100"/>
              <w:ind w:leftChars="300"/>
            </w:pPr>
            <w:r>
              <w:t>-</w:t>
            </w:r>
            <w:r>
              <w:tab/>
            </w:r>
            <w:r>
              <w:t>a condition exists at the measurement reference point</w:t>
            </w:r>
            <w:bookmarkStart w:id="1" w:name="OLE_LINK3"/>
            <w:r>
              <w:t xml:space="preserve"> </w:t>
            </w:r>
            <w:bookmarkEnd w:id="1"/>
            <w:r>
              <w:t xml:space="preserve">which will trigger the conditional handover, or </w:t>
            </w:r>
          </w:p>
          <w:p>
            <w:pPr>
              <w:pStyle w:val="100"/>
              <w:ind w:leftChars="300"/>
              <w:rPr>
                <w:lang w:val="en-US"/>
              </w:rPr>
            </w:pPr>
            <w:r>
              <w:t>-</w:t>
            </w:r>
            <w:r>
              <w:tab/>
            </w:r>
            <w:r>
              <w:t>a condition exists at the measurement reference point which will trigger the NES-based conditional handover</w:t>
            </w:r>
          </w:p>
          <w:p>
            <w:pPr>
              <w:pStyle w:val="51"/>
            </w:pPr>
            <w:r>
              <w:rPr>
                <w:bCs/>
                <w:lang w:val="en-US" w:eastAsia="zh-CN"/>
              </w:rPr>
              <w:tab/>
            </w:r>
            <w:r>
              <w:rPr>
                <w:bCs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 w:eastAsia="zh-CN"/>
              </w:rPr>
              <w:t>measure</w:t>
            </w:r>
            <w:r>
              <w:t xml:space="preserve"> is the measurements time stated in clause 6.1.4.2.2.</w:t>
            </w:r>
          </w:p>
          <w:p>
            <w:pPr>
              <w:pStyle w:val="51"/>
            </w:pPr>
            <w:r>
              <w:tab/>
            </w:r>
            <w:r>
              <w:t>T</w:t>
            </w:r>
            <w:r>
              <w:rPr>
                <w:vertAlign w:val="subscript"/>
              </w:rPr>
              <w:t>CHO_execution</w:t>
            </w:r>
            <w:r>
              <w:t xml:space="preserve"> is the conditional execution preparation time in clause 6.1.4.2.3. </w:t>
            </w:r>
          </w:p>
          <w:p>
            <w:pPr>
              <w:pStyle w:val="51"/>
            </w:pPr>
            <w:r>
              <w:rPr>
                <w:bCs/>
                <w:lang w:eastAsia="zh-CN"/>
              </w:rPr>
              <w:tab/>
            </w:r>
            <w:r>
              <w:rPr>
                <w:bCs/>
                <w:lang w:eastAsia="zh-CN"/>
              </w:rPr>
              <w:t>T</w:t>
            </w:r>
            <w:r>
              <w:rPr>
                <w:bCs/>
                <w:vertAlign w:val="subscript"/>
                <w:lang w:eastAsia="zh-CN"/>
              </w:rPr>
              <w:t>interrupt</w:t>
            </w:r>
            <w:r>
              <w:t xml:space="preserve"> is the interruption time stated in clause 6.1.4.2.4.</w:t>
            </w:r>
          </w:p>
          <w:p>
            <w:pPr>
              <w:pStyle w:val="94"/>
              <w:numPr>
                <w:ilvl w:val="-1"/>
                <w:numId w:val="0"/>
              </w:numPr>
              <w:tabs>
                <w:tab w:val="left" w:pos="644"/>
                <w:tab w:val="clear" w:pos="1619"/>
              </w:tabs>
              <w:overflowPunct w:val="0"/>
              <w:autoSpaceDE w:val="0"/>
              <w:autoSpaceDN w:val="0"/>
              <w:adjustRightInd w:val="0"/>
              <w:spacing w:before="157" w:beforeLines="50" w:after="0" w:afterLines="0"/>
              <w:ind w:left="0" w:firstLine="0"/>
              <w:textAlignment w:val="baseline"/>
              <w:rPr>
                <w:rFonts w:cs="Arial"/>
                <w:sz w:val="21"/>
                <w:szCs w:val="21"/>
              </w:rPr>
            </w:pPr>
          </w:p>
        </w:tc>
      </w:tr>
    </w:tbl>
    <w:p>
      <w:pPr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RAN4 should define conditional cell switch delay requirement, both </w:t>
      </w:r>
      <w:r>
        <w:rPr>
          <w:rFonts w:hint="eastAsia"/>
          <w:b/>
          <w:bCs/>
        </w:rPr>
        <w:t>intra-frequency and inter-frequency</w:t>
      </w:r>
      <w:r>
        <w:rPr>
          <w:rFonts w:hint="eastAsia"/>
          <w:b/>
          <w:bCs/>
          <w:lang w:val="en-US" w:eastAsia="zh-CN"/>
        </w:rPr>
        <w:t xml:space="preserve"> need to be considered: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FR1 – NR FR1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FR1 – NR FR</w:t>
      </w:r>
      <w:r>
        <w:rPr>
          <w:rFonts w:hint="eastAsia"/>
          <w:b/>
          <w:bCs/>
          <w:lang w:val="en-US" w:eastAsia="zh-CN"/>
        </w:rPr>
        <w:t>2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– NR FR1</w:t>
      </w:r>
    </w:p>
    <w:p>
      <w:pPr>
        <w:numPr>
          <w:ilvl w:val="0"/>
          <w:numId w:val="5"/>
        </w:numPr>
        <w:ind w:left="1260" w:hanging="420"/>
        <w:rPr>
          <w:rFonts w:hint="default" w:eastAsia="宋体"/>
          <w:lang w:val="en-US" w:eastAsia="zh-CN"/>
        </w:rPr>
      </w:pPr>
      <w:r>
        <w:rPr>
          <w:b/>
          <w:bCs/>
          <w:lang w:val="en-US" w:eastAsia="zh-CN"/>
        </w:rPr>
        <w:t>NR FR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– NR FR</w:t>
      </w:r>
      <w:r>
        <w:rPr>
          <w:rFonts w:hint="eastAsia"/>
          <w:b/>
          <w:bCs/>
          <w:lang w:val="en-US" w:eastAsia="zh-CN"/>
        </w:rPr>
        <w:t>2</w:t>
      </w:r>
    </w:p>
    <w:p>
      <w:pPr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As to </w:t>
      </w:r>
      <w:r>
        <w:rPr>
          <w:rFonts w:hint="eastAsia"/>
          <w:bCs/>
          <w:lang w:val="en-US" w:eastAsia="zh-CN"/>
        </w:rPr>
        <w:t>the</w:t>
      </w:r>
      <w:r>
        <w:rPr>
          <w:bCs/>
        </w:rPr>
        <w:t xml:space="preserve"> conditional LTM including subsequent LTM</w:t>
      </w:r>
      <w:r>
        <w:rPr>
          <w:rFonts w:hint="eastAsia"/>
          <w:bCs/>
          <w:lang w:val="en-US" w:eastAsia="zh-CN"/>
        </w:rPr>
        <w:t xml:space="preserve">, there is no subequent HO in current spec. And just subsequent CPAC has introduced in section 8 in Rel 18. RAN4 should defined RRM requirements for </w:t>
      </w:r>
      <w:r>
        <w:rPr>
          <w:bCs/>
        </w:rPr>
        <w:t>conditional LTM including subsequent LTM</w:t>
      </w:r>
      <w:r>
        <w:rPr>
          <w:rFonts w:hint="eastAsia"/>
          <w:bCs/>
          <w:lang w:val="en-US" w:eastAsia="zh-CN"/>
        </w:rPr>
        <w:t>. Maybe the requirement of subsequent CPAC can be used as baseline for conditional including subsequent LTM.</w:t>
      </w:r>
    </w:p>
    <w:p>
      <w:pPr>
        <w:spacing w:before="157" w:beforeLines="50"/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2: RAN4 should defined RRM requirements for </w:t>
      </w:r>
      <w:r>
        <w:rPr>
          <w:b/>
          <w:bCs/>
        </w:rPr>
        <w:t>conditional LTM including subsequent LTM</w:t>
      </w:r>
      <w:r>
        <w:rPr>
          <w:rFonts w:hint="eastAsia"/>
          <w:b/>
          <w:bCs/>
          <w:lang w:val="en-US" w:eastAsia="zh-CN"/>
        </w:rPr>
        <w:t>.</w:t>
      </w:r>
    </w:p>
    <w:p>
      <w:pPr>
        <w:spacing w:before="157" w:beforeLines="50"/>
        <w:rPr>
          <w:b/>
          <w:bCs/>
        </w:rPr>
      </w:pPr>
      <w:r>
        <w:rPr>
          <w:rFonts w:hint="eastAsia"/>
          <w:bCs/>
          <w:lang w:val="en-US" w:eastAsia="zh-CN"/>
        </w:rPr>
        <w:t>However, it</w:t>
      </w:r>
      <w:r>
        <w:rPr>
          <w:rFonts w:hint="default"/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 the first meeting to discuss this part and</w:t>
      </w:r>
      <w:r>
        <w:rPr>
          <w:rFonts w:hint="eastAsia"/>
          <w:lang w:val="en-US" w:eastAsia="zh-CN"/>
        </w:rPr>
        <w:t xml:space="preserve"> there is no progress in RAN2. Therefore, we should wait for RAN2 input to further discuss RRM requirements.</w:t>
      </w:r>
    </w:p>
    <w:p>
      <w:pPr>
        <w:spacing w:before="157" w:beforeLines="5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Wait for RAN2 input to further discuss RRM requirements.</w:t>
      </w:r>
    </w:p>
    <w:p>
      <w:pPr>
        <w:rPr>
          <w:rFonts w:hint="default"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</w:t>
      </w:r>
    </w:p>
    <w:p>
      <w:pPr>
        <w:pStyle w:val="56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Conclusions</w:t>
      </w:r>
    </w:p>
    <w:p>
      <w:pPr>
        <w:numPr>
          <w:ilvl w:val="-1"/>
          <w:numId w:val="0"/>
        </w:numPr>
        <w:spacing w:before="157" w:beforeLines="50" w:afterLines="0"/>
        <w:ind w:left="0" w:firstLine="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proposals 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en-US"/>
        </w:rPr>
        <w:t xml:space="preserve"> 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conditional LTM.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RAN4 should define conditional cell switch delay requirement, both </w:t>
      </w:r>
      <w:r>
        <w:rPr>
          <w:b/>
          <w:bCs/>
        </w:rPr>
        <w:t>intra-frequency and inter-frequency</w:t>
      </w:r>
      <w:r>
        <w:rPr>
          <w:rFonts w:hint="eastAsia"/>
          <w:b/>
          <w:bCs/>
          <w:lang w:val="en-US" w:eastAsia="zh-CN"/>
        </w:rPr>
        <w:t xml:space="preserve"> need to be considered: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FR1 – NR FR1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FR1 – NR FR</w:t>
      </w:r>
      <w:r>
        <w:rPr>
          <w:rFonts w:hint="eastAsia"/>
          <w:b/>
          <w:bCs/>
          <w:lang w:val="en-US" w:eastAsia="zh-CN"/>
        </w:rPr>
        <w:t>2</w:t>
      </w:r>
    </w:p>
    <w:p>
      <w:pPr>
        <w:numPr>
          <w:ilvl w:val="0"/>
          <w:numId w:val="5"/>
        </w:numPr>
        <w:ind w:left="1260" w:leftChars="0" w:hanging="4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FR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– NR FR1</w:t>
      </w:r>
    </w:p>
    <w:p>
      <w:pPr>
        <w:numPr>
          <w:ilvl w:val="0"/>
          <w:numId w:val="5"/>
        </w:numPr>
        <w:ind w:left="1260" w:leftChars="0" w:hanging="420"/>
        <w:rPr>
          <w:rFonts w:hint="default"/>
          <w:b/>
          <w:bCs/>
          <w:lang w:val="en-US" w:eastAsia="zh-CN"/>
        </w:rPr>
      </w:pPr>
      <w:r>
        <w:rPr>
          <w:b/>
          <w:bCs/>
          <w:lang w:val="en-US" w:eastAsia="zh-CN"/>
        </w:rPr>
        <w:t>NR FR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– NR FR</w:t>
      </w:r>
      <w:r>
        <w:rPr>
          <w:rFonts w:hint="eastAsia"/>
          <w:b/>
          <w:bCs/>
          <w:lang w:val="en-US" w:eastAsia="zh-CN"/>
        </w:rPr>
        <w:t>2</w:t>
      </w:r>
    </w:p>
    <w:p>
      <w:pPr>
        <w:spacing w:before="157" w:beforeLines="5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RAN4 should defined RRM requirements for </w:t>
      </w:r>
      <w:r>
        <w:rPr>
          <w:b/>
          <w:bCs/>
        </w:rPr>
        <w:t>conditional LTM including subsequent LTM</w: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-1"/>
          <w:numId w:val="0"/>
        </w:numPr>
        <w:spacing w:before="157" w:beforeLines="50" w:afterLines="-2147483648"/>
        <w:ind w:left="0" w:firstLine="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Wait for RAN2 input to further discuss RRM requirements.</w:t>
      </w:r>
    </w:p>
    <w:p>
      <w:pPr>
        <w:pStyle w:val="56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References</w:t>
      </w:r>
    </w:p>
    <w:p>
      <w:pPr>
        <w:pStyle w:val="54"/>
        <w:widowControl/>
        <w:numPr>
          <w:ilvl w:val="0"/>
          <w:numId w:val="6"/>
        </w:numPr>
        <w:spacing w:before="0" w:beforeLines="0" w:afterLines="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RP-242356, Revised Work Item: NR mobility enhancements Phase 4, Apple Inc, China Telecom</w:t>
      </w:r>
    </w:p>
    <w:p>
      <w:pPr>
        <w:pStyle w:val="20"/>
        <w:shd w:val="clear" w:color="auto" w:fill="FFFFFF"/>
        <w:spacing w:before="0" w:beforeLines="0" w:beforeAutospacing="0" w:after="0" w:afterLines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B301"/>
    <w:multiLevelType w:val="singleLevel"/>
    <w:tmpl w:val="9CA7B301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9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1"/>
        <w:szCs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240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4E3F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024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54B11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523EE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BA2435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491C71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A4C54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D37B1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C26AB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9643E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C6826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B4BE5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CC153A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130EB"/>
    <w:rsid w:val="1C561E66"/>
    <w:rsid w:val="1C5E3742"/>
    <w:rsid w:val="1C5F23B1"/>
    <w:rsid w:val="1C656C23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7E5682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933D3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9A0635"/>
    <w:rsid w:val="29A4634A"/>
    <w:rsid w:val="29A84DD1"/>
    <w:rsid w:val="29AA2390"/>
    <w:rsid w:val="29B85AFC"/>
    <w:rsid w:val="29BB74AF"/>
    <w:rsid w:val="29BC2AA4"/>
    <w:rsid w:val="29C56816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AC21CF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B71515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E4009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9007B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63406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86B87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ED131B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295D29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D4176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50BA0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0B02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51658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8C6BAA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93E65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1E47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B700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13700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044E9"/>
    <w:rsid w:val="63E263F4"/>
    <w:rsid w:val="63E418C9"/>
    <w:rsid w:val="63F81AB3"/>
    <w:rsid w:val="63FD7654"/>
    <w:rsid w:val="640C2BB6"/>
    <w:rsid w:val="6411454E"/>
    <w:rsid w:val="64225DD5"/>
    <w:rsid w:val="643D1B94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9D427C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267D5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8F2AAB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6F68EF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CB040E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5C7CED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6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32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9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2">
    <w:name w:val="annotation subject"/>
    <w:basedOn w:val="13"/>
    <w:next w:val="13"/>
    <w:link w:val="8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character" w:customStyle="1" w:styleId="32">
    <w:name w:val="批注框文本 Char"/>
    <w:link w:val="17"/>
    <w:semiHidden/>
    <w:qFormat/>
    <w:uiPriority w:val="99"/>
    <w:rPr>
      <w:kern w:val="2"/>
      <w:sz w:val="18"/>
      <w:szCs w:val="18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6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5"/>
    <w:qFormat/>
    <w:uiPriority w:val="0"/>
  </w:style>
  <w:style w:type="character" w:customStyle="1" w:styleId="64">
    <w:name w:val="c-icon"/>
    <w:basedOn w:val="25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5"/>
    <w:qFormat/>
    <w:uiPriority w:val="0"/>
  </w:style>
  <w:style w:type="character" w:customStyle="1" w:styleId="68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5"/>
    <w:qFormat/>
    <w:uiPriority w:val="0"/>
  </w:style>
  <w:style w:type="character" w:customStyle="1" w:styleId="70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题注 Char"/>
    <w:link w:val="11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5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页眉 Char"/>
    <w:link w:val="19"/>
    <w:qFormat/>
    <w:uiPriority w:val="99"/>
    <w:rPr>
      <w:sz w:val="18"/>
      <w:szCs w:val="18"/>
    </w:rPr>
  </w:style>
  <w:style w:type="character" w:customStyle="1" w:styleId="80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页脚 Char"/>
    <w:link w:val="18"/>
    <w:qFormat/>
    <w:uiPriority w:val="99"/>
    <w:rPr>
      <w:sz w:val="18"/>
      <w:szCs w:val="18"/>
    </w:rPr>
  </w:style>
  <w:style w:type="character" w:customStyle="1" w:styleId="84">
    <w:name w:val="批注主题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5"/>
    <w:qFormat/>
    <w:uiPriority w:val="0"/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5"/>
    <w:semiHidden/>
    <w:qFormat/>
    <w:uiPriority w:val="99"/>
    <w:rPr>
      <w:color w:val="808080"/>
    </w:rPr>
  </w:style>
  <w:style w:type="paragraph" w:customStyle="1" w:styleId="92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Agreement"/>
    <w:basedOn w:val="1"/>
    <w:next w:val="95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7">
    <w:name w:val="RAN4 proposal"/>
    <w:basedOn w:val="11"/>
    <w:next w:val="1"/>
    <w:qFormat/>
    <w:uiPriority w:val="0"/>
    <w:pPr>
      <w:numPr>
        <w:ilvl w:val="0"/>
        <w:numId w:val="3"/>
      </w:numPr>
      <w:jc w:val="left"/>
    </w:pPr>
    <w:rPr>
      <w:rFonts w:ascii="Times New Roman" w:hAnsi="Times New Roman"/>
      <w:sz w:val="20"/>
    </w:rPr>
  </w:style>
  <w:style w:type="character" w:customStyle="1" w:styleId="98">
    <w:name w:val="ui-provider"/>
    <w:basedOn w:val="25"/>
    <w:qFormat/>
    <w:uiPriority w:val="0"/>
  </w:style>
  <w:style w:type="paragraph" w:customStyle="1" w:styleId="9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0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2024-10-07T13:31:34Z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DA09AEA06BBF4CF68AED5417308EF91D</vt:lpwstr>
  </property>
</Properties>
</file>