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E316A" w14:textId="77777777" w:rsidR="00CB2D6B" w:rsidRDefault="00CB2D6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bookmarkStart w:id="0" w:name="OLE_LINK5"/>
      <w:bookmarkStart w:id="1" w:name="OLE_LINK6"/>
    </w:p>
    <w:p w14:paraId="6CEF60F1" w14:textId="0E012962"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700C9C" w:rsidRPr="00700C9C">
        <w:rPr>
          <w:rFonts w:ascii="Arial" w:eastAsia="SimSun" w:hAnsi="Arial" w:cs="Times New Roman"/>
          <w:b/>
          <w:bCs/>
          <w:sz w:val="24"/>
          <w:szCs w:val="20"/>
          <w:lang w:val="en-US" w:eastAsia="ja-JP"/>
        </w:rPr>
        <w:t>R4-2416290</w:t>
      </w:r>
    </w:p>
    <w:p w14:paraId="3666DF09"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23871BE3" w14:textId="2F998DF2"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1458F1C"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48FEF21" w14:textId="04D1828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00C9C" w:rsidRPr="00700C9C">
        <w:rPr>
          <w:rFonts w:ascii="Arial" w:eastAsia="Calibri" w:hAnsi="Arial" w:cs="Arial"/>
          <w:b/>
          <w:bCs/>
          <w:sz w:val="24"/>
          <w:lang w:val="en-US"/>
        </w:rPr>
        <w:t>Discussion on LP-WUS Simulation assumptions and results</w:t>
      </w:r>
    </w:p>
    <w:p w14:paraId="10D5832F" w14:textId="735D9C57"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00C9C" w:rsidRPr="00700C9C">
        <w:rPr>
          <w:rFonts w:ascii="Arial" w:eastAsia="MS Mincho" w:hAnsi="Arial" w:cs="Arial"/>
          <w:b/>
          <w:bCs/>
          <w:sz w:val="24"/>
          <w:szCs w:val="20"/>
          <w:lang w:val="en-US"/>
        </w:rPr>
        <w:t>6.23.4.1</w:t>
      </w:r>
    </w:p>
    <w:p w14:paraId="6A164C68"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47E23AB" w14:textId="77777777" w:rsidR="00E323E9" w:rsidRPr="00614DD8" w:rsidRDefault="00E323E9" w:rsidP="00841BCD">
      <w:pPr>
        <w:tabs>
          <w:tab w:val="left" w:pos="1985"/>
        </w:tabs>
        <w:rPr>
          <w:rFonts w:ascii="Arial" w:eastAsia="Calibri" w:hAnsi="Arial" w:cs="Arial"/>
          <w:b/>
          <w:bCs/>
          <w:sz w:val="24"/>
          <w:lang w:val="en-US"/>
        </w:rPr>
      </w:pPr>
    </w:p>
    <w:p w14:paraId="262B5AE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84BD6B0" w14:textId="23627542" w:rsidR="00381F95" w:rsidRPr="00614DD8" w:rsidRDefault="008902D0" w:rsidP="005C23A4">
      <w:pPr>
        <w:rPr>
          <w:lang w:val="en-US"/>
        </w:rPr>
      </w:pPr>
      <w:r>
        <w:rPr>
          <w:lang w:val="en-US"/>
        </w:rPr>
        <w:t xml:space="preserve">In this paper we discuss simulation assumptions and provide evaluation of number of LP-SS samples needed. </w:t>
      </w:r>
    </w:p>
    <w:p w14:paraId="40781EAA" w14:textId="77777777" w:rsidR="0060543D" w:rsidRPr="00614DD8" w:rsidRDefault="0060543D" w:rsidP="005C23A4">
      <w:pPr>
        <w:rPr>
          <w:lang w:val="en-US"/>
        </w:rPr>
      </w:pPr>
    </w:p>
    <w:p w14:paraId="5B3D3BD8" w14:textId="77777777" w:rsidR="003B659E" w:rsidRDefault="003B659E" w:rsidP="00AE56B1">
      <w:pPr>
        <w:pStyle w:val="RAN4H1"/>
        <w:rPr>
          <w:lang w:val="en-US"/>
        </w:rPr>
      </w:pPr>
      <w:bookmarkStart w:id="4" w:name="_Toc116995842"/>
      <w:r w:rsidRPr="00614DD8">
        <w:rPr>
          <w:lang w:val="en-US"/>
        </w:rPr>
        <w:t>Discussion</w:t>
      </w:r>
      <w:bookmarkEnd w:id="4"/>
    </w:p>
    <w:p w14:paraId="11EF2831" w14:textId="54B5B583" w:rsidR="00CD7492" w:rsidRDefault="0053446A" w:rsidP="0053446A">
      <w:pPr>
        <w:pStyle w:val="RAN4H3"/>
        <w:rPr>
          <w:lang w:val="en-US"/>
        </w:rPr>
      </w:pPr>
      <w:r>
        <w:rPr>
          <w:lang w:val="en-US"/>
        </w:rPr>
        <w:t xml:space="preserve">SINR setting </w:t>
      </w:r>
    </w:p>
    <w:tbl>
      <w:tblPr>
        <w:tblStyle w:val="TableGrid"/>
        <w:tblW w:w="0" w:type="auto"/>
        <w:tblLook w:val="04A0" w:firstRow="1" w:lastRow="0" w:firstColumn="1" w:lastColumn="0" w:noHBand="0" w:noVBand="1"/>
      </w:tblPr>
      <w:tblGrid>
        <w:gridCol w:w="9617"/>
      </w:tblGrid>
      <w:tr w:rsidR="000E16DA" w14:paraId="77FC038F" w14:textId="77777777" w:rsidTr="000E16DA">
        <w:tc>
          <w:tcPr>
            <w:tcW w:w="9617" w:type="dxa"/>
          </w:tcPr>
          <w:p w14:paraId="6C5B430C" w14:textId="77777777" w:rsidR="000E16DA" w:rsidRPr="000E16DA" w:rsidRDefault="000E16DA" w:rsidP="000E16DA">
            <w:pPr>
              <w:spacing w:after="180"/>
              <w:rPr>
                <w:rFonts w:eastAsia="Times New Roman" w:cs="Times New Roman"/>
                <w:color w:val="000000"/>
                <w:szCs w:val="20"/>
                <w:lang w:eastAsia="en-GB"/>
              </w:rPr>
            </w:pPr>
            <w:r w:rsidRPr="000E16DA">
              <w:rPr>
                <w:rFonts w:eastAsia="Times New Roman" w:cs="Times New Roman"/>
                <w:b/>
                <w:bCs/>
                <w:color w:val="000000"/>
                <w:szCs w:val="20"/>
                <w:u w:val="single"/>
                <w:lang w:eastAsia="en-GB"/>
              </w:rPr>
              <w:t>Issue 2-1-1: SINR setting</w:t>
            </w:r>
          </w:p>
          <w:p w14:paraId="04281A80" w14:textId="77777777" w:rsidR="000E16DA" w:rsidRPr="000E16DA" w:rsidRDefault="000E16DA" w:rsidP="000E16DA">
            <w:pPr>
              <w:spacing w:after="120"/>
              <w:rPr>
                <w:rFonts w:eastAsia="Times New Roman" w:cs="Times New Roman"/>
                <w:color w:val="000000"/>
                <w:sz w:val="21"/>
                <w:szCs w:val="21"/>
                <w:lang w:val="en-US" w:eastAsia="en-GB"/>
              </w:rPr>
            </w:pPr>
            <w:r w:rsidRPr="000E16DA">
              <w:rPr>
                <w:rFonts w:eastAsia="Times New Roman" w:cs="Times New Roman"/>
                <w:color w:val="000000"/>
                <w:sz w:val="21"/>
                <w:szCs w:val="21"/>
                <w:lang w:val="en-US" w:eastAsia="en-GB"/>
              </w:rPr>
              <w:t>Agreement:</w:t>
            </w:r>
          </w:p>
          <w:p w14:paraId="118D4CC9" w14:textId="77777777" w:rsidR="000E16DA" w:rsidRPr="000E16DA" w:rsidRDefault="000E16DA" w:rsidP="000E16DA">
            <w:pPr>
              <w:numPr>
                <w:ilvl w:val="0"/>
                <w:numId w:val="34"/>
              </w:numPr>
              <w:spacing w:after="120"/>
              <w:textAlignment w:val="center"/>
              <w:rPr>
                <w:rFonts w:ascii="Calibri" w:eastAsia="Times New Roman" w:hAnsi="Calibri" w:cs="Calibri"/>
                <w:sz w:val="22"/>
                <w:lang w:val="en-US" w:eastAsia="en-GB"/>
              </w:rPr>
            </w:pPr>
            <w:r w:rsidRPr="000E16DA">
              <w:rPr>
                <w:rFonts w:eastAsia="Times New Roman" w:cs="Times New Roman"/>
                <w:sz w:val="21"/>
                <w:szCs w:val="21"/>
                <w:lang w:val="en-US" w:eastAsia="en-GB"/>
              </w:rPr>
              <w:t xml:space="preserve">As starting point for RAN4 RRM simulation purpose only, -3dB, 0.5dB, 2dB dB </w:t>
            </w:r>
            <w:proofErr w:type="spellStart"/>
            <w:r w:rsidRPr="000E16DA">
              <w:rPr>
                <w:rFonts w:eastAsia="Times New Roman" w:cs="Times New Roman"/>
                <w:sz w:val="21"/>
                <w:szCs w:val="21"/>
                <w:lang w:val="en-US" w:eastAsia="en-GB"/>
              </w:rPr>
              <w:t>Ês</w:t>
            </w:r>
            <w:proofErr w:type="spellEnd"/>
            <w:r w:rsidRPr="000E16DA">
              <w:rPr>
                <w:rFonts w:eastAsia="Times New Roman" w:cs="Times New Roman"/>
                <w:sz w:val="21"/>
                <w:szCs w:val="21"/>
                <w:lang w:val="en-US" w:eastAsia="en-GB"/>
              </w:rPr>
              <w:t>/</w:t>
            </w:r>
            <w:proofErr w:type="spellStart"/>
            <w:r w:rsidRPr="000E16DA">
              <w:rPr>
                <w:rFonts w:eastAsia="Times New Roman" w:cs="Times New Roman"/>
                <w:sz w:val="21"/>
                <w:szCs w:val="21"/>
                <w:lang w:val="en-US" w:eastAsia="en-GB"/>
              </w:rPr>
              <w:t>Iot</w:t>
            </w:r>
            <w:proofErr w:type="spellEnd"/>
            <w:r w:rsidRPr="000E16DA">
              <w:rPr>
                <w:rFonts w:eastAsia="Times New Roman" w:cs="Times New Roman"/>
                <w:sz w:val="21"/>
                <w:szCs w:val="21"/>
                <w:lang w:val="en-US" w:eastAsia="en-GB"/>
              </w:rPr>
              <w:t xml:space="preserve"> value is used for serving cell for both OOK based and OFDM based LP-WUR. </w:t>
            </w:r>
          </w:p>
          <w:p w14:paraId="74C77BE8" w14:textId="77777777" w:rsidR="000E16DA" w:rsidRPr="000E16DA" w:rsidRDefault="000E16DA" w:rsidP="000E16DA">
            <w:pPr>
              <w:numPr>
                <w:ilvl w:val="1"/>
                <w:numId w:val="34"/>
              </w:numPr>
              <w:spacing w:after="120"/>
              <w:textAlignment w:val="center"/>
              <w:rPr>
                <w:rFonts w:ascii="Calibri" w:eastAsia="Times New Roman" w:hAnsi="Calibri" w:cs="Calibri"/>
                <w:sz w:val="22"/>
                <w:lang w:val="en-US" w:eastAsia="en-GB"/>
              </w:rPr>
            </w:pPr>
            <w:r w:rsidRPr="000E16DA">
              <w:rPr>
                <w:rFonts w:eastAsia="Times New Roman" w:cs="Times New Roman"/>
                <w:sz w:val="21"/>
                <w:szCs w:val="21"/>
                <w:lang w:val="en-US" w:eastAsia="en-GB"/>
              </w:rPr>
              <w:t xml:space="preserve">The SINR value can be updated if any update on the noise figure value in RF session. </w:t>
            </w:r>
          </w:p>
          <w:p w14:paraId="23E958A9" w14:textId="77777777" w:rsidR="000E16DA" w:rsidRPr="000E16DA" w:rsidRDefault="000E16DA" w:rsidP="000E16DA">
            <w:pPr>
              <w:numPr>
                <w:ilvl w:val="0"/>
                <w:numId w:val="34"/>
              </w:numPr>
              <w:spacing w:after="120"/>
              <w:textAlignment w:val="center"/>
              <w:rPr>
                <w:rFonts w:ascii="Calibri" w:eastAsia="Times New Roman" w:hAnsi="Calibri" w:cs="Calibri"/>
                <w:sz w:val="22"/>
                <w:lang w:val="en-US" w:eastAsia="en-GB"/>
              </w:rPr>
            </w:pPr>
            <w:r w:rsidRPr="000E16DA">
              <w:rPr>
                <w:rFonts w:eastAsia="Times New Roman" w:cs="Times New Roman"/>
                <w:sz w:val="21"/>
                <w:szCs w:val="21"/>
                <w:lang w:val="en-US" w:eastAsia="en-GB"/>
              </w:rPr>
              <w:t xml:space="preserve">FFS the side condition for RAN4 requirement. </w:t>
            </w:r>
          </w:p>
          <w:p w14:paraId="7C0F74AD" w14:textId="77777777" w:rsidR="000E16DA" w:rsidRDefault="000E16DA" w:rsidP="000E16DA">
            <w:pPr>
              <w:pStyle w:val="RAN4H3"/>
              <w:numPr>
                <w:ilvl w:val="0"/>
                <w:numId w:val="0"/>
              </w:numPr>
              <w:rPr>
                <w:lang w:val="en-US"/>
              </w:rPr>
            </w:pPr>
          </w:p>
        </w:tc>
      </w:tr>
    </w:tbl>
    <w:p w14:paraId="1C2FE8EE" w14:textId="77777777" w:rsidR="000E16DA" w:rsidRDefault="000E16DA" w:rsidP="000E16DA">
      <w:pPr>
        <w:pStyle w:val="RAN4H3"/>
        <w:numPr>
          <w:ilvl w:val="0"/>
          <w:numId w:val="0"/>
        </w:numPr>
        <w:rPr>
          <w:lang w:val="en-US"/>
        </w:rPr>
      </w:pPr>
    </w:p>
    <w:p w14:paraId="0335B998" w14:textId="1C2994D8" w:rsidR="0053446A" w:rsidRDefault="00910A6D" w:rsidP="0053446A">
      <w:pPr>
        <w:pStyle w:val="RAN4proposal"/>
        <w:rPr>
          <w:lang w:val="en-US"/>
        </w:rPr>
      </w:pPr>
      <w:bookmarkStart w:id="5" w:name="_Toc179211340"/>
      <w:r>
        <w:rPr>
          <w:lang w:val="en-US"/>
        </w:rPr>
        <w:t xml:space="preserve">Use </w:t>
      </w:r>
      <w:r w:rsidRPr="00910A6D">
        <w:rPr>
          <w:lang w:val="en-US"/>
        </w:rPr>
        <w:t>-3dB, 0.5dB, 2dB</w:t>
      </w:r>
      <w:r>
        <w:rPr>
          <w:lang w:val="en-US"/>
        </w:rPr>
        <w:t xml:space="preserve"> as simulation assumptions</w:t>
      </w:r>
      <w:bookmarkEnd w:id="5"/>
    </w:p>
    <w:p w14:paraId="66BA4E2D" w14:textId="43F1C14B" w:rsidR="00E333CC" w:rsidRDefault="00E333CC" w:rsidP="00E333CC">
      <w:pPr>
        <w:rPr>
          <w:lang w:val="en-US"/>
        </w:rPr>
      </w:pPr>
    </w:p>
    <w:tbl>
      <w:tblPr>
        <w:tblStyle w:val="TableGrid"/>
        <w:tblW w:w="0" w:type="auto"/>
        <w:tblLook w:val="04A0" w:firstRow="1" w:lastRow="0" w:firstColumn="1" w:lastColumn="0" w:noHBand="0" w:noVBand="1"/>
      </w:tblPr>
      <w:tblGrid>
        <w:gridCol w:w="9617"/>
      </w:tblGrid>
      <w:tr w:rsidR="004D6E6F" w14:paraId="0B4875EB" w14:textId="77777777" w:rsidTr="004D6E6F">
        <w:tc>
          <w:tcPr>
            <w:tcW w:w="9617" w:type="dxa"/>
          </w:tcPr>
          <w:p w14:paraId="693C3EEE" w14:textId="77777777" w:rsidR="004D6E6F" w:rsidRPr="00C26F30" w:rsidRDefault="004D6E6F" w:rsidP="004D6E6F">
            <w:pPr>
              <w:rPr>
                <w:b/>
                <w:bCs/>
                <w:lang w:eastAsia="x-none"/>
              </w:rPr>
            </w:pPr>
            <w:r w:rsidRPr="00C26F30">
              <w:rPr>
                <w:b/>
                <w:bCs/>
                <w:highlight w:val="green"/>
                <w:lang w:eastAsia="x-none"/>
              </w:rPr>
              <w:t>Agreement</w:t>
            </w:r>
          </w:p>
          <w:p w14:paraId="474724D3" w14:textId="77777777" w:rsidR="004D6E6F" w:rsidRPr="00C26F30" w:rsidRDefault="004D6E6F" w:rsidP="004D6E6F">
            <w:pPr>
              <w:rPr>
                <w:lang w:eastAsia="x-none"/>
              </w:rPr>
            </w:pPr>
            <w:r w:rsidRPr="00C26F30">
              <w:rPr>
                <w:lang w:eastAsia="x-none"/>
              </w:rPr>
              <w:t>To determine the binary sequences for LP-SS, the evaluation assumes the following:</w:t>
            </w:r>
          </w:p>
          <w:p w14:paraId="0F5C8FDE" w14:textId="77777777" w:rsidR="004D6E6F" w:rsidRPr="00C26F30" w:rsidRDefault="004D6E6F" w:rsidP="004D6E6F">
            <w:pPr>
              <w:numPr>
                <w:ilvl w:val="0"/>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 xml:space="preserve">Sync accuracy: timing estimation error smaller than T us for P=90 % of the time for at least SNR=-3dB and SNR=-6dB (lower priority), </w:t>
            </w:r>
          </w:p>
          <w:p w14:paraId="6D07E9A0" w14:textId="77777777" w:rsidR="004D6E6F" w:rsidRPr="00C26F30" w:rsidRDefault="004D6E6F" w:rsidP="004D6E6F">
            <w:pPr>
              <w:numPr>
                <w:ilvl w:val="1"/>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T=2us(optional), 5us for OOK-1</w:t>
            </w:r>
          </w:p>
          <w:p w14:paraId="639A7EE2" w14:textId="77777777" w:rsidR="004D6E6F" w:rsidRPr="00C26F30" w:rsidRDefault="004D6E6F" w:rsidP="004D6E6F">
            <w:pPr>
              <w:numPr>
                <w:ilvl w:val="1"/>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T=1us(optional), 2us for OOK-4 with M=2</w:t>
            </w:r>
          </w:p>
          <w:p w14:paraId="39028356" w14:textId="77777777" w:rsidR="004D6E6F" w:rsidRPr="00C26F30" w:rsidRDefault="004D6E6F" w:rsidP="004D6E6F">
            <w:pPr>
              <w:numPr>
                <w:ilvl w:val="1"/>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T=0.5us(optional), 1us for OOK-4 with M=4</w:t>
            </w:r>
          </w:p>
          <w:p w14:paraId="30754EEA" w14:textId="77777777" w:rsidR="004D6E6F" w:rsidRPr="00C26F30" w:rsidRDefault="004D6E6F" w:rsidP="004D6E6F">
            <w:pPr>
              <w:numPr>
                <w:ilvl w:val="1"/>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Other values of SNR, T, M are up to company report.</w:t>
            </w:r>
          </w:p>
          <w:p w14:paraId="1F61243A" w14:textId="77777777" w:rsidR="004D6E6F" w:rsidRPr="00C26F30" w:rsidRDefault="004D6E6F" w:rsidP="004D6E6F">
            <w:pPr>
              <w:numPr>
                <w:ilvl w:val="1"/>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Additionally, companies can submit results on SINR with details on how the interference was modelled.</w:t>
            </w:r>
          </w:p>
          <w:p w14:paraId="6CB787E7" w14:textId="77777777" w:rsidR="004D6E6F" w:rsidRPr="00C26F30" w:rsidRDefault="004D6E6F" w:rsidP="004D6E6F">
            <w:pPr>
              <w:numPr>
                <w:ilvl w:val="1"/>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Assume one-shot estimation</w:t>
            </w:r>
          </w:p>
          <w:p w14:paraId="57E5AA05" w14:textId="77777777" w:rsidR="004D6E6F" w:rsidRPr="00C26F30" w:rsidRDefault="004D6E6F" w:rsidP="004D6E6F">
            <w:pPr>
              <w:numPr>
                <w:ilvl w:val="1"/>
                <w:numId w:val="36"/>
              </w:numPr>
              <w:overflowPunct w:val="0"/>
              <w:autoSpaceDE w:val="0"/>
              <w:autoSpaceDN w:val="0"/>
              <w:adjustRightInd w:val="0"/>
              <w:contextualSpacing/>
              <w:jc w:val="both"/>
              <w:textAlignment w:val="baseline"/>
              <w:rPr>
                <w:rFonts w:eastAsia="Microsoft YaHei"/>
                <w:lang w:eastAsia="zh-CN"/>
              </w:rPr>
            </w:pPr>
            <w:r w:rsidRPr="00C26F30">
              <w:rPr>
                <w:rFonts w:eastAsia="Microsoft YaHei"/>
                <w:lang w:eastAsia="zh-CN"/>
              </w:rPr>
              <w:t>The time error is based on 20ppm maximum frequency error for the detection of the first LP-SS</w:t>
            </w:r>
          </w:p>
          <w:p w14:paraId="20B85A75" w14:textId="77777777" w:rsidR="004D6E6F" w:rsidRPr="00C26F30" w:rsidRDefault="004D6E6F" w:rsidP="004D6E6F">
            <w:pPr>
              <w:widowControl w:val="0"/>
              <w:numPr>
                <w:ilvl w:val="1"/>
                <w:numId w:val="36"/>
              </w:numPr>
              <w:jc w:val="both"/>
              <w:rPr>
                <w:rFonts w:eastAsia="Malgun Gothic"/>
                <w:bCs/>
                <w:iCs/>
                <w:lang w:eastAsia="x-none"/>
              </w:rPr>
            </w:pPr>
            <w:r w:rsidRPr="00C26F30">
              <w:rPr>
                <w:rFonts w:eastAsia="Malgun Gothic"/>
                <w:bCs/>
                <w:iCs/>
                <w:lang w:eastAsia="x-none"/>
              </w:rPr>
              <w:t xml:space="preserve">Note: Companies can assume other values inside of </w:t>
            </w:r>
            <w:r w:rsidRPr="00C26F30">
              <w:rPr>
                <w:rFonts w:eastAsia="Microsoft YaHei"/>
                <w:lang w:eastAsia="zh-CN"/>
              </w:rPr>
              <w:t xml:space="preserve">20ppm maximum </w:t>
            </w:r>
            <w:r w:rsidRPr="00C26F30">
              <w:rPr>
                <w:rFonts w:eastAsia="Malgun Gothic"/>
                <w:bCs/>
                <w:iCs/>
                <w:lang w:eastAsia="x-none"/>
              </w:rPr>
              <w:t>as long as the values are justified</w:t>
            </w:r>
          </w:p>
          <w:p w14:paraId="5B730FC5" w14:textId="77777777" w:rsidR="004D6E6F" w:rsidRPr="00C26F30" w:rsidRDefault="004D6E6F" w:rsidP="004D6E6F">
            <w:pPr>
              <w:widowControl w:val="0"/>
              <w:numPr>
                <w:ilvl w:val="0"/>
                <w:numId w:val="36"/>
              </w:numPr>
              <w:jc w:val="both"/>
              <w:rPr>
                <w:rFonts w:eastAsia="Malgun Gothic"/>
                <w:bCs/>
                <w:iCs/>
                <w:lang w:eastAsia="x-none"/>
              </w:rPr>
            </w:pPr>
            <w:r w:rsidRPr="00C26F30">
              <w:rPr>
                <w:lang w:eastAsia="x-none"/>
              </w:rPr>
              <w:t xml:space="preserve">RRM measurement accuracy: measurement accuracy within range ± </w:t>
            </w:r>
            <w:proofErr w:type="spellStart"/>
            <w:r w:rsidRPr="00C26F30">
              <w:rPr>
                <w:lang w:eastAsia="x-none"/>
              </w:rPr>
              <w:t>XdB</w:t>
            </w:r>
            <w:proofErr w:type="spellEnd"/>
            <w:r w:rsidRPr="00C26F30">
              <w:rPr>
                <w:lang w:eastAsia="x-none"/>
              </w:rPr>
              <w:t xml:space="preserve"> for Q=90% measurements based on</w:t>
            </w:r>
            <w:r w:rsidRPr="00C26F30">
              <w:rPr>
                <w:rFonts w:eastAsia="Malgun Gothic"/>
                <w:bCs/>
                <w:iCs/>
                <w:lang w:eastAsia="x-none"/>
              </w:rPr>
              <w:t xml:space="preserve"> Y LP-SS samples within a period comparable to Z=the length of I-DRX cycle that is larger or equal to 1.28s for at least </w:t>
            </w:r>
            <w:r w:rsidRPr="00C26F30">
              <w:rPr>
                <w:lang w:eastAsia="x-none"/>
              </w:rPr>
              <w:t>SNR=-3dB and SNR=-6dB (lower priority)</w:t>
            </w:r>
            <w:r w:rsidRPr="00C26F30">
              <w:rPr>
                <w:rFonts w:eastAsia="Malgun Gothic"/>
                <w:bCs/>
                <w:iCs/>
                <w:lang w:eastAsia="x-none"/>
              </w:rPr>
              <w:t>, X, Y, and Z is up to company report, other values of SNR are up to company report.</w:t>
            </w:r>
          </w:p>
          <w:p w14:paraId="6830ED87" w14:textId="77777777" w:rsidR="004D6E6F" w:rsidRPr="00C26F30" w:rsidRDefault="004D6E6F" w:rsidP="004D6E6F">
            <w:pPr>
              <w:widowControl w:val="0"/>
              <w:numPr>
                <w:ilvl w:val="1"/>
                <w:numId w:val="36"/>
              </w:numPr>
              <w:jc w:val="both"/>
              <w:rPr>
                <w:rFonts w:eastAsia="Malgun Gothic"/>
                <w:bCs/>
                <w:iCs/>
                <w:lang w:eastAsia="x-none"/>
              </w:rPr>
            </w:pPr>
            <w:r w:rsidRPr="00C26F30">
              <w:rPr>
                <w:rFonts w:eastAsia="Malgun Gothic"/>
                <w:bCs/>
                <w:iCs/>
                <w:lang w:eastAsia="x-none"/>
              </w:rPr>
              <w:t xml:space="preserve">As a starting point, the time error is based on </w:t>
            </w:r>
            <w:r w:rsidRPr="00C26F30">
              <w:rPr>
                <w:rFonts w:eastAsia="Malgun Gothic" w:hint="eastAsia"/>
                <w:bCs/>
                <w:iCs/>
                <w:lang w:eastAsia="x-none"/>
              </w:rPr>
              <w:t>5-10</w:t>
            </w:r>
            <w:r w:rsidRPr="00C26F30">
              <w:rPr>
                <w:rFonts w:eastAsia="Malgun Gothic"/>
                <w:bCs/>
                <w:iCs/>
                <w:lang w:eastAsia="x-none"/>
              </w:rPr>
              <w:t xml:space="preserve">ppm </w:t>
            </w:r>
            <w:r w:rsidRPr="00C26F30">
              <w:rPr>
                <w:rFonts w:eastAsia="Malgun Gothic" w:hint="eastAsia"/>
                <w:bCs/>
                <w:iCs/>
                <w:lang w:eastAsia="x-none"/>
              </w:rPr>
              <w:t>residual frequency error</w:t>
            </w:r>
            <w:r w:rsidRPr="00C26F30">
              <w:rPr>
                <w:rFonts w:eastAsia="Malgun Gothic"/>
                <w:bCs/>
                <w:iCs/>
                <w:lang w:eastAsia="x-none"/>
              </w:rPr>
              <w:t xml:space="preserve">. </w:t>
            </w:r>
          </w:p>
          <w:p w14:paraId="381542A3" w14:textId="77777777" w:rsidR="004D6E6F" w:rsidRPr="004D6E6F" w:rsidRDefault="004D6E6F" w:rsidP="004D6E6F">
            <w:pPr>
              <w:widowControl w:val="0"/>
              <w:numPr>
                <w:ilvl w:val="1"/>
                <w:numId w:val="36"/>
              </w:numPr>
              <w:jc w:val="both"/>
              <w:rPr>
                <w:rFonts w:eastAsia="Malgun Gothic"/>
                <w:bCs/>
                <w:iCs/>
                <w:highlight w:val="green"/>
                <w:lang w:eastAsia="x-none"/>
              </w:rPr>
            </w:pPr>
            <w:r w:rsidRPr="004D6E6F">
              <w:rPr>
                <w:rFonts w:eastAsia="Malgun Gothic"/>
                <w:bCs/>
                <w:iCs/>
                <w:highlight w:val="green"/>
                <w:lang w:eastAsia="x-none"/>
              </w:rPr>
              <w:lastRenderedPageBreak/>
              <w:t>Note: 5-10ppm assumes frequency error correction is performed, e.g., RTC calibration and/or MR assistance</w:t>
            </w:r>
          </w:p>
          <w:p w14:paraId="22AA44F4" w14:textId="77777777" w:rsidR="004D6E6F" w:rsidRPr="00C26F30" w:rsidRDefault="004D6E6F" w:rsidP="004D6E6F">
            <w:pPr>
              <w:widowControl w:val="0"/>
              <w:numPr>
                <w:ilvl w:val="1"/>
                <w:numId w:val="36"/>
              </w:numPr>
              <w:jc w:val="both"/>
              <w:rPr>
                <w:rFonts w:eastAsia="Malgun Gothic"/>
                <w:bCs/>
                <w:iCs/>
                <w:lang w:eastAsia="x-none"/>
              </w:rPr>
            </w:pPr>
            <w:r w:rsidRPr="00C26F30">
              <w:rPr>
                <w:rFonts w:eastAsia="Malgun Gothic"/>
                <w:bCs/>
                <w:iCs/>
                <w:lang w:eastAsia="x-none"/>
              </w:rPr>
              <w:t>Note: Companies can assume other values outside of 5-10ppm as long as the values are justified</w:t>
            </w:r>
          </w:p>
          <w:p w14:paraId="79240108" w14:textId="77777777" w:rsidR="004D6E6F" w:rsidRPr="00C26F30" w:rsidRDefault="004D6E6F" w:rsidP="004D6E6F">
            <w:pPr>
              <w:widowControl w:val="0"/>
              <w:numPr>
                <w:ilvl w:val="0"/>
                <w:numId w:val="36"/>
              </w:numPr>
              <w:jc w:val="both"/>
              <w:rPr>
                <w:rFonts w:eastAsia="Malgun Gothic"/>
                <w:bCs/>
                <w:iCs/>
                <w:lang w:eastAsia="x-none"/>
              </w:rPr>
            </w:pPr>
            <w:r w:rsidRPr="00C26F30">
              <w:rPr>
                <w:rFonts w:hint="eastAsia"/>
                <w:lang w:eastAsia="x-none"/>
              </w:rPr>
              <w:t>The frequency error: up to company report</w:t>
            </w:r>
          </w:p>
          <w:p w14:paraId="7548792D" w14:textId="77777777" w:rsidR="004D6E6F" w:rsidRPr="00C26F30" w:rsidRDefault="004D6E6F" w:rsidP="004D6E6F">
            <w:pPr>
              <w:widowControl w:val="0"/>
              <w:numPr>
                <w:ilvl w:val="0"/>
                <w:numId w:val="36"/>
              </w:numPr>
              <w:jc w:val="both"/>
              <w:rPr>
                <w:rFonts w:eastAsia="Malgun Gothic"/>
                <w:bCs/>
                <w:iCs/>
                <w:lang w:eastAsia="x-none"/>
              </w:rPr>
            </w:pPr>
            <w:r w:rsidRPr="00C26F30">
              <w:rPr>
                <w:lang w:eastAsia="x-none"/>
              </w:rPr>
              <w:t>Sampling rate: 3.84MHz (optional) or 7.68MHz assumed for 30kHz SCS.</w:t>
            </w:r>
          </w:p>
          <w:p w14:paraId="785DBB7D" w14:textId="77777777" w:rsidR="004D6E6F" w:rsidRPr="00C26F30" w:rsidRDefault="004D6E6F" w:rsidP="004D6E6F">
            <w:pPr>
              <w:widowControl w:val="0"/>
              <w:numPr>
                <w:ilvl w:val="0"/>
                <w:numId w:val="36"/>
              </w:numPr>
              <w:jc w:val="both"/>
              <w:rPr>
                <w:rFonts w:eastAsia="Malgun Gothic"/>
                <w:bCs/>
                <w:iCs/>
                <w:lang w:eastAsia="x-none"/>
              </w:rPr>
            </w:pPr>
            <w:r w:rsidRPr="00C26F30">
              <w:rPr>
                <w:lang w:eastAsia="x-none"/>
              </w:rPr>
              <w:t>Channel: AWGN and TDL-C 300ns is assumed.</w:t>
            </w:r>
          </w:p>
          <w:p w14:paraId="74D7864F" w14:textId="77777777" w:rsidR="004D6E6F" w:rsidRDefault="004D6E6F" w:rsidP="00E333CC">
            <w:pPr>
              <w:rPr>
                <w:lang w:val="en-US"/>
              </w:rPr>
            </w:pPr>
          </w:p>
        </w:tc>
      </w:tr>
    </w:tbl>
    <w:p w14:paraId="00F2E85C" w14:textId="77777777" w:rsidR="00C6186C" w:rsidRDefault="00C6186C" w:rsidP="00E333CC">
      <w:pPr>
        <w:rPr>
          <w:lang w:val="en-US"/>
        </w:rPr>
      </w:pPr>
    </w:p>
    <w:p w14:paraId="70C3A940" w14:textId="2AD4747E" w:rsidR="00C6186C" w:rsidRDefault="004D6E6F" w:rsidP="00C6186C">
      <w:pPr>
        <w:pStyle w:val="ObservationText"/>
        <w:spacing w:before="240" w:after="240"/>
        <w:rPr>
          <w:i w:val="0"/>
          <w:iCs w:val="0"/>
        </w:rPr>
      </w:pPr>
      <w:r w:rsidRPr="004D6E6F">
        <w:rPr>
          <w:i w:val="0"/>
          <w:iCs w:val="0"/>
        </w:rPr>
        <w:t>RAN</w:t>
      </w:r>
      <w:r>
        <w:rPr>
          <w:i w:val="0"/>
          <w:iCs w:val="0"/>
        </w:rPr>
        <w:t xml:space="preserve">1 assumptions have been using 5-10ppm </w:t>
      </w:r>
    </w:p>
    <w:p w14:paraId="2E820282" w14:textId="30D56B6F" w:rsidR="000C71B1" w:rsidRPr="000C71B1" w:rsidRDefault="000C71B1" w:rsidP="000C71B1">
      <w:pPr>
        <w:rPr>
          <w:lang w:val="en-US"/>
        </w:rPr>
      </w:pPr>
      <w:r>
        <w:rPr>
          <w:lang w:val="en-US"/>
        </w:rPr>
        <w:t>RAN4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483"/>
        <w:gridCol w:w="960"/>
        <w:gridCol w:w="3231"/>
        <w:gridCol w:w="720"/>
      </w:tblGrid>
      <w:tr w:rsidR="00C6186C" w:rsidRPr="00C6186C" w14:paraId="5361BDF2" w14:textId="77777777" w:rsidTr="00C6186C">
        <w:tc>
          <w:tcPr>
            <w:tcW w:w="44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09CBD" w14:textId="77777777" w:rsidR="00C6186C" w:rsidRPr="00C6186C" w:rsidRDefault="00C6186C" w:rsidP="00C6186C">
            <w:pPr>
              <w:spacing w:after="0" w:line="240" w:lineRule="auto"/>
              <w:rPr>
                <w:rFonts w:eastAsia="Times New Roman" w:cs="Times New Roman"/>
                <w:color w:val="000000"/>
                <w:szCs w:val="20"/>
                <w:lang w:eastAsia="en-GB"/>
              </w:rPr>
            </w:pPr>
            <w:r w:rsidRPr="00C6186C">
              <w:rPr>
                <w:rFonts w:eastAsia="Times New Roman" w:cs="Times New Roman"/>
                <w:color w:val="000000"/>
                <w:szCs w:val="20"/>
                <w:lang w:eastAsia="en-GB"/>
              </w:rPr>
              <w:t>Frequency offset relative to UE frequency reference</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9C1CB" w14:textId="77777777" w:rsidR="00C6186C" w:rsidRPr="00C6186C" w:rsidRDefault="00C6186C" w:rsidP="00C6186C">
            <w:pPr>
              <w:spacing w:after="0" w:line="240" w:lineRule="auto"/>
              <w:rPr>
                <w:rFonts w:eastAsia="Times New Roman" w:cs="Times New Roman"/>
                <w:color w:val="000000"/>
                <w:szCs w:val="20"/>
                <w:lang w:eastAsia="en-GB"/>
              </w:rPr>
            </w:pPr>
            <w:r w:rsidRPr="00C6186C">
              <w:rPr>
                <w:rFonts w:eastAsia="Times New Roman" w:cs="Times New Roman"/>
                <w:color w:val="000000"/>
                <w:szCs w:val="20"/>
                <w:lang w:eastAsia="en-GB"/>
              </w:rPr>
              <w:t>Hz</w:t>
            </w:r>
          </w:p>
        </w:tc>
        <w:tc>
          <w:tcPr>
            <w:tcW w:w="3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1C7F5B" w14:textId="77777777" w:rsidR="00C6186C" w:rsidRPr="00C6186C" w:rsidRDefault="00C6186C" w:rsidP="00C6186C">
            <w:pPr>
              <w:spacing w:after="0" w:line="240" w:lineRule="auto"/>
              <w:rPr>
                <w:rFonts w:eastAsia="Times New Roman" w:cs="Times New Roman"/>
                <w:color w:val="000000"/>
                <w:szCs w:val="20"/>
                <w:lang w:eastAsia="en-GB"/>
              </w:rPr>
            </w:pPr>
            <w:r w:rsidRPr="00C6186C">
              <w:rPr>
                <w:rFonts w:eastAsia="Times New Roman" w:cs="Times New Roman"/>
                <w:color w:val="000000"/>
                <w:szCs w:val="20"/>
                <w:lang w:eastAsia="en-GB"/>
              </w:rPr>
              <w:t> </w:t>
            </w:r>
          </w:p>
          <w:p w14:paraId="124EB482" w14:textId="77777777" w:rsidR="00C6186C" w:rsidRPr="00C6186C" w:rsidRDefault="00C6186C" w:rsidP="00C6186C">
            <w:pPr>
              <w:spacing w:after="120" w:line="240" w:lineRule="auto"/>
              <w:rPr>
                <w:rFonts w:eastAsia="Times New Roman" w:cs="Times New Roman"/>
                <w:color w:val="000000"/>
                <w:sz w:val="21"/>
                <w:szCs w:val="21"/>
                <w:lang w:val="en-US" w:eastAsia="en-GB"/>
              </w:rPr>
            </w:pPr>
            <w:r w:rsidRPr="00C6186C">
              <w:rPr>
                <w:rFonts w:eastAsia="Times New Roman" w:cs="Times New Roman"/>
                <w:color w:val="000000"/>
                <w:sz w:val="21"/>
                <w:szCs w:val="21"/>
                <w:highlight w:val="green"/>
                <w:lang w:val="en-US" w:eastAsia="en-GB"/>
              </w:rPr>
              <w:t>OFDM based receiver [5] ppm</w:t>
            </w:r>
          </w:p>
          <w:p w14:paraId="706F88A9" w14:textId="77777777" w:rsidR="00C6186C" w:rsidRPr="00C6186C" w:rsidRDefault="00C6186C" w:rsidP="00C6186C">
            <w:pPr>
              <w:spacing w:after="120" w:line="240" w:lineRule="auto"/>
              <w:rPr>
                <w:rFonts w:eastAsia="Times New Roman" w:cs="Times New Roman"/>
                <w:color w:val="000000"/>
                <w:sz w:val="21"/>
                <w:szCs w:val="21"/>
                <w:lang w:val="en-US" w:eastAsia="en-GB"/>
              </w:rPr>
            </w:pPr>
            <w:r w:rsidRPr="00C6186C">
              <w:rPr>
                <w:rFonts w:eastAsia="Times New Roman" w:cs="Times New Roman"/>
                <w:color w:val="000000"/>
                <w:sz w:val="21"/>
                <w:szCs w:val="21"/>
                <w:highlight w:val="green"/>
                <w:lang w:val="en-US" w:eastAsia="en-GB"/>
              </w:rPr>
              <w:t xml:space="preserve">OOK based receiver [ 10 20] ppm </w:t>
            </w:r>
          </w:p>
          <w:p w14:paraId="01DAA665" w14:textId="77777777" w:rsidR="00C6186C" w:rsidRPr="00C6186C" w:rsidRDefault="00C6186C" w:rsidP="00C6186C">
            <w:pPr>
              <w:spacing w:before="100" w:after="0" w:line="240" w:lineRule="auto"/>
              <w:rPr>
                <w:rFonts w:eastAsia="Times New Roman" w:cs="Times New Roman"/>
                <w:color w:val="000000"/>
                <w:sz w:val="24"/>
                <w:szCs w:val="24"/>
                <w:lang w:val="en-US" w:eastAsia="en-GB"/>
              </w:rPr>
            </w:pPr>
            <w:r w:rsidRPr="00C6186C">
              <w:rPr>
                <w:rFonts w:eastAsia="Times New Roman" w:cs="Times New Roman"/>
                <w:color w:val="000000"/>
                <w:sz w:val="24"/>
                <w:szCs w:val="24"/>
                <w:lang w:val="en-US" w:eastAsia="en-GB"/>
              </w:rPr>
              <w:t> </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E32DB" w14:textId="77777777" w:rsidR="00C6186C" w:rsidRPr="00C6186C" w:rsidRDefault="00C6186C" w:rsidP="00C6186C">
            <w:pPr>
              <w:spacing w:after="0" w:line="240" w:lineRule="auto"/>
              <w:rPr>
                <w:rFonts w:eastAsia="Times New Roman" w:cs="Times New Roman"/>
                <w:szCs w:val="20"/>
                <w:lang w:val="it-IT" w:eastAsia="en-GB"/>
              </w:rPr>
            </w:pPr>
            <w:r w:rsidRPr="00C6186C">
              <w:rPr>
                <w:rFonts w:eastAsia="Times New Roman" w:cs="Times New Roman"/>
                <w:szCs w:val="20"/>
                <w:lang w:val="it-IT" w:eastAsia="en-GB"/>
              </w:rPr>
              <w:t>N/A</w:t>
            </w:r>
          </w:p>
        </w:tc>
      </w:tr>
    </w:tbl>
    <w:p w14:paraId="5E89BDAF" w14:textId="77777777" w:rsidR="00C6186C" w:rsidRPr="00C6186C" w:rsidRDefault="00C6186C" w:rsidP="00C6186C">
      <w:pPr>
        <w:rPr>
          <w:lang w:val="en-US"/>
        </w:rPr>
      </w:pPr>
    </w:p>
    <w:p w14:paraId="14BD8F2D" w14:textId="0D78AE6D" w:rsidR="004D6E6F" w:rsidRPr="004D6E6F" w:rsidRDefault="004F0753" w:rsidP="004F0753">
      <w:pPr>
        <w:pStyle w:val="RAN4proposal"/>
        <w:rPr>
          <w:lang w:val="en-US"/>
        </w:rPr>
      </w:pPr>
      <w:bookmarkStart w:id="6" w:name="_Toc179211341"/>
      <w:r>
        <w:rPr>
          <w:lang w:val="en-US"/>
        </w:rPr>
        <w:t xml:space="preserve">Update </w:t>
      </w:r>
      <w:r w:rsidR="00C6186C" w:rsidRPr="00C6186C">
        <w:rPr>
          <w:rFonts w:eastAsia="Times New Roman" w:cs="Times New Roman"/>
          <w:color w:val="000000"/>
          <w:szCs w:val="20"/>
          <w:lang w:eastAsia="en-GB"/>
        </w:rPr>
        <w:t>Frequency offset relative to UE frequency reference</w:t>
      </w:r>
      <w:r w:rsidR="00C6186C">
        <w:rPr>
          <w:lang w:val="en-US"/>
        </w:rPr>
        <w:t xml:space="preserve"> </w:t>
      </w:r>
      <w:r w:rsidR="00904CA9">
        <w:rPr>
          <w:lang w:val="en-US"/>
        </w:rPr>
        <w:t>[</w:t>
      </w:r>
      <w:r>
        <w:rPr>
          <w:lang w:val="en-US"/>
        </w:rPr>
        <w:t>5, 10</w:t>
      </w:r>
      <w:r w:rsidR="00904CA9">
        <w:rPr>
          <w:lang w:val="en-US"/>
        </w:rPr>
        <w:t xml:space="preserve">] </w:t>
      </w:r>
      <w:r>
        <w:rPr>
          <w:lang w:val="en-US"/>
        </w:rPr>
        <w:t>ppm</w:t>
      </w:r>
      <w:bookmarkEnd w:id="6"/>
    </w:p>
    <w:tbl>
      <w:tblPr>
        <w:tblStyle w:val="TableGrid"/>
        <w:tblW w:w="0" w:type="auto"/>
        <w:tblLook w:val="04A0" w:firstRow="1" w:lastRow="0" w:firstColumn="1" w:lastColumn="0" w:noHBand="0" w:noVBand="1"/>
      </w:tblPr>
      <w:tblGrid>
        <w:gridCol w:w="9617"/>
      </w:tblGrid>
      <w:tr w:rsidR="00981FCE" w14:paraId="3233BCF5" w14:textId="77777777" w:rsidTr="00981FCE">
        <w:tc>
          <w:tcPr>
            <w:tcW w:w="9617" w:type="dxa"/>
          </w:tcPr>
          <w:p w14:paraId="322B12A2" w14:textId="707DF706" w:rsidR="00981FCE" w:rsidRPr="00981FCE" w:rsidRDefault="00981FCE" w:rsidP="00981FCE">
            <w:pPr>
              <w:rPr>
                <w:b/>
                <w:bCs/>
                <w:lang w:eastAsia="x-none"/>
              </w:rPr>
            </w:pPr>
            <w:r w:rsidRPr="00981FCE">
              <w:rPr>
                <w:b/>
                <w:bCs/>
                <w:lang w:eastAsia="x-none"/>
              </w:rPr>
              <w:t xml:space="preserve">RAN1 agreement: </w:t>
            </w:r>
          </w:p>
          <w:p w14:paraId="71D8D6BF" w14:textId="6300D653" w:rsidR="00981FCE" w:rsidRPr="00C26F30" w:rsidRDefault="00981FCE" w:rsidP="00981FCE">
            <w:pPr>
              <w:rPr>
                <w:b/>
                <w:bCs/>
                <w:lang w:eastAsia="x-none"/>
              </w:rPr>
            </w:pPr>
            <w:r w:rsidRPr="00C26F30">
              <w:rPr>
                <w:b/>
                <w:bCs/>
                <w:highlight w:val="green"/>
                <w:lang w:eastAsia="x-none"/>
              </w:rPr>
              <w:t>Agreement</w:t>
            </w:r>
          </w:p>
          <w:p w14:paraId="26B354C0" w14:textId="77777777" w:rsidR="00981FCE" w:rsidRPr="00C26F30" w:rsidRDefault="00981FCE" w:rsidP="00981FCE">
            <w:pPr>
              <w:rPr>
                <w:lang w:eastAsia="x-none"/>
              </w:rPr>
            </w:pPr>
            <w:r w:rsidRPr="00C26F30">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981FCE" w:rsidRPr="00C26F30" w14:paraId="2FAA8CC0" w14:textId="77777777">
              <w:tc>
                <w:tcPr>
                  <w:tcW w:w="9060" w:type="dxa"/>
                  <w:shd w:val="clear" w:color="auto" w:fill="auto"/>
                </w:tcPr>
                <w:p w14:paraId="48C70ADD" w14:textId="77777777" w:rsidR="00981FCE" w:rsidRPr="00C26F30" w:rsidRDefault="00981FCE" w:rsidP="00981FCE">
                  <w:pPr>
                    <w:rPr>
                      <w:szCs w:val="20"/>
                      <w:lang w:eastAsia="zh-CN"/>
                    </w:rPr>
                  </w:pPr>
                  <w:r w:rsidRPr="00C26F30">
                    <w:rPr>
                      <w:b/>
                      <w:bCs/>
                      <w:color w:val="13171F"/>
                      <w:kern w:val="24"/>
                      <w:szCs w:val="20"/>
                      <w:highlight w:val="green"/>
                      <w:lang w:eastAsia="zh-CN"/>
                    </w:rPr>
                    <w:t>Agreement</w:t>
                  </w:r>
                </w:p>
                <w:p w14:paraId="16F89435" w14:textId="77777777" w:rsidR="00981FCE" w:rsidRPr="00C26F30" w:rsidRDefault="00981FCE" w:rsidP="00981FCE">
                  <w:pPr>
                    <w:rPr>
                      <w:szCs w:val="20"/>
                      <w:lang w:eastAsia="zh-CN"/>
                    </w:rPr>
                  </w:pPr>
                  <w:r w:rsidRPr="00C26F30">
                    <w:rPr>
                      <w:kern w:val="24"/>
                      <w:szCs w:val="20"/>
                      <w:lang w:eastAsia="zh-CN"/>
                    </w:rPr>
                    <w:t>For OOK-4 with M &gt;1, support M=2 &amp; M=4</w:t>
                  </w:r>
                  <w:r w:rsidRPr="00C26F30">
                    <w:rPr>
                      <w:rFonts w:eastAsia="Malgun Gothic" w:hint="eastAsia"/>
                      <w:strike/>
                      <w:kern w:val="24"/>
                      <w:szCs w:val="20"/>
                      <w:lang w:eastAsia="zh-CN"/>
                    </w:rPr>
                    <w:t xml:space="preserve"> </w:t>
                  </w:r>
                  <w:r w:rsidRPr="00C26F30">
                    <w:rPr>
                      <w:strike/>
                      <w:kern w:val="24"/>
                      <w:szCs w:val="20"/>
                      <w:lang w:eastAsia="zh-CN"/>
                    </w:rPr>
                    <w:t>(working assumption)</w:t>
                  </w:r>
                  <w:r w:rsidRPr="00C26F30">
                    <w:rPr>
                      <w:rFonts w:eastAsia="Malgun Gothic" w:hint="eastAsia"/>
                      <w:kern w:val="24"/>
                      <w:szCs w:val="20"/>
                      <w:lang w:eastAsia="zh-CN"/>
                    </w:rPr>
                    <w:t xml:space="preserve"> </w:t>
                  </w:r>
                  <w:r w:rsidRPr="00C26F30">
                    <w:rPr>
                      <w:kern w:val="24"/>
                      <w:szCs w:val="20"/>
                      <w:lang w:eastAsia="zh-CN"/>
                    </w:rPr>
                    <w:t xml:space="preserve">for LP-WUS. </w:t>
                  </w:r>
                </w:p>
                <w:p w14:paraId="595A7983" w14:textId="77777777" w:rsidR="00981FCE" w:rsidRPr="00C26F30" w:rsidRDefault="00981FCE" w:rsidP="00981FCE">
                  <w:pPr>
                    <w:numPr>
                      <w:ilvl w:val="0"/>
                      <w:numId w:val="36"/>
                    </w:numPr>
                    <w:overflowPunct w:val="0"/>
                    <w:autoSpaceDE w:val="0"/>
                    <w:autoSpaceDN w:val="0"/>
                    <w:adjustRightInd w:val="0"/>
                    <w:spacing w:after="180" w:line="240" w:lineRule="auto"/>
                    <w:ind w:left="560"/>
                    <w:contextualSpacing/>
                    <w:jc w:val="both"/>
                    <w:textAlignment w:val="baseline"/>
                    <w:rPr>
                      <w:rFonts w:eastAsia="Malgun Gothic"/>
                      <w:kern w:val="2"/>
                      <w:szCs w:val="20"/>
                      <w:lang w:eastAsia="zh-CN"/>
                    </w:rPr>
                  </w:pPr>
                  <w:r w:rsidRPr="00C26F30">
                    <w:rPr>
                      <w:rFonts w:eastAsia="Malgun Gothic" w:hint="eastAsia"/>
                      <w:kern w:val="2"/>
                      <w:szCs w:val="20"/>
                      <w:lang w:eastAsia="zh-CN"/>
                    </w:rPr>
                    <w:t>M</w:t>
                  </w:r>
                  <w:r w:rsidRPr="00C26F30">
                    <w:rPr>
                      <w:rFonts w:eastAsia="Malgun Gothic"/>
                      <w:kern w:val="2"/>
                      <w:szCs w:val="20"/>
                      <w:lang w:eastAsia="zh-CN"/>
                    </w:rPr>
                    <w:t>=4 for 15KHz SCS</w:t>
                  </w:r>
                </w:p>
                <w:p w14:paraId="7EF482A2" w14:textId="77777777" w:rsidR="00981FCE" w:rsidRPr="00C26F30" w:rsidRDefault="00981FCE" w:rsidP="00981FCE">
                  <w:pPr>
                    <w:numPr>
                      <w:ilvl w:val="0"/>
                      <w:numId w:val="36"/>
                    </w:numPr>
                    <w:overflowPunct w:val="0"/>
                    <w:autoSpaceDE w:val="0"/>
                    <w:autoSpaceDN w:val="0"/>
                    <w:adjustRightInd w:val="0"/>
                    <w:spacing w:after="180" w:line="240" w:lineRule="auto"/>
                    <w:ind w:left="560"/>
                    <w:contextualSpacing/>
                    <w:jc w:val="both"/>
                    <w:textAlignment w:val="baseline"/>
                    <w:rPr>
                      <w:rFonts w:eastAsia="Malgun Gothic"/>
                      <w:kern w:val="2"/>
                      <w:szCs w:val="20"/>
                      <w:highlight w:val="darkYellow"/>
                      <w:lang w:eastAsia="zh-CN"/>
                    </w:rPr>
                  </w:pPr>
                  <w:r w:rsidRPr="00C26F30">
                    <w:rPr>
                      <w:rFonts w:eastAsia="Malgun Gothic" w:hint="eastAsia"/>
                      <w:kern w:val="2"/>
                      <w:szCs w:val="20"/>
                      <w:highlight w:val="darkYellow"/>
                      <w:lang w:eastAsia="zh-CN"/>
                    </w:rPr>
                    <w:t>M</w:t>
                  </w:r>
                  <w:r w:rsidRPr="00C26F30">
                    <w:rPr>
                      <w:rFonts w:eastAsia="Malgun Gothic"/>
                      <w:kern w:val="2"/>
                      <w:szCs w:val="20"/>
                      <w:highlight w:val="darkYellow"/>
                      <w:lang w:eastAsia="zh-CN"/>
                    </w:rPr>
                    <w:t>=4 for 30KHz SCS</w:t>
                  </w:r>
                  <w:r w:rsidRPr="00C26F30">
                    <w:rPr>
                      <w:rFonts w:eastAsia="Malgun Gothic" w:hint="eastAsia"/>
                      <w:kern w:val="2"/>
                      <w:szCs w:val="20"/>
                      <w:highlight w:val="darkYellow"/>
                      <w:lang w:eastAsia="zh-CN"/>
                    </w:rPr>
                    <w:t xml:space="preserve"> </w:t>
                  </w:r>
                  <w:r w:rsidRPr="00C26F30">
                    <w:rPr>
                      <w:kern w:val="24"/>
                      <w:szCs w:val="20"/>
                      <w:highlight w:val="darkYellow"/>
                      <w:lang w:eastAsia="zh-CN"/>
                    </w:rPr>
                    <w:t>(working assumption)</w:t>
                  </w:r>
                </w:p>
                <w:p w14:paraId="05447E36" w14:textId="77777777" w:rsidR="00981FCE" w:rsidRPr="00C26F30" w:rsidRDefault="00981FCE" w:rsidP="00981FCE">
                  <w:pPr>
                    <w:numPr>
                      <w:ilvl w:val="0"/>
                      <w:numId w:val="36"/>
                    </w:numPr>
                    <w:overflowPunct w:val="0"/>
                    <w:autoSpaceDE w:val="0"/>
                    <w:autoSpaceDN w:val="0"/>
                    <w:adjustRightInd w:val="0"/>
                    <w:spacing w:after="180" w:line="240" w:lineRule="auto"/>
                    <w:ind w:left="560"/>
                    <w:contextualSpacing/>
                    <w:jc w:val="both"/>
                    <w:textAlignment w:val="baseline"/>
                    <w:rPr>
                      <w:rFonts w:eastAsia="Malgun Gothic"/>
                      <w:kern w:val="2"/>
                      <w:sz w:val="21"/>
                      <w:lang w:eastAsia="zh-CN"/>
                    </w:rPr>
                  </w:pPr>
                  <w:r w:rsidRPr="00C26F30">
                    <w:rPr>
                      <w:rFonts w:eastAsia="Malgun Gothic"/>
                      <w:kern w:val="2"/>
                      <w:szCs w:val="20"/>
                      <w:lang w:eastAsia="zh-CN"/>
                    </w:rPr>
                    <w:t>FFS M=1 for OOK-4</w:t>
                  </w:r>
                </w:p>
              </w:tc>
            </w:tr>
          </w:tbl>
          <w:p w14:paraId="4E94815D" w14:textId="77777777" w:rsidR="00981FCE" w:rsidRDefault="00981FCE" w:rsidP="00E333CC">
            <w:pPr>
              <w:rPr>
                <w:lang w:val="en-US"/>
              </w:rPr>
            </w:pPr>
          </w:p>
        </w:tc>
      </w:tr>
    </w:tbl>
    <w:p w14:paraId="2944663B" w14:textId="77777777" w:rsidR="004D6E6F" w:rsidRDefault="004D6E6F" w:rsidP="00E333CC">
      <w:pPr>
        <w:rPr>
          <w:lang w:val="en-US"/>
        </w:rPr>
      </w:pPr>
    </w:p>
    <w:p w14:paraId="5E83ED7D" w14:textId="1469BDD9" w:rsidR="00981FCE" w:rsidRDefault="00981FCE" w:rsidP="00981FCE">
      <w:pPr>
        <w:pStyle w:val="RAN4observation0"/>
        <w:rPr>
          <w:lang w:val="en-US"/>
        </w:rPr>
      </w:pPr>
      <w:bookmarkStart w:id="7" w:name="_Toc179211342"/>
      <w:r>
        <w:rPr>
          <w:lang w:val="en-US"/>
        </w:rPr>
        <w:t>M=4 and 30Khz is the RAN1 working assumption but also M=4 and 15KHz SCS is supported.</w:t>
      </w:r>
      <w:bookmarkEnd w:id="7"/>
      <w:r>
        <w:rPr>
          <w:lang w:val="en-US"/>
        </w:rPr>
        <w:t xml:space="preserve"> </w:t>
      </w:r>
    </w:p>
    <w:p w14:paraId="011B5B26" w14:textId="34C32D73" w:rsidR="006840E7" w:rsidRDefault="006840E7" w:rsidP="00E333CC">
      <w:pPr>
        <w:rPr>
          <w:lang w:val="en-US"/>
        </w:rPr>
      </w:pPr>
      <w:r>
        <w:rPr>
          <w:lang w:val="en-US"/>
        </w:rPr>
        <w:t xml:space="preserve">RAN4 simulation assumption: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13"/>
        <w:gridCol w:w="1561"/>
      </w:tblGrid>
      <w:tr w:rsidR="006840E7" w:rsidRPr="006840E7" w14:paraId="5513A075" w14:textId="77777777" w:rsidTr="006840E7">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5B0C96" w14:textId="77777777" w:rsidR="006840E7" w:rsidRPr="006840E7" w:rsidRDefault="006840E7" w:rsidP="006840E7">
            <w:pPr>
              <w:spacing w:after="0" w:line="240" w:lineRule="auto"/>
              <w:jc w:val="center"/>
              <w:rPr>
                <w:rFonts w:eastAsia="Times New Roman" w:cs="Times New Roman"/>
                <w:szCs w:val="20"/>
                <w:lang w:eastAsia="en-GB"/>
              </w:rPr>
            </w:pPr>
            <w:r w:rsidRPr="006840E7">
              <w:rPr>
                <w:rFonts w:eastAsia="Times New Roman" w:cs="Times New Roman"/>
                <w:szCs w:val="20"/>
                <w:lang w:eastAsia="en-GB"/>
              </w:rPr>
              <w:t>Subcarrier spacing</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EB4C1" w14:textId="77777777" w:rsidR="006840E7" w:rsidRPr="006840E7" w:rsidRDefault="006840E7" w:rsidP="006840E7">
            <w:pPr>
              <w:spacing w:after="0" w:line="240" w:lineRule="auto"/>
              <w:jc w:val="center"/>
              <w:rPr>
                <w:rFonts w:eastAsia="Times New Roman" w:cs="Times New Roman"/>
                <w:szCs w:val="20"/>
                <w:lang w:eastAsia="en-GB"/>
              </w:rPr>
            </w:pPr>
            <w:r w:rsidRPr="006840E7">
              <w:rPr>
                <w:rFonts w:eastAsia="Times New Roman" w:cs="Times New Roman"/>
                <w:szCs w:val="20"/>
                <w:highlight w:val="green"/>
                <w:lang w:eastAsia="en-GB"/>
              </w:rPr>
              <w:t>30</w:t>
            </w:r>
            <w:proofErr w:type="gramStart"/>
            <w:r w:rsidRPr="006840E7">
              <w:rPr>
                <w:rFonts w:eastAsia="Times New Roman" w:cs="Times New Roman"/>
                <w:szCs w:val="20"/>
                <w:highlight w:val="green"/>
                <w:lang w:eastAsia="en-GB"/>
              </w:rPr>
              <w:t>KHz  initially</w:t>
            </w:r>
            <w:proofErr w:type="gramEnd"/>
          </w:p>
          <w:p w14:paraId="63692DEC" w14:textId="77777777" w:rsidR="006840E7" w:rsidRPr="006840E7" w:rsidRDefault="006840E7" w:rsidP="006840E7">
            <w:pPr>
              <w:spacing w:after="0" w:line="240" w:lineRule="auto"/>
              <w:jc w:val="center"/>
              <w:rPr>
                <w:rFonts w:eastAsia="Times New Roman" w:cs="Times New Roman"/>
                <w:szCs w:val="20"/>
                <w:lang w:eastAsia="en-GB"/>
              </w:rPr>
            </w:pPr>
            <w:r w:rsidRPr="006840E7">
              <w:rPr>
                <w:rFonts w:eastAsia="Times New Roman" w:cs="Times New Roman"/>
                <w:szCs w:val="20"/>
                <w:highlight w:val="green"/>
                <w:lang w:eastAsia="en-GB"/>
              </w:rPr>
              <w:t xml:space="preserve">TBD for 15 </w:t>
            </w:r>
            <w:proofErr w:type="spellStart"/>
            <w:r w:rsidRPr="006840E7">
              <w:rPr>
                <w:rFonts w:eastAsia="Times New Roman" w:cs="Times New Roman"/>
                <w:szCs w:val="20"/>
                <w:highlight w:val="green"/>
                <w:lang w:eastAsia="en-GB"/>
              </w:rPr>
              <w:t>KHz</w:t>
            </w:r>
            <w:proofErr w:type="spellEnd"/>
          </w:p>
        </w:tc>
      </w:tr>
    </w:tbl>
    <w:p w14:paraId="1F349970" w14:textId="77777777" w:rsidR="006840E7" w:rsidRDefault="006840E7" w:rsidP="00E333CC">
      <w:pPr>
        <w:rPr>
          <w:lang w:val="en-US"/>
        </w:rPr>
      </w:pPr>
    </w:p>
    <w:p w14:paraId="2A0BF073" w14:textId="7143B6E2" w:rsidR="006840E7" w:rsidRDefault="005E1F73" w:rsidP="00F87AFF">
      <w:pPr>
        <w:pStyle w:val="RAN4proposal"/>
        <w:rPr>
          <w:lang w:val="en-US"/>
        </w:rPr>
      </w:pPr>
      <w:bookmarkStart w:id="8" w:name="_Toc179211343"/>
      <w:r>
        <w:rPr>
          <w:lang w:val="en-US"/>
        </w:rPr>
        <w:t xml:space="preserve">Assume 30KHz in simulations but </w:t>
      </w:r>
      <w:r w:rsidR="005516EA">
        <w:rPr>
          <w:lang w:val="en-US"/>
        </w:rPr>
        <w:t xml:space="preserve">companies </w:t>
      </w:r>
      <w:proofErr w:type="gramStart"/>
      <w:r w:rsidR="005516EA">
        <w:rPr>
          <w:lang w:val="en-US"/>
        </w:rPr>
        <w:t xml:space="preserve">are </w:t>
      </w:r>
      <w:r w:rsidR="00C61D12">
        <w:rPr>
          <w:lang w:val="en-US"/>
        </w:rPr>
        <w:t xml:space="preserve">may </w:t>
      </w:r>
      <w:r w:rsidR="005516EA">
        <w:rPr>
          <w:lang w:val="en-US"/>
        </w:rPr>
        <w:t>bring</w:t>
      </w:r>
      <w:proofErr w:type="gramEnd"/>
      <w:r w:rsidR="005516EA">
        <w:rPr>
          <w:lang w:val="en-US"/>
        </w:rPr>
        <w:t xml:space="preserve"> 15KHz SCS results</w:t>
      </w:r>
      <w:r w:rsidR="00310ACA">
        <w:rPr>
          <w:lang w:val="en-US"/>
        </w:rPr>
        <w:t>,</w:t>
      </w:r>
      <w:r w:rsidR="005516EA">
        <w:rPr>
          <w:lang w:val="en-US"/>
        </w:rPr>
        <w:t xml:space="preserve"> in addition to 30KHz </w:t>
      </w:r>
      <w:r w:rsidR="00C61D12">
        <w:rPr>
          <w:lang w:val="en-US"/>
        </w:rPr>
        <w:t>SCS if they wish to do so.</w:t>
      </w:r>
      <w:bookmarkEnd w:id="8"/>
      <w:r w:rsidR="00C61D12">
        <w:rPr>
          <w:lang w:val="en-US"/>
        </w:rPr>
        <w:t xml:space="preserve"> </w:t>
      </w:r>
    </w:p>
    <w:p w14:paraId="1DF53C93" w14:textId="77777777" w:rsidR="006840E7" w:rsidRDefault="006840E7" w:rsidP="00E333CC">
      <w:pPr>
        <w:rPr>
          <w:lang w:val="en-US"/>
        </w:rPr>
      </w:pPr>
    </w:p>
    <w:p w14:paraId="05437A22" w14:textId="77777777" w:rsidR="00010B09" w:rsidRDefault="00010B09">
      <w:pPr>
        <w:rPr>
          <w:rFonts w:ascii="Arial" w:eastAsia="Times New Roman" w:hAnsi="Arial" w:cs="Times New Roman"/>
          <w:sz w:val="32"/>
          <w:szCs w:val="20"/>
          <w:lang w:val="en-US"/>
        </w:rPr>
      </w:pPr>
      <w:r>
        <w:rPr>
          <w:lang w:val="en-US"/>
        </w:rPr>
        <w:br w:type="page"/>
      </w:r>
    </w:p>
    <w:p w14:paraId="7F164D24" w14:textId="3A12FB67" w:rsidR="006B48B9" w:rsidRDefault="006B48B9" w:rsidP="006B48B9">
      <w:pPr>
        <w:pStyle w:val="RAN4H2"/>
        <w:rPr>
          <w:lang w:val="en-US"/>
        </w:rPr>
      </w:pPr>
      <w:r w:rsidRPr="006B48B9">
        <w:rPr>
          <w:lang w:val="en-US"/>
        </w:rPr>
        <w:lastRenderedPageBreak/>
        <w:t>Accuracy baseline for simulation</w:t>
      </w:r>
    </w:p>
    <w:p w14:paraId="18F0C682" w14:textId="24846325" w:rsidR="00426C84" w:rsidRDefault="00426C84" w:rsidP="00426C84">
      <w:pPr>
        <w:rPr>
          <w:lang w:val="en-US"/>
        </w:rPr>
      </w:pPr>
      <w:r>
        <w:rPr>
          <w:lang w:val="en-US"/>
        </w:rPr>
        <w:t xml:space="preserve">Accuracy of the LP-WUR measurements is one of the issues that has been discussed in the previous meetings. When the UE enters the LP-WUS mode, meaning that LP-WUS is being monitored instead of paging, and MR serving cell measurements are offloaded to LP-WUR, the decision to exit the LP-WUS mode is done based on LP-WUR. This means that if the accuracy of the </w:t>
      </w:r>
      <w:r w:rsidR="0077487A">
        <w:rPr>
          <w:lang w:val="en-US"/>
        </w:rPr>
        <w:t xml:space="preserve">LR is not well enough determined from the network point of view, the exit thresholds are set very conservatively by the networks. This means that the benefits of the feature will be diminishing for the UE also. Hence, defining realistic accuracy requirements for LP-WUR for both PSS/SSS based signal and LP-SS based signal is essential. </w:t>
      </w:r>
      <w:r>
        <w:rPr>
          <w:lang w:val="en-US"/>
        </w:rPr>
        <w:t xml:space="preserve"> </w:t>
      </w:r>
    </w:p>
    <w:p w14:paraId="63224440" w14:textId="65ED4F15" w:rsidR="00110881" w:rsidRPr="00E467B3" w:rsidRDefault="00B525B3" w:rsidP="00110881">
      <w:pPr>
        <w:pStyle w:val="RAN4observation0"/>
        <w:rPr>
          <w:lang w:val="en-US"/>
        </w:rPr>
      </w:pPr>
      <w:bookmarkStart w:id="9" w:name="_Toc179211344"/>
      <w:r>
        <w:rPr>
          <w:lang w:val="en-US"/>
        </w:rPr>
        <w:t xml:space="preserve">It is essential to define realistic accuracy requirements for LP-WUR to </w:t>
      </w:r>
      <w:r w:rsidR="00D175E3">
        <w:rPr>
          <w:lang w:val="en-US"/>
        </w:rPr>
        <w:t xml:space="preserve">avoid network </w:t>
      </w:r>
      <w:r w:rsidR="00A71E42">
        <w:rPr>
          <w:lang w:val="en-US"/>
        </w:rPr>
        <w:t xml:space="preserve">being </w:t>
      </w:r>
      <w:r w:rsidR="00D175E3">
        <w:rPr>
          <w:lang w:val="en-US"/>
        </w:rPr>
        <w:t>requir</w:t>
      </w:r>
      <w:r w:rsidR="00A71E42">
        <w:rPr>
          <w:lang w:val="en-US"/>
        </w:rPr>
        <w:t>ed</w:t>
      </w:r>
      <w:r w:rsidR="00D175E3">
        <w:rPr>
          <w:lang w:val="en-US"/>
        </w:rPr>
        <w:t xml:space="preserve"> to configure conservative thresholds</w:t>
      </w:r>
      <w:bookmarkEnd w:id="9"/>
    </w:p>
    <w:p w14:paraId="324BAEB7" w14:textId="688860D6" w:rsidR="00110881" w:rsidRDefault="00110881" w:rsidP="00110881">
      <w:pPr>
        <w:rPr>
          <w:lang w:val="en-US"/>
        </w:rPr>
      </w:pPr>
      <w:r>
        <w:rPr>
          <w:lang w:val="en-US"/>
        </w:rPr>
        <w:t xml:space="preserve">The assumption of defining requirements is that LP-SS is based on OOK receiver and PSS/SSS is OFDM capable receiver. </w:t>
      </w:r>
      <w:r w:rsidR="00736F3E">
        <w:rPr>
          <w:lang w:val="en-US"/>
        </w:rPr>
        <w:t xml:space="preserve">Both LP-SS and PSS/SSS should have their own accuracy requirements defined. </w:t>
      </w:r>
    </w:p>
    <w:p w14:paraId="27911894" w14:textId="4427A847" w:rsidR="00110881" w:rsidRDefault="00566575" w:rsidP="00110881">
      <w:r w:rsidRPr="00566575">
        <w:t>Table 10.1A.2.1.1-1: SS-RSRP</w:t>
      </w:r>
      <w:r w:rsidR="00CF7EF1">
        <w:t xml:space="preserve"> defines accuracy requirements for 1Rx redcap where </w:t>
      </w:r>
      <w:proofErr w:type="spellStart"/>
      <w:r w:rsidR="00CF7EF1" w:rsidRPr="00CF7EF1">
        <w:t>Ês</w:t>
      </w:r>
      <w:proofErr w:type="spellEnd"/>
      <w:r w:rsidR="00CF7EF1" w:rsidRPr="00CF7EF1">
        <w:t>/</w:t>
      </w:r>
      <w:proofErr w:type="spellStart"/>
      <w:r w:rsidR="00CF7EF1" w:rsidRPr="00CF7EF1">
        <w:t>Iot</w:t>
      </w:r>
      <w:proofErr w:type="spellEnd"/>
      <w:r w:rsidR="00CF7EF1">
        <w:t xml:space="preserve"> is -6dB. </w:t>
      </w:r>
    </w:p>
    <w:p w14:paraId="3DD6D9A9" w14:textId="2565521E" w:rsidR="00110881" w:rsidRPr="002A0A6E" w:rsidRDefault="009E2ED5" w:rsidP="00110881">
      <w:pPr>
        <w:pStyle w:val="RAN4proposal"/>
      </w:pPr>
      <w:bookmarkStart w:id="10" w:name="_Toc179211345"/>
      <w:r>
        <w:t>Discuss / evaluate if 1Rx</w:t>
      </w:r>
      <w:r w:rsidR="004A25DE">
        <w:t xml:space="preserve"> (</w:t>
      </w:r>
      <w:r w:rsidR="004A25DE" w:rsidRPr="00566575">
        <w:t>10.1A.2.1.1-1</w:t>
      </w:r>
      <w:r w:rsidR="004A25DE">
        <w:t>)</w:t>
      </w:r>
      <w:r>
        <w:t xml:space="preserve"> Redcap accuracy requirements can </w:t>
      </w:r>
      <w:r w:rsidR="00883D04">
        <w:t xml:space="preserve">be used as </w:t>
      </w:r>
      <w:r>
        <w:t>baseline</w:t>
      </w:r>
      <w:bookmarkEnd w:id="10"/>
      <w:r w:rsidR="00010B09">
        <w:t xml:space="preserve"> </w:t>
      </w:r>
    </w:p>
    <w:p w14:paraId="33E5B328" w14:textId="77777777" w:rsidR="006B48B9" w:rsidRDefault="006B48B9" w:rsidP="00E333CC">
      <w:pPr>
        <w:rPr>
          <w:lang w:val="en-US"/>
        </w:rPr>
      </w:pPr>
    </w:p>
    <w:p w14:paraId="59D0565E" w14:textId="77777777" w:rsidR="00127BB8" w:rsidRPr="00601EFC" w:rsidRDefault="00127BB8" w:rsidP="00127BB8">
      <w:pPr>
        <w:pStyle w:val="RAN4H2"/>
        <w:rPr>
          <w:lang w:val="en-US"/>
        </w:rPr>
      </w:pPr>
      <w:r w:rsidRPr="00601EFC">
        <w:rPr>
          <w:lang w:val="en-US"/>
        </w:rPr>
        <w:t xml:space="preserve">LP-RSRP </w:t>
      </w:r>
      <w:r>
        <w:rPr>
          <w:lang w:val="en-US"/>
        </w:rPr>
        <w:t>measurement metric for LP-WUR</w:t>
      </w:r>
    </w:p>
    <w:p w14:paraId="288E382E" w14:textId="3A52EDA1" w:rsidR="00127BB8" w:rsidRPr="00B732C8" w:rsidRDefault="00127BB8" w:rsidP="00127BB8">
      <w:pPr>
        <w:rPr>
          <w:rFonts w:eastAsia="Times New Roman" w:cs="Times New Roman"/>
          <w:iCs/>
          <w:color w:val="FF0000"/>
        </w:rPr>
      </w:pPr>
      <w:r w:rsidRPr="00D14165">
        <w:rPr>
          <w:rFonts w:cs="Times New Roman"/>
          <w:lang w:val="en-US"/>
        </w:rPr>
        <w:t xml:space="preserve">Traditionally, RSRP is used as the measurement metric to determine the cell coverage/range. In the LP-WUS context, it is one of the possible reliable </w:t>
      </w:r>
      <w:r w:rsidR="00E31B3F" w:rsidRPr="00D14165">
        <w:rPr>
          <w:rFonts w:cs="Times New Roman"/>
          <w:lang w:val="en-US"/>
        </w:rPr>
        <w:t>metrics</w:t>
      </w:r>
      <w:r w:rsidRPr="00D14165">
        <w:rPr>
          <w:rFonts w:cs="Times New Roman"/>
          <w:lang w:val="en-US"/>
        </w:rPr>
        <w:t xml:space="preserve"> to determine the RRM relaxation thresholds. To study the LP-RSRP estimation accuracy, a time correlated fading of 1.28s is used with </w:t>
      </w:r>
      <m:oMath>
        <m:sSup>
          <m:sSupPr>
            <m:ctrlPr>
              <w:rPr>
                <w:rFonts w:ascii="Cambria Math" w:hAnsi="Cambria Math" w:cs="Times New Roman"/>
                <w:i/>
                <w:lang w:val="en-US"/>
              </w:rPr>
            </m:ctrlPr>
          </m:sSupPr>
          <m:e>
            <m:r>
              <w:rPr>
                <w:rFonts w:ascii="Cambria Math" w:hAnsi="Cambria Math" w:cs="Times New Roman"/>
                <w:lang w:val="en-US"/>
              </w:rPr>
              <m:t>1e</m:t>
            </m:r>
          </m:e>
          <m:sup>
            <m:r>
              <w:rPr>
                <w:rFonts w:ascii="Cambria Math" w:hAnsi="Cambria Math" w:cs="Times New Roman"/>
                <w:lang w:val="en-US"/>
              </w:rPr>
              <m:t>6</m:t>
            </m:r>
          </m:sup>
        </m:sSup>
      </m:oMath>
      <w:r w:rsidRPr="00D14165">
        <w:rPr>
          <w:rFonts w:cs="Times New Roman"/>
          <w:lang w:val="en-US"/>
        </w:rPr>
        <w:t xml:space="preserve"> samples for the LP-RSRP evaluation under TDL-C 300ns channel. In this evaluation, we aimed to determine the value of </w:t>
      </w:r>
      <m:oMath>
        <m:r>
          <w:rPr>
            <w:rFonts w:ascii="Cambria Math" w:hAnsi="Cambria Math" w:cs="Times New Roman"/>
            <w:lang w:val="en-US"/>
          </w:rPr>
          <m:t>X</m:t>
        </m:r>
      </m:oMath>
      <w:r w:rsidRPr="00D14165">
        <w:rPr>
          <w:rFonts w:cs="Times New Roman"/>
          <w:lang w:val="en-US"/>
        </w:rPr>
        <w:t xml:space="preserve">, which represents the number of measurements needed within 1.28s that are spaced at equal interval. </w:t>
      </w:r>
      <w:r>
        <w:rPr>
          <w:rFonts w:cs="Times New Roman"/>
          <w:lang w:val="en-US"/>
        </w:rPr>
        <w:t>The f</w:t>
      </w:r>
      <w:r w:rsidRPr="00D14165">
        <w:rPr>
          <w:rFonts w:cs="Times New Roman"/>
          <w:lang w:val="en-US"/>
        </w:rPr>
        <w:t xml:space="preserve">ollowing table shows the percentile distribution of LP-RSRP averaging under different SNR operating point. We have determined LP-RSRP based on the signal energy received during the </w:t>
      </w:r>
      <w:r w:rsidRPr="00D14165">
        <w:rPr>
          <w:rFonts w:eastAsia="Times New Roman" w:cs="Times New Roman"/>
        </w:rPr>
        <w:t xml:space="preserve">ON duration corrected with the (noise and interference) energy received in OFF duration of Manchester encoded LP-SS, i.e., </w:t>
      </w:r>
      <m:oMath>
        <m:sSub>
          <m:sSubPr>
            <m:ctrlPr>
              <w:rPr>
                <w:rFonts w:ascii="Cambria Math" w:eastAsia="Times New Roman" w:hAnsi="Cambria Math" w:cs="Times New Roman"/>
                <w:i/>
              </w:rPr>
            </m:ctrlPr>
          </m:sSubPr>
          <m:e>
            <m:r>
              <w:rPr>
                <w:rFonts w:ascii="Cambria Math" w:eastAsia="Times New Roman" w:hAnsi="Cambria Math" w:cs="Times New Roman"/>
              </w:rPr>
              <m:t>E</m:t>
            </m:r>
          </m:e>
          <m:sub>
            <m:r>
              <w:rPr>
                <w:rFonts w:ascii="Cambria Math" w:eastAsia="Times New Roman" w:hAnsi="Cambria Math" w:cs="Times New Roman"/>
              </w:rPr>
              <m:t>ON</m:t>
            </m:r>
          </m:sub>
        </m:sSub>
        <m:r>
          <w:rPr>
            <w:rFonts w:ascii="Cambria Math" w:eastAsia="Times New Roman" w:hAnsi="Cambria Math" w:cs="Times New Roman"/>
          </w:rPr>
          <m:t>-</m:t>
        </m:r>
        <m:sSub>
          <m:sSubPr>
            <m:ctrlPr>
              <w:rPr>
                <w:rFonts w:ascii="Cambria Math" w:eastAsia="Times New Roman" w:hAnsi="Cambria Math" w:cs="Times New Roman"/>
                <w:i/>
              </w:rPr>
            </m:ctrlPr>
          </m:sSubPr>
          <m:e>
            <m:r>
              <w:rPr>
                <w:rFonts w:ascii="Cambria Math" w:eastAsia="Times New Roman" w:hAnsi="Cambria Math" w:cs="Times New Roman"/>
              </w:rPr>
              <m:t>E</m:t>
            </m:r>
          </m:e>
          <m:sub>
            <m:r>
              <w:rPr>
                <w:rFonts w:ascii="Cambria Math" w:eastAsia="Times New Roman" w:hAnsi="Cambria Math" w:cs="Times New Roman"/>
              </w:rPr>
              <m:t>OFF</m:t>
            </m:r>
          </m:sub>
        </m:sSub>
      </m:oMath>
      <w:r w:rsidRPr="00D14165">
        <w:rPr>
          <w:rFonts w:eastAsia="Times New Roman" w:cs="Times New Roman"/>
        </w:rPr>
        <w:t xml:space="preserve">.  </w:t>
      </w:r>
      <w:r w:rsidRPr="00D14165">
        <w:rPr>
          <w:rFonts w:eastAsia="Times New Roman" w:cs="Times New Roman"/>
        </w:rPr>
        <w:fldChar w:fldCharType="begin"/>
      </w:r>
      <w:r w:rsidRPr="00D14165">
        <w:rPr>
          <w:rFonts w:eastAsia="Times New Roman" w:cs="Times New Roman"/>
        </w:rPr>
        <w:instrText xml:space="preserve"> REF _Ref163030405 \h  \* MERGEFORMAT </w:instrText>
      </w:r>
      <w:r w:rsidRPr="00D14165">
        <w:rPr>
          <w:rFonts w:eastAsia="Times New Roman" w:cs="Times New Roman"/>
        </w:rPr>
      </w:r>
      <w:r w:rsidRPr="00D14165">
        <w:rPr>
          <w:rFonts w:eastAsia="Times New Roman" w:cs="Times New Roman"/>
        </w:rPr>
        <w:fldChar w:fldCharType="separate"/>
      </w:r>
      <w:r w:rsidR="002A0A6E" w:rsidRPr="002A0A6E">
        <w:rPr>
          <w:rFonts w:eastAsia="Times New Roman" w:cs="Times New Roman"/>
          <w:lang w:val="en-US"/>
        </w:rPr>
        <w:t xml:space="preserve">Table </w:t>
      </w:r>
      <w:r w:rsidR="002A0A6E" w:rsidRPr="002A0A6E">
        <w:rPr>
          <w:rFonts w:eastAsia="Times New Roman" w:cs="Times New Roman"/>
          <w:noProof/>
          <w:lang w:val="en-US"/>
        </w:rPr>
        <w:t>1</w:t>
      </w:r>
      <w:r w:rsidRPr="00D14165">
        <w:rPr>
          <w:rFonts w:eastAsia="Times New Roman" w:cs="Times New Roman"/>
        </w:rPr>
        <w:fldChar w:fldCharType="end"/>
      </w:r>
      <w:r w:rsidRPr="00D14165">
        <w:rPr>
          <w:rFonts w:eastAsia="Times New Roman" w:cs="Times New Roman"/>
        </w:rPr>
        <w:t xml:space="preserve"> outlines the LP-RSRP error distribution with different operating SNR condition. The “</w:t>
      </w:r>
      <w:r w:rsidRPr="00D14165">
        <w:rPr>
          <w:rFonts w:eastAsia="Times New Roman" w:cs="Times New Roman"/>
          <w:i/>
          <w:iCs/>
        </w:rPr>
        <w:t>Delta</w:t>
      </w:r>
      <w:r w:rsidRPr="00D14165">
        <w:rPr>
          <w:rFonts w:eastAsia="Times New Roman" w:cs="Times New Roman"/>
        </w:rPr>
        <w:t xml:space="preserve">” column highlights half the deviation between </w:t>
      </w:r>
      <m:oMath>
        <m:r>
          <w:rPr>
            <w:rFonts w:ascii="Cambria Math" w:eastAsia="Times New Roman" w:hAnsi="Cambria Math" w:cs="Times New Roman"/>
          </w:rPr>
          <m:t>90%ile</m:t>
        </m:r>
      </m:oMath>
      <w:r w:rsidRPr="00D14165">
        <w:rPr>
          <w:rFonts w:eastAsia="Times New Roman" w:cs="Times New Roman"/>
        </w:rPr>
        <w:t xml:space="preserve"> and </w:t>
      </w:r>
      <m:oMath>
        <m:r>
          <w:rPr>
            <w:rFonts w:ascii="Cambria Math" w:eastAsia="Times New Roman" w:hAnsi="Cambria Math" w:cs="Times New Roman"/>
          </w:rPr>
          <m:t>10%ile</m:t>
        </m:r>
      </m:oMath>
      <w:r w:rsidRPr="00D14165">
        <w:rPr>
          <w:rFonts w:eastAsia="Times New Roman" w:cs="Times New Roman"/>
        </w:rPr>
        <w:t xml:space="preserve"> value. As can be seen that the LP-RSRP deviation is approximately within </w:t>
      </w:r>
      <m:oMath>
        <m:r>
          <w:rPr>
            <w:rFonts w:ascii="Cambria Math" w:eastAsia="Times New Roman" w:hAnsi="Cambria Math" w:cs="Times New Roman"/>
          </w:rPr>
          <m:t>±2.5</m:t>
        </m:r>
        <m:r>
          <m:rPr>
            <m:sty m:val="p"/>
          </m:rPr>
          <w:rPr>
            <w:rFonts w:ascii="Cambria Math" w:eastAsia="Times New Roman" w:hAnsi="Cambria Math" w:cs="Times New Roman"/>
          </w:rPr>
          <m:t>dB</m:t>
        </m:r>
      </m:oMath>
      <w:r w:rsidRPr="00D14165">
        <w:rPr>
          <w:rFonts w:eastAsia="Times New Roman" w:cs="Times New Roman"/>
          <w:iCs/>
        </w:rPr>
        <w:t xml:space="preserve"> error margin for values with X having 320ms or less. </w:t>
      </w:r>
    </w:p>
    <w:p w14:paraId="730E02FE" w14:textId="77777777" w:rsidR="00127BB8" w:rsidRPr="00D14165" w:rsidRDefault="00127BB8" w:rsidP="00127BB8">
      <w:pPr>
        <w:rPr>
          <w:rFonts w:cs="Times New Roman"/>
        </w:rPr>
      </w:pPr>
      <w:r w:rsidRPr="00D14165">
        <w:rPr>
          <w:rFonts w:eastAsia="Times New Roman" w:cs="Times New Roman"/>
          <w:iCs/>
        </w:rPr>
        <w:t xml:space="preserve">From </w:t>
      </w:r>
      <w:r>
        <w:rPr>
          <w:rFonts w:eastAsia="Times New Roman" w:cs="Times New Roman"/>
          <w:iCs/>
        </w:rPr>
        <w:t>the table</w:t>
      </w:r>
      <w:r w:rsidRPr="00D14165">
        <w:rPr>
          <w:rFonts w:eastAsia="Times New Roman" w:cs="Times New Roman"/>
          <w:iCs/>
        </w:rPr>
        <w:t xml:space="preserve"> we can notice that the impact of fading on the LP-RSRP estimation accuracy improves as the number of samples used for averaging, i.e., </w:t>
      </w:r>
      <m:oMath>
        <m:r>
          <w:rPr>
            <w:rFonts w:ascii="Cambria Math" w:eastAsia="Times New Roman" w:hAnsi="Cambria Math" w:cs="Times New Roman"/>
          </w:rPr>
          <m:t>X</m:t>
        </m:r>
      </m:oMath>
      <w:r w:rsidRPr="00D14165">
        <w:rPr>
          <w:rFonts w:eastAsia="Times New Roman" w:cs="Times New Roman"/>
          <w:iCs/>
        </w:rPr>
        <w:t xml:space="preserve">, increases from </w:t>
      </w:r>
      <m:oMath>
        <m:r>
          <w:rPr>
            <w:rFonts w:ascii="Cambria Math" w:eastAsia="Times New Roman" w:hAnsi="Cambria Math" w:cs="Times New Roman"/>
          </w:rPr>
          <m:t>1→16</m:t>
        </m:r>
      </m:oMath>
      <w:r w:rsidRPr="00D14165">
        <w:rPr>
          <w:rFonts w:eastAsia="Times New Roman" w:cs="Times New Roman"/>
          <w:iCs/>
        </w:rPr>
        <w:t xml:space="preserve">. Furthermore, the LP-RSRP estimation is robust against the SNR as there is only a little variation across when looking at each row. The impact of </w:t>
      </w:r>
      <m:oMath>
        <m:r>
          <w:rPr>
            <w:rFonts w:ascii="Cambria Math" w:eastAsia="Times New Roman" w:hAnsi="Cambria Math" w:cs="Times New Roman"/>
          </w:rPr>
          <m:t>M</m:t>
        </m:r>
      </m:oMath>
      <w:r w:rsidRPr="00D14165">
        <w:rPr>
          <w:rFonts w:eastAsia="Times New Roman" w:cs="Times New Roman"/>
          <w:iCs/>
        </w:rPr>
        <w:t xml:space="preserve"> on the LP-RSRP estimation accuracy is also not that drastic to gain any obvious attention. However, as the value of </w:t>
      </w:r>
      <m:oMath>
        <m:r>
          <w:rPr>
            <w:rFonts w:ascii="Cambria Math" w:eastAsia="Times New Roman" w:hAnsi="Cambria Math" w:cs="Times New Roman"/>
          </w:rPr>
          <m:t>X</m:t>
        </m:r>
      </m:oMath>
      <w:r w:rsidRPr="00D14165">
        <w:rPr>
          <w:rFonts w:eastAsia="Times New Roman" w:cs="Times New Roman"/>
          <w:iCs/>
        </w:rPr>
        <w:t xml:space="preserve"> increase from </w:t>
      </w:r>
      <m:oMath>
        <m:r>
          <w:rPr>
            <w:rFonts w:ascii="Cambria Math" w:eastAsia="Times New Roman" w:hAnsi="Cambria Math" w:cs="Times New Roman"/>
          </w:rPr>
          <m:t>1→4</m:t>
        </m:r>
      </m:oMath>
      <w:r w:rsidRPr="00D14165">
        <w:rPr>
          <w:rFonts w:eastAsia="Times New Roman" w:cs="Times New Roman"/>
          <w:iCs/>
        </w:rPr>
        <w:t xml:space="preserve">, the LP-RSRP estimation accuracy improves noticeably, whereas increasing from </w:t>
      </w:r>
      <m:oMath>
        <m:r>
          <w:rPr>
            <w:rFonts w:ascii="Cambria Math" w:eastAsia="Times New Roman" w:hAnsi="Cambria Math" w:cs="Times New Roman"/>
          </w:rPr>
          <m:t>4→16</m:t>
        </m:r>
      </m:oMath>
      <w:r w:rsidRPr="00D14165">
        <w:rPr>
          <w:rFonts w:eastAsia="Times New Roman" w:cs="Times New Roman"/>
          <w:iCs/>
        </w:rPr>
        <w:t xml:space="preserve">, the gain is only marginal. This ensures that the effect of fading can be normalized by taking at least </w:t>
      </w:r>
      <m:oMath>
        <m:r>
          <w:rPr>
            <w:rFonts w:ascii="Cambria Math" w:eastAsia="Times New Roman" w:hAnsi="Cambria Math" w:cs="Times New Roman"/>
          </w:rPr>
          <m:t>X≥4</m:t>
        </m:r>
      </m:oMath>
      <w:r w:rsidRPr="00D14165">
        <w:rPr>
          <w:rFonts w:eastAsia="Times New Roman" w:cs="Times New Roman"/>
          <w:iCs/>
        </w:rPr>
        <w:t xml:space="preserve"> samples that are spread across </w:t>
      </w:r>
      <m:oMath>
        <m:r>
          <w:rPr>
            <w:rFonts w:ascii="Cambria Math" w:eastAsia="Times New Roman" w:hAnsi="Cambria Math" w:cs="Times New Roman"/>
          </w:rPr>
          <m:t>1.28</m:t>
        </m:r>
        <m:r>
          <m:rPr>
            <m:sty m:val="p"/>
          </m:rPr>
          <w:rPr>
            <w:rFonts w:ascii="Cambria Math" w:eastAsia="Times New Roman" w:hAnsi="Cambria Math" w:cs="Times New Roman"/>
          </w:rPr>
          <m:t>sec</m:t>
        </m:r>
      </m:oMath>
      <w:r w:rsidRPr="00D14165">
        <w:rPr>
          <w:rFonts w:eastAsia="Times New Roman" w:cs="Times New Roman"/>
        </w:rPr>
        <w:t xml:space="preserve"> interval.</w:t>
      </w:r>
    </w:p>
    <w:p w14:paraId="7B95B2A5" w14:textId="0FB499EA" w:rsidR="00127BB8" w:rsidRPr="00D14165" w:rsidRDefault="00127BB8" w:rsidP="00127BB8">
      <w:pPr>
        <w:ind w:left="720"/>
        <w:rPr>
          <w:rFonts w:eastAsia="Yu Mincho"/>
          <w:b/>
          <w:bCs/>
          <w:lang w:val="en-US"/>
        </w:rPr>
      </w:pPr>
      <w:bookmarkStart w:id="11" w:name="_Ref163030405"/>
      <w:r w:rsidRPr="00D14165">
        <w:rPr>
          <w:b/>
          <w:bCs/>
          <w:lang w:val="en-US"/>
        </w:rPr>
        <w:t xml:space="preserve">Table </w:t>
      </w:r>
      <w:r w:rsidRPr="00D14165">
        <w:rPr>
          <w:b/>
          <w:bCs/>
          <w:lang w:val="en-US"/>
        </w:rPr>
        <w:fldChar w:fldCharType="begin"/>
      </w:r>
      <w:r w:rsidRPr="00D14165">
        <w:rPr>
          <w:b/>
          <w:bCs/>
          <w:lang w:val="en-US"/>
        </w:rPr>
        <w:instrText xml:space="preserve"> SEQ Table \* ARABIC </w:instrText>
      </w:r>
      <w:r w:rsidRPr="00D14165">
        <w:rPr>
          <w:b/>
          <w:bCs/>
          <w:lang w:val="en-US"/>
        </w:rPr>
        <w:fldChar w:fldCharType="separate"/>
      </w:r>
      <w:r w:rsidR="002A0A6E">
        <w:rPr>
          <w:b/>
          <w:bCs/>
          <w:noProof/>
          <w:lang w:val="en-US"/>
        </w:rPr>
        <w:t>1</w:t>
      </w:r>
      <w:r w:rsidRPr="00D14165">
        <w:rPr>
          <w:b/>
          <w:bCs/>
          <w:lang w:val="en-US"/>
        </w:rPr>
        <w:fldChar w:fldCharType="end"/>
      </w:r>
      <w:bookmarkEnd w:id="11"/>
      <w:r w:rsidRPr="00D14165">
        <w:rPr>
          <w:b/>
          <w:bCs/>
          <w:lang w:val="en-US"/>
        </w:rPr>
        <w:t xml:space="preserve">. Measured LP-RSRP percentile values for Manchester encoded OOK with </w:t>
      </w:r>
      <m:oMath>
        <m:r>
          <m:rPr>
            <m:sty m:val="bi"/>
          </m:rPr>
          <w:rPr>
            <w:rFonts w:ascii="Cambria Math" w:hAnsi="Cambria Math"/>
            <w:lang w:val="en-US"/>
          </w:rPr>
          <m:t>M∈{2,4}</m:t>
        </m:r>
      </m:oMath>
      <w:r w:rsidRPr="00D14165">
        <w:rPr>
          <w:b/>
          <w:bCs/>
          <w:lang w:val="en-US"/>
        </w:rPr>
        <w:t xml:space="preserve">  and </w:t>
      </w:r>
      <m:oMath>
        <m:r>
          <m:rPr>
            <m:sty m:val="bi"/>
          </m:rPr>
          <w:rPr>
            <w:rFonts w:ascii="Cambria Math" w:hAnsi="Cambria Math"/>
            <w:lang w:val="en-US"/>
          </w:rPr>
          <m:t>X∈</m:t>
        </m:r>
        <m:d>
          <m:dPr>
            <m:begChr m:val="{"/>
            <m:endChr m:val="}"/>
            <m:ctrlPr>
              <w:rPr>
                <w:rFonts w:ascii="Cambria Math" w:hAnsi="Cambria Math"/>
                <w:b/>
                <w:bCs/>
                <w:i/>
                <w:lang w:val="en-US"/>
              </w:rPr>
            </m:ctrlPr>
          </m:dPr>
          <m:e>
            <m:r>
              <m:rPr>
                <m:sty m:val="bi"/>
              </m:rPr>
              <w:rPr>
                <w:rFonts w:ascii="Cambria Math" w:hAnsi="Cambria Math"/>
                <w:lang w:val="en-US"/>
              </w:rPr>
              <m:t>1,2,4,8,16</m:t>
            </m:r>
          </m:e>
        </m:d>
        <m:r>
          <m:rPr>
            <m:sty m:val="bi"/>
          </m:rPr>
          <w:rPr>
            <w:rFonts w:ascii="Cambria Math" w:hAnsi="Cambria Math"/>
            <w:lang w:val="en-US"/>
          </w:rPr>
          <m:t>.</m:t>
        </m:r>
      </m:oMath>
    </w:p>
    <w:tbl>
      <w:tblPr>
        <w:tblW w:w="9803" w:type="dxa"/>
        <w:tblLook w:val="04A0" w:firstRow="1" w:lastRow="0" w:firstColumn="1" w:lastColumn="0" w:noHBand="0" w:noVBand="1"/>
      </w:tblPr>
      <w:tblGrid>
        <w:gridCol w:w="305"/>
        <w:gridCol w:w="316"/>
        <w:gridCol w:w="522"/>
        <w:gridCol w:w="222"/>
        <w:gridCol w:w="500"/>
        <w:gridCol w:w="500"/>
        <w:gridCol w:w="500"/>
        <w:gridCol w:w="444"/>
        <w:gridCol w:w="222"/>
        <w:gridCol w:w="500"/>
        <w:gridCol w:w="500"/>
        <w:gridCol w:w="500"/>
        <w:gridCol w:w="444"/>
        <w:gridCol w:w="222"/>
        <w:gridCol w:w="500"/>
        <w:gridCol w:w="500"/>
        <w:gridCol w:w="500"/>
        <w:gridCol w:w="10"/>
        <w:gridCol w:w="434"/>
        <w:gridCol w:w="10"/>
        <w:gridCol w:w="208"/>
        <w:gridCol w:w="15"/>
        <w:gridCol w:w="485"/>
        <w:gridCol w:w="500"/>
        <w:gridCol w:w="500"/>
        <w:gridCol w:w="16"/>
        <w:gridCol w:w="432"/>
      </w:tblGrid>
      <w:tr w:rsidR="00127BB8" w:rsidRPr="00601EFC" w14:paraId="6FBAF299" w14:textId="77777777">
        <w:trPr>
          <w:trHeight w:val="299"/>
        </w:trPr>
        <w:tc>
          <w:tcPr>
            <w:tcW w:w="305" w:type="dxa"/>
            <w:tcBorders>
              <w:top w:val="single" w:sz="8" w:space="0" w:color="auto"/>
              <w:left w:val="single" w:sz="8" w:space="0" w:color="auto"/>
              <w:bottom w:val="nil"/>
              <w:right w:val="nil"/>
            </w:tcBorders>
            <w:shd w:val="clear" w:color="000000" w:fill="FFC7CE"/>
            <w:noWrap/>
            <w:vAlign w:val="center"/>
            <w:hideMark/>
          </w:tcPr>
          <w:p w14:paraId="38F36532" w14:textId="77777777" w:rsidR="00127BB8" w:rsidRPr="00601EFC" w:rsidRDefault="00127BB8">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lastRenderedPageBreak/>
              <w:t>M</w:t>
            </w:r>
          </w:p>
        </w:tc>
        <w:tc>
          <w:tcPr>
            <w:tcW w:w="316" w:type="dxa"/>
            <w:tcBorders>
              <w:top w:val="single" w:sz="8" w:space="0" w:color="auto"/>
              <w:left w:val="nil"/>
              <w:bottom w:val="nil"/>
              <w:right w:val="nil"/>
            </w:tcBorders>
            <w:shd w:val="clear" w:color="000000" w:fill="5B9BD5"/>
            <w:noWrap/>
            <w:vAlign w:val="center"/>
            <w:hideMark/>
          </w:tcPr>
          <w:p w14:paraId="6C7DEF60" w14:textId="77777777" w:rsidR="00127BB8" w:rsidRPr="00601EFC" w:rsidRDefault="00127BB8">
            <w:pPr>
              <w:keepNext/>
              <w:keepLines/>
              <w:spacing w:after="0" w:line="240" w:lineRule="auto"/>
              <w:jc w:val="center"/>
              <w:rPr>
                <w:rFonts w:eastAsia="Times New Roman" w:cs="Times New Roman"/>
                <w:color w:val="FFFFFF"/>
                <w:sz w:val="10"/>
                <w:szCs w:val="10"/>
                <w:lang w:val="en-US"/>
              </w:rPr>
            </w:pPr>
            <w:r w:rsidRPr="00601EFC">
              <w:rPr>
                <w:rFonts w:eastAsia="Times New Roman" w:cs="Times New Roman"/>
                <w:color w:val="FFFFFF"/>
                <w:sz w:val="10"/>
                <w:szCs w:val="10"/>
                <w:lang w:val="en-US"/>
              </w:rPr>
              <w:t>X</w:t>
            </w:r>
          </w:p>
        </w:tc>
        <w:tc>
          <w:tcPr>
            <w:tcW w:w="522" w:type="dxa"/>
            <w:tcBorders>
              <w:top w:val="single" w:sz="8" w:space="0" w:color="auto"/>
              <w:left w:val="nil"/>
              <w:bottom w:val="nil"/>
              <w:right w:val="single" w:sz="8" w:space="0" w:color="auto"/>
            </w:tcBorders>
            <w:shd w:val="clear" w:color="000000" w:fill="FFE699"/>
            <w:noWrap/>
            <w:vAlign w:val="center"/>
            <w:hideMark/>
          </w:tcPr>
          <w:p w14:paraId="3655294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interval</w:t>
            </w:r>
          </w:p>
        </w:tc>
        <w:tc>
          <w:tcPr>
            <w:tcW w:w="222" w:type="dxa"/>
            <w:tcBorders>
              <w:top w:val="nil"/>
              <w:left w:val="nil"/>
              <w:bottom w:val="nil"/>
              <w:right w:val="nil"/>
            </w:tcBorders>
            <w:shd w:val="clear" w:color="auto" w:fill="auto"/>
            <w:noWrap/>
            <w:vAlign w:val="bottom"/>
            <w:hideMark/>
          </w:tcPr>
          <w:p w14:paraId="7C1CE50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B4C6E7"/>
            <w:noWrap/>
            <w:vAlign w:val="center"/>
            <w:hideMark/>
          </w:tcPr>
          <w:p w14:paraId="7B8C0B45"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0dB</w:t>
            </w:r>
          </w:p>
        </w:tc>
        <w:tc>
          <w:tcPr>
            <w:tcW w:w="444" w:type="dxa"/>
            <w:tcBorders>
              <w:top w:val="single" w:sz="8" w:space="0" w:color="auto"/>
              <w:left w:val="nil"/>
              <w:bottom w:val="nil"/>
              <w:right w:val="single" w:sz="8" w:space="0" w:color="auto"/>
            </w:tcBorders>
            <w:shd w:val="clear" w:color="000000" w:fill="B4C6E7"/>
            <w:noWrap/>
            <w:vAlign w:val="center"/>
            <w:hideMark/>
          </w:tcPr>
          <w:p w14:paraId="46995778"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03BD64BF"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C6E0B4"/>
            <w:noWrap/>
            <w:vAlign w:val="center"/>
            <w:hideMark/>
          </w:tcPr>
          <w:p w14:paraId="13CEB82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6dB</w:t>
            </w:r>
          </w:p>
        </w:tc>
        <w:tc>
          <w:tcPr>
            <w:tcW w:w="444" w:type="dxa"/>
            <w:tcBorders>
              <w:top w:val="single" w:sz="8" w:space="0" w:color="auto"/>
              <w:left w:val="nil"/>
              <w:bottom w:val="nil"/>
              <w:right w:val="single" w:sz="8" w:space="0" w:color="auto"/>
            </w:tcBorders>
            <w:shd w:val="clear" w:color="000000" w:fill="B4C6E7"/>
            <w:noWrap/>
            <w:vAlign w:val="center"/>
            <w:hideMark/>
          </w:tcPr>
          <w:p w14:paraId="7C7C4014"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45B3462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1510" w:type="dxa"/>
            <w:gridSpan w:val="4"/>
            <w:tcBorders>
              <w:top w:val="single" w:sz="8" w:space="0" w:color="auto"/>
              <w:left w:val="single" w:sz="8" w:space="0" w:color="auto"/>
              <w:bottom w:val="nil"/>
              <w:right w:val="nil"/>
            </w:tcBorders>
            <w:shd w:val="clear" w:color="000000" w:fill="DBDBDB"/>
            <w:noWrap/>
            <w:vAlign w:val="center"/>
            <w:hideMark/>
          </w:tcPr>
          <w:p w14:paraId="099684C2"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-3dB</w:t>
            </w:r>
          </w:p>
        </w:tc>
        <w:tc>
          <w:tcPr>
            <w:tcW w:w="444" w:type="dxa"/>
            <w:gridSpan w:val="2"/>
            <w:tcBorders>
              <w:top w:val="single" w:sz="8" w:space="0" w:color="auto"/>
              <w:left w:val="nil"/>
              <w:bottom w:val="nil"/>
              <w:right w:val="single" w:sz="8" w:space="0" w:color="auto"/>
            </w:tcBorders>
            <w:shd w:val="clear" w:color="000000" w:fill="B4C6E7"/>
            <w:noWrap/>
            <w:vAlign w:val="center"/>
            <w:hideMark/>
          </w:tcPr>
          <w:p w14:paraId="6E6FCA5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3" w:type="dxa"/>
            <w:gridSpan w:val="2"/>
            <w:tcBorders>
              <w:top w:val="nil"/>
              <w:left w:val="nil"/>
              <w:bottom w:val="nil"/>
              <w:right w:val="nil"/>
            </w:tcBorders>
            <w:shd w:val="clear" w:color="auto" w:fill="auto"/>
            <w:noWrap/>
            <w:vAlign w:val="bottom"/>
            <w:hideMark/>
          </w:tcPr>
          <w:p w14:paraId="51B31AFD"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1501" w:type="dxa"/>
            <w:gridSpan w:val="4"/>
            <w:tcBorders>
              <w:top w:val="single" w:sz="8" w:space="0" w:color="auto"/>
              <w:left w:val="single" w:sz="8" w:space="0" w:color="auto"/>
              <w:bottom w:val="nil"/>
              <w:right w:val="nil"/>
            </w:tcBorders>
            <w:shd w:val="clear" w:color="000000" w:fill="C9C9C9"/>
            <w:noWrap/>
            <w:vAlign w:val="center"/>
            <w:hideMark/>
          </w:tcPr>
          <w:p w14:paraId="5F1F4795"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-9dB</w:t>
            </w:r>
          </w:p>
        </w:tc>
        <w:tc>
          <w:tcPr>
            <w:tcW w:w="428" w:type="dxa"/>
            <w:tcBorders>
              <w:top w:val="single" w:sz="8" w:space="0" w:color="auto"/>
              <w:left w:val="nil"/>
              <w:bottom w:val="nil"/>
              <w:right w:val="single" w:sz="8" w:space="0" w:color="auto"/>
            </w:tcBorders>
            <w:shd w:val="clear" w:color="000000" w:fill="B4C6E7"/>
            <w:noWrap/>
            <w:vAlign w:val="center"/>
            <w:hideMark/>
          </w:tcPr>
          <w:p w14:paraId="4E09F9A4"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r>
      <w:tr w:rsidR="00127BB8" w:rsidRPr="00601EFC" w14:paraId="25A282C3" w14:textId="77777777">
        <w:trPr>
          <w:trHeight w:val="299"/>
        </w:trPr>
        <w:tc>
          <w:tcPr>
            <w:tcW w:w="305" w:type="dxa"/>
            <w:tcBorders>
              <w:top w:val="nil"/>
              <w:left w:val="single" w:sz="8" w:space="0" w:color="auto"/>
              <w:bottom w:val="nil"/>
              <w:right w:val="nil"/>
            </w:tcBorders>
            <w:shd w:val="clear" w:color="auto" w:fill="auto"/>
            <w:noWrap/>
            <w:vAlign w:val="center"/>
            <w:hideMark/>
          </w:tcPr>
          <w:p w14:paraId="71F9D89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316" w:type="dxa"/>
            <w:tcBorders>
              <w:top w:val="nil"/>
              <w:left w:val="nil"/>
              <w:bottom w:val="nil"/>
              <w:right w:val="nil"/>
            </w:tcBorders>
            <w:shd w:val="clear" w:color="auto" w:fill="auto"/>
            <w:noWrap/>
            <w:vAlign w:val="center"/>
            <w:hideMark/>
          </w:tcPr>
          <w:p w14:paraId="18F7AA6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22" w:type="dxa"/>
            <w:tcBorders>
              <w:top w:val="nil"/>
              <w:left w:val="nil"/>
              <w:bottom w:val="nil"/>
              <w:right w:val="single" w:sz="8" w:space="0" w:color="auto"/>
            </w:tcBorders>
            <w:shd w:val="clear" w:color="000000" w:fill="FFE699"/>
            <w:noWrap/>
            <w:vAlign w:val="center"/>
            <w:hideMark/>
          </w:tcPr>
          <w:p w14:paraId="7051AB4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w:t>
            </w:r>
            <w:proofErr w:type="spellStart"/>
            <w:r w:rsidRPr="00601EFC">
              <w:rPr>
                <w:rFonts w:eastAsia="Times New Roman" w:cs="Times New Roman"/>
                <w:color w:val="000000"/>
                <w:sz w:val="10"/>
                <w:szCs w:val="10"/>
                <w:lang w:val="en-US"/>
              </w:rPr>
              <w:t>ms</w:t>
            </w:r>
            <w:proofErr w:type="spellEnd"/>
            <w:r w:rsidRPr="00601EFC">
              <w:rPr>
                <w:rFonts w:eastAsia="Times New Roman" w:cs="Times New Roman"/>
                <w:color w:val="000000"/>
                <w:sz w:val="10"/>
                <w:szCs w:val="10"/>
                <w:lang w:val="en-US"/>
              </w:rPr>
              <w:t>)</w:t>
            </w:r>
          </w:p>
        </w:tc>
        <w:tc>
          <w:tcPr>
            <w:tcW w:w="222" w:type="dxa"/>
            <w:tcBorders>
              <w:top w:val="nil"/>
              <w:left w:val="nil"/>
              <w:bottom w:val="nil"/>
              <w:right w:val="nil"/>
            </w:tcBorders>
            <w:shd w:val="clear" w:color="auto" w:fill="auto"/>
            <w:noWrap/>
            <w:vAlign w:val="bottom"/>
            <w:hideMark/>
          </w:tcPr>
          <w:p w14:paraId="0825A06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2687A44D" w14:textId="77777777" w:rsidR="00127BB8" w:rsidRPr="00601EFC" w:rsidRDefault="00127BB8">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3CB6F4BD" w14:textId="77777777" w:rsidR="00127BB8" w:rsidRPr="00601EFC" w:rsidRDefault="00127BB8">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51D7DD89" w14:textId="77777777" w:rsidR="00127BB8" w:rsidRPr="00601EFC" w:rsidRDefault="00127BB8">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615AB9A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7091BA59"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21A6D162" w14:textId="77777777" w:rsidR="00127BB8" w:rsidRPr="00601EFC" w:rsidRDefault="00127BB8">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17BB698E" w14:textId="77777777" w:rsidR="00127BB8" w:rsidRPr="00601EFC" w:rsidRDefault="00127BB8">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0BCD34F8" w14:textId="77777777" w:rsidR="00127BB8" w:rsidRPr="00601EFC" w:rsidRDefault="00127BB8">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5A75D367"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753BF0EE"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1796C47D" w14:textId="77777777" w:rsidR="00127BB8" w:rsidRPr="00601EFC" w:rsidRDefault="00127BB8">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0DFCA3CA" w14:textId="77777777" w:rsidR="00127BB8" w:rsidRPr="00601EFC" w:rsidRDefault="00127BB8">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30242E96" w14:textId="77777777" w:rsidR="00127BB8" w:rsidRPr="00601EFC" w:rsidRDefault="00127BB8">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771BFECA"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18" w:type="dxa"/>
            <w:gridSpan w:val="2"/>
            <w:tcBorders>
              <w:top w:val="nil"/>
              <w:left w:val="nil"/>
              <w:bottom w:val="nil"/>
              <w:right w:val="nil"/>
            </w:tcBorders>
            <w:shd w:val="clear" w:color="auto" w:fill="auto"/>
            <w:noWrap/>
            <w:vAlign w:val="bottom"/>
            <w:hideMark/>
          </w:tcPr>
          <w:p w14:paraId="080A8478"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6EFCE"/>
            <w:noWrap/>
            <w:vAlign w:val="center"/>
            <w:hideMark/>
          </w:tcPr>
          <w:p w14:paraId="1688B774" w14:textId="77777777" w:rsidR="00127BB8" w:rsidRPr="00601EFC" w:rsidRDefault="00127BB8">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15F2980A" w14:textId="77777777" w:rsidR="00127BB8" w:rsidRPr="00601EFC" w:rsidRDefault="00127BB8">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16BF6245" w14:textId="77777777" w:rsidR="00127BB8" w:rsidRPr="00601EFC" w:rsidRDefault="00127BB8">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4729B21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r>
      <w:tr w:rsidR="00127BB8" w:rsidRPr="00601EFC" w14:paraId="702A173E" w14:textId="77777777">
        <w:trPr>
          <w:trHeight w:val="299"/>
        </w:trPr>
        <w:tc>
          <w:tcPr>
            <w:tcW w:w="305" w:type="dxa"/>
            <w:tcBorders>
              <w:top w:val="nil"/>
              <w:left w:val="single" w:sz="8" w:space="0" w:color="auto"/>
              <w:bottom w:val="nil"/>
              <w:right w:val="nil"/>
            </w:tcBorders>
            <w:shd w:val="clear" w:color="auto" w:fill="FFFF00"/>
            <w:noWrap/>
            <w:vAlign w:val="center"/>
            <w:hideMark/>
          </w:tcPr>
          <w:p w14:paraId="667F3B3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63BE7B"/>
            <w:noWrap/>
            <w:vAlign w:val="center"/>
            <w:hideMark/>
          </w:tcPr>
          <w:p w14:paraId="3A0FBF0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091FD6F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2586ABC2"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3E382"/>
            <w:noWrap/>
            <w:vAlign w:val="center"/>
            <w:hideMark/>
          </w:tcPr>
          <w:p w14:paraId="3A77E5C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-2,15</w:t>
            </w:r>
          </w:p>
        </w:tc>
        <w:tc>
          <w:tcPr>
            <w:tcW w:w="500" w:type="dxa"/>
            <w:tcBorders>
              <w:top w:val="nil"/>
              <w:left w:val="nil"/>
              <w:bottom w:val="nil"/>
              <w:right w:val="nil"/>
            </w:tcBorders>
            <w:shd w:val="clear" w:color="000000" w:fill="FFDF82"/>
            <w:noWrap/>
            <w:vAlign w:val="center"/>
            <w:hideMark/>
          </w:tcPr>
          <w:p w14:paraId="24B6D4E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-0,39</w:t>
            </w:r>
          </w:p>
        </w:tc>
        <w:tc>
          <w:tcPr>
            <w:tcW w:w="500" w:type="dxa"/>
            <w:tcBorders>
              <w:top w:val="nil"/>
              <w:left w:val="nil"/>
              <w:bottom w:val="nil"/>
              <w:right w:val="nil"/>
            </w:tcBorders>
            <w:shd w:val="clear" w:color="000000" w:fill="FCA677"/>
            <w:noWrap/>
            <w:vAlign w:val="center"/>
            <w:hideMark/>
          </w:tcPr>
          <w:p w14:paraId="15120141"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w:t>
            </w:r>
          </w:p>
        </w:tc>
        <w:tc>
          <w:tcPr>
            <w:tcW w:w="444" w:type="dxa"/>
            <w:tcBorders>
              <w:top w:val="nil"/>
              <w:left w:val="nil"/>
              <w:bottom w:val="nil"/>
              <w:right w:val="single" w:sz="8" w:space="0" w:color="auto"/>
            </w:tcBorders>
            <w:shd w:val="clear" w:color="000000" w:fill="63BE7B"/>
            <w:noWrap/>
            <w:vAlign w:val="center"/>
            <w:hideMark/>
          </w:tcPr>
          <w:p w14:paraId="6EC6C698"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1,715</w:t>
            </w:r>
          </w:p>
        </w:tc>
        <w:tc>
          <w:tcPr>
            <w:tcW w:w="222" w:type="dxa"/>
            <w:tcBorders>
              <w:top w:val="nil"/>
              <w:left w:val="nil"/>
              <w:bottom w:val="nil"/>
              <w:right w:val="nil"/>
            </w:tcBorders>
            <w:shd w:val="clear" w:color="auto" w:fill="auto"/>
            <w:noWrap/>
            <w:vAlign w:val="bottom"/>
            <w:hideMark/>
          </w:tcPr>
          <w:p w14:paraId="5ABDA6F5"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4E382"/>
            <w:noWrap/>
            <w:vAlign w:val="center"/>
            <w:hideMark/>
          </w:tcPr>
          <w:p w14:paraId="38BAFB0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w:t>
            </w:r>
          </w:p>
        </w:tc>
        <w:tc>
          <w:tcPr>
            <w:tcW w:w="500" w:type="dxa"/>
            <w:tcBorders>
              <w:top w:val="nil"/>
              <w:left w:val="nil"/>
              <w:bottom w:val="nil"/>
              <w:right w:val="nil"/>
            </w:tcBorders>
            <w:shd w:val="clear" w:color="000000" w:fill="FFDE82"/>
            <w:noWrap/>
            <w:vAlign w:val="center"/>
            <w:hideMark/>
          </w:tcPr>
          <w:p w14:paraId="783CA58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-0,36</w:t>
            </w:r>
          </w:p>
        </w:tc>
        <w:tc>
          <w:tcPr>
            <w:tcW w:w="500" w:type="dxa"/>
            <w:tcBorders>
              <w:top w:val="nil"/>
              <w:left w:val="nil"/>
              <w:bottom w:val="nil"/>
              <w:right w:val="nil"/>
            </w:tcBorders>
            <w:shd w:val="clear" w:color="000000" w:fill="FCA577"/>
            <w:noWrap/>
            <w:vAlign w:val="center"/>
            <w:hideMark/>
          </w:tcPr>
          <w:p w14:paraId="49A6835B"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1,29</w:t>
            </w:r>
          </w:p>
        </w:tc>
        <w:tc>
          <w:tcPr>
            <w:tcW w:w="444" w:type="dxa"/>
            <w:tcBorders>
              <w:top w:val="nil"/>
              <w:left w:val="nil"/>
              <w:bottom w:val="nil"/>
              <w:right w:val="single" w:sz="8" w:space="0" w:color="auto"/>
            </w:tcBorders>
            <w:shd w:val="clear" w:color="000000" w:fill="63BE7B"/>
            <w:noWrap/>
            <w:vAlign w:val="center"/>
            <w:hideMark/>
          </w:tcPr>
          <w:p w14:paraId="140A222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1,695</w:t>
            </w:r>
          </w:p>
        </w:tc>
        <w:tc>
          <w:tcPr>
            <w:tcW w:w="222" w:type="dxa"/>
            <w:tcBorders>
              <w:top w:val="nil"/>
              <w:left w:val="nil"/>
              <w:bottom w:val="nil"/>
              <w:right w:val="nil"/>
            </w:tcBorders>
            <w:shd w:val="clear" w:color="auto" w:fill="auto"/>
            <w:noWrap/>
            <w:vAlign w:val="bottom"/>
            <w:hideMark/>
          </w:tcPr>
          <w:p w14:paraId="63CC57A7"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2E282"/>
            <w:noWrap/>
            <w:vAlign w:val="center"/>
            <w:hideMark/>
          </w:tcPr>
          <w:p w14:paraId="314B91B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-2,22</w:t>
            </w:r>
          </w:p>
        </w:tc>
        <w:tc>
          <w:tcPr>
            <w:tcW w:w="500" w:type="dxa"/>
            <w:tcBorders>
              <w:top w:val="nil"/>
              <w:left w:val="nil"/>
              <w:bottom w:val="nil"/>
              <w:right w:val="nil"/>
            </w:tcBorders>
            <w:shd w:val="clear" w:color="000000" w:fill="FFE182"/>
            <w:noWrap/>
            <w:vAlign w:val="center"/>
            <w:hideMark/>
          </w:tcPr>
          <w:p w14:paraId="3B20D59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-0,45</w:t>
            </w:r>
          </w:p>
        </w:tc>
        <w:tc>
          <w:tcPr>
            <w:tcW w:w="500" w:type="dxa"/>
            <w:tcBorders>
              <w:top w:val="nil"/>
              <w:left w:val="nil"/>
              <w:bottom w:val="nil"/>
              <w:right w:val="nil"/>
            </w:tcBorders>
            <w:shd w:val="clear" w:color="000000" w:fill="FCA777"/>
            <w:noWrap/>
            <w:vAlign w:val="center"/>
            <w:hideMark/>
          </w:tcPr>
          <w:p w14:paraId="75AFEF9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1,24</w:t>
            </w:r>
          </w:p>
        </w:tc>
        <w:tc>
          <w:tcPr>
            <w:tcW w:w="444" w:type="dxa"/>
            <w:gridSpan w:val="2"/>
            <w:tcBorders>
              <w:top w:val="nil"/>
              <w:left w:val="nil"/>
              <w:bottom w:val="nil"/>
              <w:right w:val="single" w:sz="8" w:space="0" w:color="auto"/>
            </w:tcBorders>
            <w:shd w:val="clear" w:color="000000" w:fill="63BE7B"/>
            <w:noWrap/>
            <w:vAlign w:val="center"/>
            <w:hideMark/>
          </w:tcPr>
          <w:p w14:paraId="7986F128"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1,73</w:t>
            </w:r>
          </w:p>
        </w:tc>
        <w:tc>
          <w:tcPr>
            <w:tcW w:w="218" w:type="dxa"/>
            <w:gridSpan w:val="2"/>
            <w:tcBorders>
              <w:top w:val="nil"/>
              <w:left w:val="nil"/>
              <w:bottom w:val="nil"/>
              <w:right w:val="nil"/>
            </w:tcBorders>
            <w:shd w:val="clear" w:color="auto" w:fill="auto"/>
            <w:noWrap/>
            <w:vAlign w:val="bottom"/>
            <w:hideMark/>
          </w:tcPr>
          <w:p w14:paraId="48DE770E"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EE182"/>
            <w:noWrap/>
            <w:vAlign w:val="center"/>
            <w:hideMark/>
          </w:tcPr>
          <w:p w14:paraId="198A20B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-2,41</w:t>
            </w:r>
          </w:p>
        </w:tc>
        <w:tc>
          <w:tcPr>
            <w:tcW w:w="500" w:type="dxa"/>
            <w:tcBorders>
              <w:top w:val="nil"/>
              <w:left w:val="nil"/>
              <w:bottom w:val="nil"/>
              <w:right w:val="nil"/>
            </w:tcBorders>
            <w:shd w:val="clear" w:color="000000" w:fill="FFE683"/>
            <w:noWrap/>
            <w:vAlign w:val="center"/>
            <w:hideMark/>
          </w:tcPr>
          <w:p w14:paraId="6316C58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w:t>
            </w:r>
          </w:p>
        </w:tc>
        <w:tc>
          <w:tcPr>
            <w:tcW w:w="500" w:type="dxa"/>
            <w:tcBorders>
              <w:top w:val="nil"/>
              <w:left w:val="nil"/>
              <w:bottom w:val="nil"/>
              <w:right w:val="nil"/>
            </w:tcBorders>
            <w:shd w:val="clear" w:color="000000" w:fill="FCAC78"/>
            <w:noWrap/>
            <w:vAlign w:val="center"/>
            <w:hideMark/>
          </w:tcPr>
          <w:p w14:paraId="7BA4C832"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w:t>
            </w:r>
          </w:p>
        </w:tc>
        <w:tc>
          <w:tcPr>
            <w:tcW w:w="444" w:type="dxa"/>
            <w:gridSpan w:val="2"/>
            <w:tcBorders>
              <w:top w:val="nil"/>
              <w:left w:val="nil"/>
              <w:bottom w:val="nil"/>
              <w:right w:val="single" w:sz="8" w:space="0" w:color="auto"/>
            </w:tcBorders>
            <w:shd w:val="clear" w:color="000000" w:fill="63BE7B"/>
            <w:noWrap/>
            <w:vAlign w:val="center"/>
            <w:hideMark/>
          </w:tcPr>
          <w:p w14:paraId="7BA1258A"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1,755</w:t>
            </w:r>
          </w:p>
        </w:tc>
      </w:tr>
      <w:tr w:rsidR="00127BB8" w:rsidRPr="00601EFC" w14:paraId="683037E3" w14:textId="77777777">
        <w:trPr>
          <w:trHeight w:val="299"/>
        </w:trPr>
        <w:tc>
          <w:tcPr>
            <w:tcW w:w="305" w:type="dxa"/>
            <w:tcBorders>
              <w:top w:val="nil"/>
              <w:left w:val="single" w:sz="8" w:space="0" w:color="auto"/>
              <w:bottom w:val="nil"/>
              <w:right w:val="nil"/>
            </w:tcBorders>
            <w:shd w:val="clear" w:color="auto" w:fill="FFFF00"/>
            <w:noWrap/>
            <w:vAlign w:val="center"/>
            <w:hideMark/>
          </w:tcPr>
          <w:p w14:paraId="19CA85F5"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CAE8D4"/>
            <w:noWrap/>
            <w:vAlign w:val="center"/>
            <w:hideMark/>
          </w:tcPr>
          <w:p w14:paraId="0981D92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55747C2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70CB5C2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449B0D4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0B5A013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377"/>
            <w:noWrap/>
            <w:vAlign w:val="center"/>
            <w:hideMark/>
          </w:tcPr>
          <w:p w14:paraId="16EE58D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1,36</w:t>
            </w:r>
          </w:p>
        </w:tc>
        <w:tc>
          <w:tcPr>
            <w:tcW w:w="444" w:type="dxa"/>
            <w:tcBorders>
              <w:top w:val="nil"/>
              <w:left w:val="nil"/>
              <w:bottom w:val="nil"/>
              <w:right w:val="single" w:sz="8" w:space="0" w:color="auto"/>
            </w:tcBorders>
            <w:shd w:val="clear" w:color="000000" w:fill="7AC47C"/>
            <w:noWrap/>
            <w:vAlign w:val="center"/>
            <w:hideMark/>
          </w:tcPr>
          <w:p w14:paraId="50D2846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1,835</w:t>
            </w:r>
          </w:p>
        </w:tc>
        <w:tc>
          <w:tcPr>
            <w:tcW w:w="222" w:type="dxa"/>
            <w:tcBorders>
              <w:top w:val="nil"/>
              <w:left w:val="nil"/>
              <w:bottom w:val="nil"/>
              <w:right w:val="nil"/>
            </w:tcBorders>
            <w:shd w:val="clear" w:color="auto" w:fill="auto"/>
            <w:noWrap/>
            <w:vAlign w:val="bottom"/>
            <w:hideMark/>
          </w:tcPr>
          <w:p w14:paraId="372F010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2147ECB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500" w:type="dxa"/>
            <w:tcBorders>
              <w:top w:val="nil"/>
              <w:left w:val="nil"/>
              <w:bottom w:val="nil"/>
              <w:right w:val="nil"/>
            </w:tcBorders>
            <w:shd w:val="clear" w:color="000000" w:fill="FFDF82"/>
            <w:noWrap/>
            <w:vAlign w:val="center"/>
            <w:hideMark/>
          </w:tcPr>
          <w:p w14:paraId="5F5133F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w:t>
            </w:r>
          </w:p>
        </w:tc>
        <w:tc>
          <w:tcPr>
            <w:tcW w:w="500" w:type="dxa"/>
            <w:tcBorders>
              <w:top w:val="nil"/>
              <w:left w:val="nil"/>
              <w:bottom w:val="nil"/>
              <w:right w:val="nil"/>
            </w:tcBorders>
            <w:shd w:val="clear" w:color="000000" w:fill="FCA377"/>
            <w:noWrap/>
            <w:vAlign w:val="center"/>
            <w:hideMark/>
          </w:tcPr>
          <w:p w14:paraId="49449FB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1,37</w:t>
            </w:r>
          </w:p>
        </w:tc>
        <w:tc>
          <w:tcPr>
            <w:tcW w:w="444" w:type="dxa"/>
            <w:tcBorders>
              <w:top w:val="nil"/>
              <w:left w:val="nil"/>
              <w:bottom w:val="nil"/>
              <w:right w:val="single" w:sz="8" w:space="0" w:color="auto"/>
            </w:tcBorders>
            <w:shd w:val="clear" w:color="000000" w:fill="7AC47C"/>
            <w:noWrap/>
            <w:vAlign w:val="center"/>
            <w:hideMark/>
          </w:tcPr>
          <w:p w14:paraId="68B026C4"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1,81</w:t>
            </w:r>
          </w:p>
        </w:tc>
        <w:tc>
          <w:tcPr>
            <w:tcW w:w="222" w:type="dxa"/>
            <w:tcBorders>
              <w:top w:val="nil"/>
              <w:left w:val="nil"/>
              <w:bottom w:val="nil"/>
              <w:right w:val="nil"/>
            </w:tcBorders>
            <w:shd w:val="clear" w:color="auto" w:fill="auto"/>
            <w:noWrap/>
            <w:vAlign w:val="bottom"/>
            <w:hideMark/>
          </w:tcPr>
          <w:p w14:paraId="48CC0DA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5733F74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283"/>
            <w:noWrap/>
            <w:vAlign w:val="center"/>
            <w:hideMark/>
          </w:tcPr>
          <w:p w14:paraId="7FA299E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-0,48</w:t>
            </w:r>
          </w:p>
        </w:tc>
        <w:tc>
          <w:tcPr>
            <w:tcW w:w="500" w:type="dxa"/>
            <w:tcBorders>
              <w:top w:val="nil"/>
              <w:left w:val="nil"/>
              <w:bottom w:val="nil"/>
              <w:right w:val="nil"/>
            </w:tcBorders>
            <w:shd w:val="clear" w:color="000000" w:fill="FCA477"/>
            <w:noWrap/>
            <w:vAlign w:val="center"/>
            <w:hideMark/>
          </w:tcPr>
          <w:p w14:paraId="1BF688A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444" w:type="dxa"/>
            <w:gridSpan w:val="2"/>
            <w:tcBorders>
              <w:top w:val="nil"/>
              <w:left w:val="nil"/>
              <w:bottom w:val="nil"/>
              <w:right w:val="single" w:sz="8" w:space="0" w:color="auto"/>
            </w:tcBorders>
            <w:shd w:val="clear" w:color="000000" w:fill="7AC47C"/>
            <w:noWrap/>
            <w:vAlign w:val="center"/>
            <w:hideMark/>
          </w:tcPr>
          <w:p w14:paraId="5BE58426"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1,855</w:t>
            </w:r>
          </w:p>
        </w:tc>
        <w:tc>
          <w:tcPr>
            <w:tcW w:w="218" w:type="dxa"/>
            <w:gridSpan w:val="2"/>
            <w:tcBorders>
              <w:top w:val="nil"/>
              <w:left w:val="nil"/>
              <w:bottom w:val="nil"/>
              <w:right w:val="nil"/>
            </w:tcBorders>
            <w:shd w:val="clear" w:color="auto" w:fill="auto"/>
            <w:noWrap/>
            <w:vAlign w:val="bottom"/>
            <w:hideMark/>
          </w:tcPr>
          <w:p w14:paraId="0F0B8DF5"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4951B5E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-2,59</w:t>
            </w:r>
          </w:p>
        </w:tc>
        <w:tc>
          <w:tcPr>
            <w:tcW w:w="500" w:type="dxa"/>
            <w:tcBorders>
              <w:top w:val="nil"/>
              <w:left w:val="nil"/>
              <w:bottom w:val="nil"/>
              <w:right w:val="nil"/>
            </w:tcBorders>
            <w:shd w:val="clear" w:color="000000" w:fill="FFE884"/>
            <w:noWrap/>
            <w:vAlign w:val="center"/>
            <w:hideMark/>
          </w:tcPr>
          <w:p w14:paraId="5EBC978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-0,65</w:t>
            </w:r>
          </w:p>
        </w:tc>
        <w:tc>
          <w:tcPr>
            <w:tcW w:w="500" w:type="dxa"/>
            <w:tcBorders>
              <w:top w:val="nil"/>
              <w:left w:val="nil"/>
              <w:bottom w:val="nil"/>
              <w:right w:val="nil"/>
            </w:tcBorders>
            <w:shd w:val="clear" w:color="000000" w:fill="FCA978"/>
            <w:noWrap/>
            <w:vAlign w:val="center"/>
            <w:hideMark/>
          </w:tcPr>
          <w:p w14:paraId="040E788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1,18</w:t>
            </w:r>
          </w:p>
        </w:tc>
        <w:tc>
          <w:tcPr>
            <w:tcW w:w="444" w:type="dxa"/>
            <w:gridSpan w:val="2"/>
            <w:tcBorders>
              <w:top w:val="nil"/>
              <w:left w:val="nil"/>
              <w:bottom w:val="nil"/>
              <w:right w:val="single" w:sz="8" w:space="0" w:color="auto"/>
            </w:tcBorders>
            <w:shd w:val="clear" w:color="000000" w:fill="7AC47C"/>
            <w:noWrap/>
            <w:vAlign w:val="center"/>
            <w:hideMark/>
          </w:tcPr>
          <w:p w14:paraId="3A3396E2"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1,885</w:t>
            </w:r>
          </w:p>
        </w:tc>
      </w:tr>
      <w:tr w:rsidR="00127BB8" w:rsidRPr="00601EFC" w14:paraId="6949F02A" w14:textId="77777777">
        <w:trPr>
          <w:trHeight w:val="299"/>
        </w:trPr>
        <w:tc>
          <w:tcPr>
            <w:tcW w:w="305" w:type="dxa"/>
            <w:tcBorders>
              <w:top w:val="nil"/>
              <w:left w:val="single" w:sz="8" w:space="0" w:color="auto"/>
              <w:bottom w:val="nil"/>
              <w:right w:val="nil"/>
            </w:tcBorders>
            <w:shd w:val="clear" w:color="auto" w:fill="FFFF00"/>
            <w:noWrap/>
            <w:vAlign w:val="center"/>
            <w:hideMark/>
          </w:tcPr>
          <w:p w14:paraId="1CDCECD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CFCFF"/>
            <w:noWrap/>
            <w:vAlign w:val="center"/>
            <w:hideMark/>
          </w:tcPr>
          <w:p w14:paraId="6277954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20A5B695"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105A2F0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6ECBACA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583"/>
            <w:noWrap/>
            <w:vAlign w:val="center"/>
            <w:hideMark/>
          </w:tcPr>
          <w:p w14:paraId="16ACA0C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B9774"/>
            <w:noWrap/>
            <w:vAlign w:val="center"/>
            <w:hideMark/>
          </w:tcPr>
          <w:p w14:paraId="77A1893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AE983"/>
            <w:noWrap/>
            <w:vAlign w:val="center"/>
            <w:hideMark/>
          </w:tcPr>
          <w:p w14:paraId="0B1B3F9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2F63F1C1"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FDD81"/>
            <w:noWrap/>
            <w:vAlign w:val="center"/>
            <w:hideMark/>
          </w:tcPr>
          <w:p w14:paraId="283E47C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-3,17</w:t>
            </w:r>
          </w:p>
        </w:tc>
        <w:tc>
          <w:tcPr>
            <w:tcW w:w="500" w:type="dxa"/>
            <w:tcBorders>
              <w:top w:val="nil"/>
              <w:left w:val="nil"/>
              <w:bottom w:val="nil"/>
              <w:right w:val="nil"/>
            </w:tcBorders>
            <w:shd w:val="clear" w:color="000000" w:fill="FFE483"/>
            <w:noWrap/>
            <w:vAlign w:val="center"/>
            <w:hideMark/>
          </w:tcPr>
          <w:p w14:paraId="7854DF9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-0,54</w:t>
            </w:r>
          </w:p>
        </w:tc>
        <w:tc>
          <w:tcPr>
            <w:tcW w:w="500" w:type="dxa"/>
            <w:tcBorders>
              <w:top w:val="nil"/>
              <w:left w:val="nil"/>
              <w:bottom w:val="nil"/>
              <w:right w:val="nil"/>
            </w:tcBorders>
            <w:shd w:val="clear" w:color="000000" w:fill="FB9674"/>
            <w:noWrap/>
            <w:vAlign w:val="center"/>
            <w:hideMark/>
          </w:tcPr>
          <w:p w14:paraId="6B1230B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1,75</w:t>
            </w:r>
          </w:p>
        </w:tc>
        <w:tc>
          <w:tcPr>
            <w:tcW w:w="444" w:type="dxa"/>
            <w:tcBorders>
              <w:top w:val="nil"/>
              <w:left w:val="nil"/>
              <w:bottom w:val="nil"/>
              <w:right w:val="single" w:sz="8" w:space="0" w:color="auto"/>
            </w:tcBorders>
            <w:shd w:val="clear" w:color="000000" w:fill="FCEA83"/>
            <w:noWrap/>
            <w:vAlign w:val="center"/>
            <w:hideMark/>
          </w:tcPr>
          <w:p w14:paraId="33E4CC28"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2,46</w:t>
            </w:r>
          </w:p>
        </w:tc>
        <w:tc>
          <w:tcPr>
            <w:tcW w:w="222" w:type="dxa"/>
            <w:tcBorders>
              <w:top w:val="nil"/>
              <w:left w:val="nil"/>
              <w:bottom w:val="nil"/>
              <w:right w:val="nil"/>
            </w:tcBorders>
            <w:shd w:val="clear" w:color="auto" w:fill="auto"/>
            <w:noWrap/>
            <w:vAlign w:val="bottom"/>
            <w:hideMark/>
          </w:tcPr>
          <w:p w14:paraId="6B78D9FE"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CDC81"/>
            <w:noWrap/>
            <w:vAlign w:val="center"/>
            <w:hideMark/>
          </w:tcPr>
          <w:p w14:paraId="164FDFB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-3,32</w:t>
            </w:r>
          </w:p>
        </w:tc>
        <w:tc>
          <w:tcPr>
            <w:tcW w:w="500" w:type="dxa"/>
            <w:tcBorders>
              <w:top w:val="nil"/>
              <w:left w:val="nil"/>
              <w:bottom w:val="nil"/>
              <w:right w:val="nil"/>
            </w:tcBorders>
            <w:shd w:val="clear" w:color="000000" w:fill="FFE784"/>
            <w:noWrap/>
            <w:vAlign w:val="center"/>
            <w:hideMark/>
          </w:tcPr>
          <w:p w14:paraId="1145F51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-0,64</w:t>
            </w:r>
          </w:p>
        </w:tc>
        <w:tc>
          <w:tcPr>
            <w:tcW w:w="500" w:type="dxa"/>
            <w:tcBorders>
              <w:top w:val="nil"/>
              <w:left w:val="nil"/>
              <w:bottom w:val="nil"/>
              <w:right w:val="nil"/>
            </w:tcBorders>
            <w:shd w:val="clear" w:color="000000" w:fill="FB9774"/>
            <w:noWrap/>
            <w:vAlign w:val="center"/>
            <w:hideMark/>
          </w:tcPr>
          <w:p w14:paraId="43D8B1D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1,71</w:t>
            </w:r>
          </w:p>
        </w:tc>
        <w:tc>
          <w:tcPr>
            <w:tcW w:w="444" w:type="dxa"/>
            <w:gridSpan w:val="2"/>
            <w:tcBorders>
              <w:top w:val="nil"/>
              <w:left w:val="nil"/>
              <w:bottom w:val="nil"/>
              <w:right w:val="single" w:sz="8" w:space="0" w:color="auto"/>
            </w:tcBorders>
            <w:shd w:val="clear" w:color="000000" w:fill="F8E983"/>
            <w:noWrap/>
            <w:vAlign w:val="center"/>
            <w:hideMark/>
          </w:tcPr>
          <w:p w14:paraId="6B2ABB26"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2,515</w:t>
            </w:r>
          </w:p>
        </w:tc>
        <w:tc>
          <w:tcPr>
            <w:tcW w:w="218" w:type="dxa"/>
            <w:gridSpan w:val="2"/>
            <w:tcBorders>
              <w:top w:val="nil"/>
              <w:left w:val="nil"/>
              <w:bottom w:val="nil"/>
              <w:right w:val="nil"/>
            </w:tcBorders>
            <w:shd w:val="clear" w:color="auto" w:fill="auto"/>
            <w:noWrap/>
            <w:vAlign w:val="bottom"/>
            <w:hideMark/>
          </w:tcPr>
          <w:p w14:paraId="615A964A"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7DB80"/>
            <w:noWrap/>
            <w:vAlign w:val="center"/>
            <w:hideMark/>
          </w:tcPr>
          <w:p w14:paraId="6B448DE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-3,56</w:t>
            </w:r>
          </w:p>
        </w:tc>
        <w:tc>
          <w:tcPr>
            <w:tcW w:w="500" w:type="dxa"/>
            <w:tcBorders>
              <w:top w:val="nil"/>
              <w:left w:val="nil"/>
              <w:bottom w:val="nil"/>
              <w:right w:val="nil"/>
            </w:tcBorders>
            <w:shd w:val="clear" w:color="000000" w:fill="FDEA83"/>
            <w:noWrap/>
            <w:vAlign w:val="center"/>
            <w:hideMark/>
          </w:tcPr>
          <w:p w14:paraId="40044B1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-0,82</w:t>
            </w:r>
          </w:p>
        </w:tc>
        <w:tc>
          <w:tcPr>
            <w:tcW w:w="500" w:type="dxa"/>
            <w:tcBorders>
              <w:top w:val="nil"/>
              <w:left w:val="nil"/>
              <w:bottom w:val="nil"/>
              <w:right w:val="nil"/>
            </w:tcBorders>
            <w:shd w:val="clear" w:color="000000" w:fill="FB9B75"/>
            <w:noWrap/>
            <w:vAlign w:val="center"/>
            <w:hideMark/>
          </w:tcPr>
          <w:p w14:paraId="7FC123C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444" w:type="dxa"/>
            <w:gridSpan w:val="2"/>
            <w:tcBorders>
              <w:top w:val="nil"/>
              <w:left w:val="nil"/>
              <w:bottom w:val="nil"/>
              <w:right w:val="single" w:sz="8" w:space="0" w:color="auto"/>
            </w:tcBorders>
            <w:shd w:val="clear" w:color="000000" w:fill="FAE983"/>
            <w:noWrap/>
            <w:vAlign w:val="center"/>
            <w:hideMark/>
          </w:tcPr>
          <w:p w14:paraId="2F87014F"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r>
      <w:tr w:rsidR="00127BB8" w:rsidRPr="00601EFC" w14:paraId="165E3DB2" w14:textId="77777777">
        <w:trPr>
          <w:trHeight w:val="299"/>
        </w:trPr>
        <w:tc>
          <w:tcPr>
            <w:tcW w:w="305" w:type="dxa"/>
            <w:tcBorders>
              <w:top w:val="nil"/>
              <w:left w:val="single" w:sz="8" w:space="0" w:color="auto"/>
              <w:bottom w:val="nil"/>
              <w:right w:val="nil"/>
            </w:tcBorders>
            <w:shd w:val="clear" w:color="auto" w:fill="FFFF00"/>
            <w:noWrap/>
            <w:vAlign w:val="center"/>
            <w:hideMark/>
          </w:tcPr>
          <w:p w14:paraId="548F6B8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99A9C"/>
            <w:noWrap/>
            <w:vAlign w:val="center"/>
            <w:hideMark/>
          </w:tcPr>
          <w:p w14:paraId="1D1BEB1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53167FC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213219B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1A116271"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27FA3E2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w:t>
            </w:r>
          </w:p>
        </w:tc>
        <w:tc>
          <w:tcPr>
            <w:tcW w:w="500" w:type="dxa"/>
            <w:tcBorders>
              <w:top w:val="nil"/>
              <w:left w:val="nil"/>
              <w:bottom w:val="nil"/>
              <w:right w:val="nil"/>
            </w:tcBorders>
            <w:shd w:val="clear" w:color="000000" w:fill="FA8170"/>
            <w:noWrap/>
            <w:vAlign w:val="center"/>
            <w:hideMark/>
          </w:tcPr>
          <w:p w14:paraId="463015D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2,35</w:t>
            </w:r>
          </w:p>
        </w:tc>
        <w:tc>
          <w:tcPr>
            <w:tcW w:w="444" w:type="dxa"/>
            <w:tcBorders>
              <w:top w:val="nil"/>
              <w:left w:val="nil"/>
              <w:bottom w:val="nil"/>
              <w:right w:val="single" w:sz="8" w:space="0" w:color="auto"/>
            </w:tcBorders>
            <w:shd w:val="clear" w:color="000000" w:fill="FDB97B"/>
            <w:noWrap/>
            <w:vAlign w:val="center"/>
            <w:hideMark/>
          </w:tcPr>
          <w:p w14:paraId="3DC3D777"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3,58</w:t>
            </w:r>
          </w:p>
        </w:tc>
        <w:tc>
          <w:tcPr>
            <w:tcW w:w="222" w:type="dxa"/>
            <w:tcBorders>
              <w:top w:val="nil"/>
              <w:left w:val="nil"/>
              <w:bottom w:val="nil"/>
              <w:right w:val="nil"/>
            </w:tcBorders>
            <w:shd w:val="clear" w:color="auto" w:fill="auto"/>
            <w:noWrap/>
            <w:vAlign w:val="bottom"/>
            <w:hideMark/>
          </w:tcPr>
          <w:p w14:paraId="1D2DC6B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B1D47F"/>
            <w:noWrap/>
            <w:vAlign w:val="center"/>
            <w:hideMark/>
          </w:tcPr>
          <w:p w14:paraId="002C8C0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-4,7</w:t>
            </w:r>
          </w:p>
        </w:tc>
        <w:tc>
          <w:tcPr>
            <w:tcW w:w="500" w:type="dxa"/>
            <w:tcBorders>
              <w:top w:val="nil"/>
              <w:left w:val="nil"/>
              <w:bottom w:val="nil"/>
              <w:right w:val="nil"/>
            </w:tcBorders>
            <w:shd w:val="clear" w:color="000000" w:fill="FCEA83"/>
            <w:noWrap/>
            <w:vAlign w:val="center"/>
            <w:hideMark/>
          </w:tcPr>
          <w:p w14:paraId="4804E1E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-0,87</w:t>
            </w:r>
          </w:p>
        </w:tc>
        <w:tc>
          <w:tcPr>
            <w:tcW w:w="500" w:type="dxa"/>
            <w:tcBorders>
              <w:top w:val="nil"/>
              <w:left w:val="nil"/>
              <w:bottom w:val="nil"/>
              <w:right w:val="nil"/>
            </w:tcBorders>
            <w:shd w:val="clear" w:color="000000" w:fill="FA8170"/>
            <w:noWrap/>
            <w:vAlign w:val="center"/>
            <w:hideMark/>
          </w:tcPr>
          <w:p w14:paraId="7E5C24D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2,36</w:t>
            </w:r>
          </w:p>
        </w:tc>
        <w:tc>
          <w:tcPr>
            <w:tcW w:w="444" w:type="dxa"/>
            <w:tcBorders>
              <w:top w:val="nil"/>
              <w:left w:val="nil"/>
              <w:bottom w:val="nil"/>
              <w:right w:val="single" w:sz="8" w:space="0" w:color="auto"/>
            </w:tcBorders>
            <w:shd w:val="clear" w:color="000000" w:fill="FDB87B"/>
            <w:noWrap/>
            <w:vAlign w:val="center"/>
            <w:hideMark/>
          </w:tcPr>
          <w:p w14:paraId="2FFDB82D"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3,53</w:t>
            </w:r>
          </w:p>
        </w:tc>
        <w:tc>
          <w:tcPr>
            <w:tcW w:w="222" w:type="dxa"/>
            <w:tcBorders>
              <w:top w:val="nil"/>
              <w:left w:val="nil"/>
              <w:bottom w:val="nil"/>
              <w:right w:val="nil"/>
            </w:tcBorders>
            <w:shd w:val="clear" w:color="auto" w:fill="auto"/>
            <w:noWrap/>
            <w:vAlign w:val="bottom"/>
            <w:hideMark/>
          </w:tcPr>
          <w:p w14:paraId="338F643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CD37F"/>
            <w:noWrap/>
            <w:vAlign w:val="center"/>
            <w:hideMark/>
          </w:tcPr>
          <w:p w14:paraId="1F03C7C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-4,93</w:t>
            </w:r>
          </w:p>
        </w:tc>
        <w:tc>
          <w:tcPr>
            <w:tcW w:w="500" w:type="dxa"/>
            <w:tcBorders>
              <w:top w:val="nil"/>
              <w:left w:val="nil"/>
              <w:bottom w:val="nil"/>
              <w:right w:val="nil"/>
            </w:tcBorders>
            <w:shd w:val="clear" w:color="000000" w:fill="FBE983"/>
            <w:noWrap/>
            <w:vAlign w:val="center"/>
            <w:hideMark/>
          </w:tcPr>
          <w:p w14:paraId="6F14E40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-0,96</w:t>
            </w:r>
          </w:p>
        </w:tc>
        <w:tc>
          <w:tcPr>
            <w:tcW w:w="500" w:type="dxa"/>
            <w:tcBorders>
              <w:top w:val="nil"/>
              <w:left w:val="nil"/>
              <w:bottom w:val="nil"/>
              <w:right w:val="nil"/>
            </w:tcBorders>
            <w:shd w:val="clear" w:color="000000" w:fill="FA8270"/>
            <w:noWrap/>
            <w:vAlign w:val="center"/>
            <w:hideMark/>
          </w:tcPr>
          <w:p w14:paraId="0F7DCC1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2,32</w:t>
            </w:r>
          </w:p>
        </w:tc>
        <w:tc>
          <w:tcPr>
            <w:tcW w:w="444" w:type="dxa"/>
            <w:gridSpan w:val="2"/>
            <w:tcBorders>
              <w:top w:val="nil"/>
              <w:left w:val="nil"/>
              <w:bottom w:val="nil"/>
              <w:right w:val="single" w:sz="8" w:space="0" w:color="auto"/>
            </w:tcBorders>
            <w:shd w:val="clear" w:color="000000" w:fill="FDB97B"/>
            <w:noWrap/>
            <w:vAlign w:val="center"/>
            <w:hideMark/>
          </w:tcPr>
          <w:p w14:paraId="680B9AD8"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3,625</w:t>
            </w:r>
          </w:p>
        </w:tc>
        <w:tc>
          <w:tcPr>
            <w:tcW w:w="218" w:type="dxa"/>
            <w:gridSpan w:val="2"/>
            <w:tcBorders>
              <w:top w:val="nil"/>
              <w:left w:val="nil"/>
              <w:bottom w:val="nil"/>
              <w:right w:val="nil"/>
            </w:tcBorders>
            <w:shd w:val="clear" w:color="auto" w:fill="auto"/>
            <w:noWrap/>
            <w:vAlign w:val="bottom"/>
            <w:hideMark/>
          </w:tcPr>
          <w:p w14:paraId="2040406A"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A7D17E"/>
            <w:noWrap/>
            <w:vAlign w:val="center"/>
            <w:hideMark/>
          </w:tcPr>
          <w:p w14:paraId="5BF3E43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-5,18</w:t>
            </w:r>
          </w:p>
        </w:tc>
        <w:tc>
          <w:tcPr>
            <w:tcW w:w="500" w:type="dxa"/>
            <w:tcBorders>
              <w:top w:val="nil"/>
              <w:left w:val="nil"/>
              <w:bottom w:val="nil"/>
              <w:right w:val="nil"/>
            </w:tcBorders>
            <w:shd w:val="clear" w:color="000000" w:fill="F7E883"/>
            <w:noWrap/>
            <w:vAlign w:val="center"/>
            <w:hideMark/>
          </w:tcPr>
          <w:p w14:paraId="36871DA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-1,14</w:t>
            </w:r>
          </w:p>
        </w:tc>
        <w:tc>
          <w:tcPr>
            <w:tcW w:w="500" w:type="dxa"/>
            <w:tcBorders>
              <w:top w:val="nil"/>
              <w:left w:val="nil"/>
              <w:bottom w:val="nil"/>
              <w:right w:val="nil"/>
            </w:tcBorders>
            <w:shd w:val="clear" w:color="000000" w:fill="FA8771"/>
            <w:noWrap/>
            <w:vAlign w:val="center"/>
            <w:hideMark/>
          </w:tcPr>
          <w:p w14:paraId="788932F5"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2,18</w:t>
            </w:r>
          </w:p>
        </w:tc>
        <w:tc>
          <w:tcPr>
            <w:tcW w:w="444" w:type="dxa"/>
            <w:gridSpan w:val="2"/>
            <w:tcBorders>
              <w:top w:val="nil"/>
              <w:left w:val="nil"/>
              <w:bottom w:val="nil"/>
              <w:right w:val="single" w:sz="8" w:space="0" w:color="auto"/>
            </w:tcBorders>
            <w:shd w:val="clear" w:color="000000" w:fill="FDBF7C"/>
            <w:noWrap/>
            <w:vAlign w:val="center"/>
            <w:hideMark/>
          </w:tcPr>
          <w:p w14:paraId="4274D00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3,68</w:t>
            </w:r>
          </w:p>
        </w:tc>
      </w:tr>
      <w:tr w:rsidR="00127BB8" w:rsidRPr="00601EFC" w14:paraId="60B161D5" w14:textId="77777777">
        <w:trPr>
          <w:trHeight w:val="299"/>
        </w:trPr>
        <w:tc>
          <w:tcPr>
            <w:tcW w:w="305" w:type="dxa"/>
            <w:tcBorders>
              <w:top w:val="nil"/>
              <w:left w:val="single" w:sz="8" w:space="0" w:color="auto"/>
              <w:bottom w:val="nil"/>
              <w:right w:val="nil"/>
            </w:tcBorders>
            <w:shd w:val="clear" w:color="auto" w:fill="FFFF00"/>
            <w:noWrap/>
            <w:vAlign w:val="center"/>
            <w:hideMark/>
          </w:tcPr>
          <w:p w14:paraId="3871874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8696B"/>
            <w:noWrap/>
            <w:vAlign w:val="center"/>
            <w:hideMark/>
          </w:tcPr>
          <w:p w14:paraId="765F1EFB"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nil"/>
              <w:right w:val="single" w:sz="8" w:space="0" w:color="auto"/>
            </w:tcBorders>
            <w:shd w:val="clear" w:color="000000" w:fill="F8696B"/>
            <w:noWrap/>
            <w:vAlign w:val="center"/>
            <w:hideMark/>
          </w:tcPr>
          <w:p w14:paraId="3A3476E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09C1343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80C67C"/>
            <w:noWrap/>
            <w:vAlign w:val="center"/>
            <w:hideMark/>
          </w:tcPr>
          <w:p w14:paraId="53FDB8D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-7,16</w:t>
            </w:r>
          </w:p>
        </w:tc>
        <w:tc>
          <w:tcPr>
            <w:tcW w:w="500" w:type="dxa"/>
            <w:tcBorders>
              <w:top w:val="nil"/>
              <w:left w:val="nil"/>
              <w:bottom w:val="nil"/>
              <w:right w:val="nil"/>
            </w:tcBorders>
            <w:shd w:val="clear" w:color="000000" w:fill="EEE683"/>
            <w:noWrap/>
            <w:vAlign w:val="center"/>
            <w:hideMark/>
          </w:tcPr>
          <w:p w14:paraId="47A9D2A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-1,58</w:t>
            </w:r>
          </w:p>
        </w:tc>
        <w:tc>
          <w:tcPr>
            <w:tcW w:w="500" w:type="dxa"/>
            <w:tcBorders>
              <w:top w:val="nil"/>
              <w:left w:val="nil"/>
              <w:bottom w:val="nil"/>
              <w:right w:val="nil"/>
            </w:tcBorders>
            <w:shd w:val="clear" w:color="000000" w:fill="F96A6C"/>
            <w:noWrap/>
            <w:vAlign w:val="center"/>
            <w:hideMark/>
          </w:tcPr>
          <w:p w14:paraId="5903E8E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3,03</w:t>
            </w:r>
          </w:p>
        </w:tc>
        <w:tc>
          <w:tcPr>
            <w:tcW w:w="444" w:type="dxa"/>
            <w:tcBorders>
              <w:top w:val="nil"/>
              <w:left w:val="nil"/>
              <w:bottom w:val="nil"/>
              <w:right w:val="single" w:sz="8" w:space="0" w:color="auto"/>
            </w:tcBorders>
            <w:shd w:val="clear" w:color="000000" w:fill="F9706D"/>
            <w:noWrap/>
            <w:vAlign w:val="center"/>
            <w:hideMark/>
          </w:tcPr>
          <w:p w14:paraId="060AA649"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5,095</w:t>
            </w:r>
          </w:p>
        </w:tc>
        <w:tc>
          <w:tcPr>
            <w:tcW w:w="222" w:type="dxa"/>
            <w:tcBorders>
              <w:top w:val="nil"/>
              <w:left w:val="nil"/>
              <w:bottom w:val="nil"/>
              <w:right w:val="nil"/>
            </w:tcBorders>
            <w:shd w:val="clear" w:color="auto" w:fill="auto"/>
            <w:noWrap/>
            <w:vAlign w:val="bottom"/>
            <w:hideMark/>
          </w:tcPr>
          <w:p w14:paraId="6199F31E"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83C77C"/>
            <w:noWrap/>
            <w:vAlign w:val="center"/>
            <w:hideMark/>
          </w:tcPr>
          <w:p w14:paraId="6A10B35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-7,02</w:t>
            </w:r>
          </w:p>
        </w:tc>
        <w:tc>
          <w:tcPr>
            <w:tcW w:w="500" w:type="dxa"/>
            <w:tcBorders>
              <w:top w:val="nil"/>
              <w:left w:val="nil"/>
              <w:bottom w:val="nil"/>
              <w:right w:val="nil"/>
            </w:tcBorders>
            <w:shd w:val="clear" w:color="000000" w:fill="EFE683"/>
            <w:noWrap/>
            <w:vAlign w:val="center"/>
            <w:hideMark/>
          </w:tcPr>
          <w:p w14:paraId="1DBE057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-1,53</w:t>
            </w:r>
          </w:p>
        </w:tc>
        <w:tc>
          <w:tcPr>
            <w:tcW w:w="500" w:type="dxa"/>
            <w:tcBorders>
              <w:top w:val="nil"/>
              <w:left w:val="nil"/>
              <w:bottom w:val="nil"/>
              <w:right w:val="nil"/>
            </w:tcBorders>
            <w:shd w:val="clear" w:color="000000" w:fill="F8696B"/>
            <w:noWrap/>
            <w:vAlign w:val="center"/>
            <w:hideMark/>
          </w:tcPr>
          <w:p w14:paraId="1DE3E0A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3,05</w:t>
            </w:r>
          </w:p>
        </w:tc>
        <w:tc>
          <w:tcPr>
            <w:tcW w:w="444" w:type="dxa"/>
            <w:tcBorders>
              <w:top w:val="nil"/>
              <w:left w:val="nil"/>
              <w:bottom w:val="nil"/>
              <w:right w:val="single" w:sz="8" w:space="0" w:color="auto"/>
            </w:tcBorders>
            <w:shd w:val="clear" w:color="000000" w:fill="F96E6C"/>
            <w:noWrap/>
            <w:vAlign w:val="center"/>
            <w:hideMark/>
          </w:tcPr>
          <w:p w14:paraId="4A2D176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5,035</w:t>
            </w:r>
          </w:p>
        </w:tc>
        <w:tc>
          <w:tcPr>
            <w:tcW w:w="222" w:type="dxa"/>
            <w:tcBorders>
              <w:top w:val="nil"/>
              <w:left w:val="nil"/>
              <w:bottom w:val="nil"/>
              <w:right w:val="nil"/>
            </w:tcBorders>
            <w:shd w:val="clear" w:color="auto" w:fill="auto"/>
            <w:noWrap/>
            <w:vAlign w:val="bottom"/>
            <w:hideMark/>
          </w:tcPr>
          <w:p w14:paraId="3EE82DAD"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7EC67C"/>
            <w:noWrap/>
            <w:vAlign w:val="center"/>
            <w:hideMark/>
          </w:tcPr>
          <w:p w14:paraId="6C2D1C7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-7,24</w:t>
            </w:r>
          </w:p>
        </w:tc>
        <w:tc>
          <w:tcPr>
            <w:tcW w:w="500" w:type="dxa"/>
            <w:tcBorders>
              <w:top w:val="nil"/>
              <w:left w:val="nil"/>
              <w:bottom w:val="nil"/>
              <w:right w:val="nil"/>
            </w:tcBorders>
            <w:shd w:val="clear" w:color="000000" w:fill="EDE582"/>
            <w:noWrap/>
            <w:vAlign w:val="center"/>
            <w:hideMark/>
          </w:tcPr>
          <w:p w14:paraId="19A9DA2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-1,65</w:t>
            </w:r>
          </w:p>
        </w:tc>
        <w:tc>
          <w:tcPr>
            <w:tcW w:w="500" w:type="dxa"/>
            <w:tcBorders>
              <w:top w:val="nil"/>
              <w:left w:val="nil"/>
              <w:bottom w:val="nil"/>
              <w:right w:val="nil"/>
            </w:tcBorders>
            <w:shd w:val="clear" w:color="000000" w:fill="F96B6C"/>
            <w:noWrap/>
            <w:vAlign w:val="center"/>
            <w:hideMark/>
          </w:tcPr>
          <w:p w14:paraId="242394D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gridSpan w:val="2"/>
            <w:tcBorders>
              <w:top w:val="nil"/>
              <w:left w:val="nil"/>
              <w:bottom w:val="nil"/>
              <w:right w:val="single" w:sz="8" w:space="0" w:color="auto"/>
            </w:tcBorders>
            <w:shd w:val="clear" w:color="000000" w:fill="F9726D"/>
            <w:noWrap/>
            <w:vAlign w:val="center"/>
            <w:hideMark/>
          </w:tcPr>
          <w:p w14:paraId="0411C131"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5,13</w:t>
            </w:r>
          </w:p>
        </w:tc>
        <w:tc>
          <w:tcPr>
            <w:tcW w:w="218" w:type="dxa"/>
            <w:gridSpan w:val="2"/>
            <w:tcBorders>
              <w:top w:val="nil"/>
              <w:left w:val="nil"/>
              <w:bottom w:val="nil"/>
              <w:right w:val="nil"/>
            </w:tcBorders>
            <w:shd w:val="clear" w:color="auto" w:fill="auto"/>
            <w:noWrap/>
            <w:vAlign w:val="bottom"/>
            <w:hideMark/>
          </w:tcPr>
          <w:p w14:paraId="382D3A69"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75C37C"/>
            <w:noWrap/>
            <w:vAlign w:val="center"/>
            <w:hideMark/>
          </w:tcPr>
          <w:p w14:paraId="3A269E2B"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-7,73</w:t>
            </w:r>
          </w:p>
        </w:tc>
        <w:tc>
          <w:tcPr>
            <w:tcW w:w="500" w:type="dxa"/>
            <w:tcBorders>
              <w:top w:val="nil"/>
              <w:left w:val="nil"/>
              <w:bottom w:val="nil"/>
              <w:right w:val="nil"/>
            </w:tcBorders>
            <w:shd w:val="clear" w:color="000000" w:fill="E8E482"/>
            <w:noWrap/>
            <w:vAlign w:val="center"/>
            <w:hideMark/>
          </w:tcPr>
          <w:p w14:paraId="768EB12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-1,88</w:t>
            </w:r>
          </w:p>
        </w:tc>
        <w:tc>
          <w:tcPr>
            <w:tcW w:w="500" w:type="dxa"/>
            <w:tcBorders>
              <w:top w:val="nil"/>
              <w:left w:val="nil"/>
              <w:bottom w:val="nil"/>
              <w:right w:val="nil"/>
            </w:tcBorders>
            <w:shd w:val="clear" w:color="000000" w:fill="F96F6D"/>
            <w:noWrap/>
            <w:vAlign w:val="center"/>
            <w:hideMark/>
          </w:tcPr>
          <w:p w14:paraId="5B2F4E0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2,89</w:t>
            </w:r>
          </w:p>
        </w:tc>
        <w:tc>
          <w:tcPr>
            <w:tcW w:w="444" w:type="dxa"/>
            <w:gridSpan w:val="2"/>
            <w:tcBorders>
              <w:top w:val="nil"/>
              <w:left w:val="nil"/>
              <w:bottom w:val="nil"/>
              <w:right w:val="single" w:sz="8" w:space="0" w:color="auto"/>
            </w:tcBorders>
            <w:shd w:val="clear" w:color="000000" w:fill="F97A6F"/>
            <w:noWrap/>
            <w:vAlign w:val="center"/>
            <w:hideMark/>
          </w:tcPr>
          <w:p w14:paraId="40D2591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5,31</w:t>
            </w:r>
          </w:p>
        </w:tc>
      </w:tr>
      <w:tr w:rsidR="00127BB8" w:rsidRPr="00601EFC" w14:paraId="2DBEF0DF" w14:textId="77777777">
        <w:trPr>
          <w:trHeight w:val="299"/>
        </w:trPr>
        <w:tc>
          <w:tcPr>
            <w:tcW w:w="305" w:type="dxa"/>
            <w:tcBorders>
              <w:top w:val="nil"/>
              <w:left w:val="single" w:sz="8" w:space="0" w:color="auto"/>
              <w:bottom w:val="nil"/>
              <w:right w:val="nil"/>
            </w:tcBorders>
            <w:shd w:val="clear" w:color="auto" w:fill="FFC000"/>
            <w:noWrap/>
            <w:vAlign w:val="center"/>
            <w:hideMark/>
          </w:tcPr>
          <w:p w14:paraId="1003205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63BE7B"/>
            <w:noWrap/>
            <w:vAlign w:val="center"/>
            <w:hideMark/>
          </w:tcPr>
          <w:p w14:paraId="62FC7C0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0B2EEAE5"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21F5F835"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743FD8C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-2,27</w:t>
            </w:r>
          </w:p>
        </w:tc>
        <w:tc>
          <w:tcPr>
            <w:tcW w:w="500" w:type="dxa"/>
            <w:tcBorders>
              <w:top w:val="nil"/>
              <w:left w:val="nil"/>
              <w:bottom w:val="nil"/>
              <w:right w:val="nil"/>
            </w:tcBorders>
            <w:shd w:val="clear" w:color="000000" w:fill="FFE183"/>
            <w:noWrap/>
            <w:vAlign w:val="center"/>
            <w:hideMark/>
          </w:tcPr>
          <w:p w14:paraId="506B333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-0,47</w:t>
            </w:r>
          </w:p>
        </w:tc>
        <w:tc>
          <w:tcPr>
            <w:tcW w:w="500" w:type="dxa"/>
            <w:tcBorders>
              <w:top w:val="nil"/>
              <w:left w:val="nil"/>
              <w:bottom w:val="nil"/>
              <w:right w:val="nil"/>
            </w:tcBorders>
            <w:shd w:val="clear" w:color="000000" w:fill="FCA877"/>
            <w:noWrap/>
            <w:vAlign w:val="center"/>
            <w:hideMark/>
          </w:tcPr>
          <w:p w14:paraId="3B997DC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1,22</w:t>
            </w:r>
          </w:p>
        </w:tc>
        <w:tc>
          <w:tcPr>
            <w:tcW w:w="444" w:type="dxa"/>
            <w:tcBorders>
              <w:top w:val="nil"/>
              <w:left w:val="nil"/>
              <w:bottom w:val="nil"/>
              <w:right w:val="single" w:sz="8" w:space="0" w:color="auto"/>
            </w:tcBorders>
            <w:shd w:val="clear" w:color="000000" w:fill="68BF7B"/>
            <w:noWrap/>
            <w:vAlign w:val="center"/>
            <w:hideMark/>
          </w:tcPr>
          <w:p w14:paraId="0A7C2F17"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1,745</w:t>
            </w:r>
          </w:p>
        </w:tc>
        <w:tc>
          <w:tcPr>
            <w:tcW w:w="222" w:type="dxa"/>
            <w:tcBorders>
              <w:top w:val="nil"/>
              <w:left w:val="nil"/>
              <w:bottom w:val="nil"/>
              <w:right w:val="nil"/>
            </w:tcBorders>
            <w:shd w:val="clear" w:color="auto" w:fill="auto"/>
            <w:noWrap/>
            <w:vAlign w:val="bottom"/>
            <w:hideMark/>
          </w:tcPr>
          <w:p w14:paraId="5927445E"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3E282"/>
            <w:noWrap/>
            <w:vAlign w:val="center"/>
            <w:hideMark/>
          </w:tcPr>
          <w:p w14:paraId="5276C122"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-2,17</w:t>
            </w:r>
          </w:p>
        </w:tc>
        <w:tc>
          <w:tcPr>
            <w:tcW w:w="500" w:type="dxa"/>
            <w:tcBorders>
              <w:top w:val="nil"/>
              <w:left w:val="nil"/>
              <w:bottom w:val="nil"/>
              <w:right w:val="nil"/>
            </w:tcBorders>
            <w:shd w:val="clear" w:color="000000" w:fill="FFDF82"/>
            <w:noWrap/>
            <w:vAlign w:val="center"/>
            <w:hideMark/>
          </w:tcPr>
          <w:p w14:paraId="30DC204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-0,41</w:t>
            </w:r>
          </w:p>
        </w:tc>
        <w:tc>
          <w:tcPr>
            <w:tcW w:w="500" w:type="dxa"/>
            <w:tcBorders>
              <w:top w:val="nil"/>
              <w:left w:val="nil"/>
              <w:bottom w:val="nil"/>
              <w:right w:val="nil"/>
            </w:tcBorders>
            <w:shd w:val="clear" w:color="000000" w:fill="FCA677"/>
            <w:noWrap/>
            <w:vAlign w:val="center"/>
            <w:hideMark/>
          </w:tcPr>
          <w:p w14:paraId="07CEFEF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1,27</w:t>
            </w:r>
          </w:p>
        </w:tc>
        <w:tc>
          <w:tcPr>
            <w:tcW w:w="444" w:type="dxa"/>
            <w:tcBorders>
              <w:top w:val="nil"/>
              <w:left w:val="nil"/>
              <w:bottom w:val="nil"/>
              <w:right w:val="single" w:sz="8" w:space="0" w:color="auto"/>
            </w:tcBorders>
            <w:shd w:val="clear" w:color="000000" w:fill="67BF7B"/>
            <w:noWrap/>
            <w:vAlign w:val="center"/>
            <w:hideMark/>
          </w:tcPr>
          <w:p w14:paraId="2B18F66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1,72</w:t>
            </w:r>
          </w:p>
        </w:tc>
        <w:tc>
          <w:tcPr>
            <w:tcW w:w="222" w:type="dxa"/>
            <w:tcBorders>
              <w:top w:val="nil"/>
              <w:left w:val="nil"/>
              <w:bottom w:val="nil"/>
              <w:right w:val="nil"/>
            </w:tcBorders>
            <w:shd w:val="clear" w:color="auto" w:fill="auto"/>
            <w:noWrap/>
            <w:vAlign w:val="bottom"/>
            <w:hideMark/>
          </w:tcPr>
          <w:p w14:paraId="77B23DC9"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0BF93CD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583"/>
            <w:noWrap/>
            <w:vAlign w:val="center"/>
            <w:hideMark/>
          </w:tcPr>
          <w:p w14:paraId="739F981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-0,56</w:t>
            </w:r>
          </w:p>
        </w:tc>
        <w:tc>
          <w:tcPr>
            <w:tcW w:w="500" w:type="dxa"/>
            <w:tcBorders>
              <w:top w:val="nil"/>
              <w:left w:val="nil"/>
              <w:bottom w:val="nil"/>
              <w:right w:val="nil"/>
            </w:tcBorders>
            <w:shd w:val="clear" w:color="000000" w:fill="FCAA78"/>
            <w:noWrap/>
            <w:vAlign w:val="center"/>
            <w:hideMark/>
          </w:tcPr>
          <w:p w14:paraId="4C9B571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1,17</w:t>
            </w:r>
          </w:p>
        </w:tc>
        <w:tc>
          <w:tcPr>
            <w:tcW w:w="444" w:type="dxa"/>
            <w:gridSpan w:val="2"/>
            <w:tcBorders>
              <w:top w:val="nil"/>
              <w:left w:val="nil"/>
              <w:bottom w:val="nil"/>
              <w:right w:val="single" w:sz="8" w:space="0" w:color="auto"/>
            </w:tcBorders>
            <w:shd w:val="clear" w:color="000000" w:fill="6BC07B"/>
            <w:noWrap/>
            <w:vAlign w:val="center"/>
            <w:hideMark/>
          </w:tcPr>
          <w:p w14:paraId="7E69F7EE"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1,775</w:t>
            </w:r>
          </w:p>
        </w:tc>
        <w:tc>
          <w:tcPr>
            <w:tcW w:w="218" w:type="dxa"/>
            <w:gridSpan w:val="2"/>
            <w:tcBorders>
              <w:top w:val="nil"/>
              <w:left w:val="nil"/>
              <w:bottom w:val="nil"/>
              <w:right w:val="nil"/>
            </w:tcBorders>
            <w:shd w:val="clear" w:color="auto" w:fill="auto"/>
            <w:noWrap/>
            <w:vAlign w:val="bottom"/>
            <w:hideMark/>
          </w:tcPr>
          <w:p w14:paraId="42596417"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7A619F4B"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-2,63</w:t>
            </w:r>
          </w:p>
        </w:tc>
        <w:tc>
          <w:tcPr>
            <w:tcW w:w="500" w:type="dxa"/>
            <w:tcBorders>
              <w:top w:val="nil"/>
              <w:left w:val="nil"/>
              <w:bottom w:val="nil"/>
              <w:right w:val="nil"/>
            </w:tcBorders>
            <w:shd w:val="clear" w:color="000000" w:fill="FEEA83"/>
            <w:noWrap/>
            <w:vAlign w:val="center"/>
            <w:hideMark/>
          </w:tcPr>
          <w:p w14:paraId="0E28F16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-0,78</w:t>
            </w:r>
          </w:p>
        </w:tc>
        <w:tc>
          <w:tcPr>
            <w:tcW w:w="500" w:type="dxa"/>
            <w:tcBorders>
              <w:top w:val="nil"/>
              <w:left w:val="nil"/>
              <w:bottom w:val="nil"/>
              <w:right w:val="nil"/>
            </w:tcBorders>
            <w:shd w:val="clear" w:color="000000" w:fill="FCB079"/>
            <w:noWrap/>
            <w:vAlign w:val="center"/>
            <w:hideMark/>
          </w:tcPr>
          <w:p w14:paraId="53C1479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444" w:type="dxa"/>
            <w:gridSpan w:val="2"/>
            <w:tcBorders>
              <w:top w:val="nil"/>
              <w:left w:val="nil"/>
              <w:bottom w:val="nil"/>
              <w:right w:val="single" w:sz="8" w:space="0" w:color="auto"/>
            </w:tcBorders>
            <w:shd w:val="clear" w:color="000000" w:fill="6CC07B"/>
            <w:noWrap/>
            <w:vAlign w:val="center"/>
            <w:hideMark/>
          </w:tcPr>
          <w:p w14:paraId="38E469E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1,805</w:t>
            </w:r>
          </w:p>
        </w:tc>
      </w:tr>
      <w:tr w:rsidR="00127BB8" w:rsidRPr="00601EFC" w14:paraId="7A85381A" w14:textId="77777777">
        <w:trPr>
          <w:trHeight w:val="299"/>
        </w:trPr>
        <w:tc>
          <w:tcPr>
            <w:tcW w:w="305" w:type="dxa"/>
            <w:tcBorders>
              <w:top w:val="nil"/>
              <w:left w:val="single" w:sz="8" w:space="0" w:color="auto"/>
              <w:bottom w:val="nil"/>
              <w:right w:val="nil"/>
            </w:tcBorders>
            <w:shd w:val="clear" w:color="auto" w:fill="FFC000"/>
            <w:noWrap/>
            <w:vAlign w:val="center"/>
            <w:hideMark/>
          </w:tcPr>
          <w:p w14:paraId="112B78D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CAE8D4"/>
            <w:noWrap/>
            <w:vAlign w:val="center"/>
            <w:hideMark/>
          </w:tcPr>
          <w:p w14:paraId="4BC6FA0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2B722A3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55CB6E9B"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DEE182"/>
            <w:noWrap/>
            <w:vAlign w:val="center"/>
            <w:hideMark/>
          </w:tcPr>
          <w:p w14:paraId="785F013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-2,42</w:t>
            </w:r>
          </w:p>
        </w:tc>
        <w:tc>
          <w:tcPr>
            <w:tcW w:w="500" w:type="dxa"/>
            <w:tcBorders>
              <w:top w:val="nil"/>
              <w:left w:val="nil"/>
              <w:bottom w:val="nil"/>
              <w:right w:val="nil"/>
            </w:tcBorders>
            <w:shd w:val="clear" w:color="000000" w:fill="FFE383"/>
            <w:noWrap/>
            <w:vAlign w:val="center"/>
            <w:hideMark/>
          </w:tcPr>
          <w:p w14:paraId="6FBF14D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-0,51</w:t>
            </w:r>
          </w:p>
        </w:tc>
        <w:tc>
          <w:tcPr>
            <w:tcW w:w="500" w:type="dxa"/>
            <w:tcBorders>
              <w:top w:val="nil"/>
              <w:left w:val="nil"/>
              <w:bottom w:val="nil"/>
              <w:right w:val="nil"/>
            </w:tcBorders>
            <w:shd w:val="clear" w:color="000000" w:fill="FCA577"/>
            <w:noWrap/>
            <w:vAlign w:val="center"/>
            <w:hideMark/>
          </w:tcPr>
          <w:p w14:paraId="109059C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w:t>
            </w:r>
          </w:p>
        </w:tc>
        <w:tc>
          <w:tcPr>
            <w:tcW w:w="444" w:type="dxa"/>
            <w:tcBorders>
              <w:top w:val="nil"/>
              <w:left w:val="nil"/>
              <w:bottom w:val="nil"/>
              <w:right w:val="single" w:sz="8" w:space="0" w:color="auto"/>
            </w:tcBorders>
            <w:shd w:val="clear" w:color="000000" w:fill="7FC67C"/>
            <w:noWrap/>
            <w:vAlign w:val="center"/>
            <w:hideMark/>
          </w:tcPr>
          <w:p w14:paraId="0CD1B62A"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1,86</w:t>
            </w:r>
          </w:p>
        </w:tc>
        <w:tc>
          <w:tcPr>
            <w:tcW w:w="222" w:type="dxa"/>
            <w:tcBorders>
              <w:top w:val="nil"/>
              <w:left w:val="nil"/>
              <w:bottom w:val="nil"/>
              <w:right w:val="nil"/>
            </w:tcBorders>
            <w:shd w:val="clear" w:color="auto" w:fill="auto"/>
            <w:noWrap/>
            <w:vAlign w:val="bottom"/>
            <w:hideMark/>
          </w:tcPr>
          <w:p w14:paraId="64460E92"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6EA9E26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065FBB2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477"/>
            <w:noWrap/>
            <w:vAlign w:val="center"/>
            <w:hideMark/>
          </w:tcPr>
          <w:p w14:paraId="219B74F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1,34</w:t>
            </w:r>
          </w:p>
        </w:tc>
        <w:tc>
          <w:tcPr>
            <w:tcW w:w="444" w:type="dxa"/>
            <w:tcBorders>
              <w:top w:val="nil"/>
              <w:left w:val="nil"/>
              <w:bottom w:val="nil"/>
              <w:right w:val="single" w:sz="8" w:space="0" w:color="auto"/>
            </w:tcBorders>
            <w:shd w:val="clear" w:color="000000" w:fill="7DC57C"/>
            <w:noWrap/>
            <w:vAlign w:val="center"/>
            <w:hideMark/>
          </w:tcPr>
          <w:p w14:paraId="63E26771"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1,825</w:t>
            </w:r>
          </w:p>
        </w:tc>
        <w:tc>
          <w:tcPr>
            <w:tcW w:w="222" w:type="dxa"/>
            <w:tcBorders>
              <w:top w:val="nil"/>
              <w:left w:val="nil"/>
              <w:bottom w:val="nil"/>
              <w:right w:val="nil"/>
            </w:tcBorders>
            <w:shd w:val="clear" w:color="auto" w:fill="auto"/>
            <w:noWrap/>
            <w:vAlign w:val="bottom"/>
            <w:hideMark/>
          </w:tcPr>
          <w:p w14:paraId="7FA739B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CE081"/>
            <w:noWrap/>
            <w:vAlign w:val="center"/>
            <w:hideMark/>
          </w:tcPr>
          <w:p w14:paraId="4D5EB96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-2,53</w:t>
            </w:r>
          </w:p>
        </w:tc>
        <w:tc>
          <w:tcPr>
            <w:tcW w:w="500" w:type="dxa"/>
            <w:tcBorders>
              <w:top w:val="nil"/>
              <w:left w:val="nil"/>
              <w:bottom w:val="nil"/>
              <w:right w:val="nil"/>
            </w:tcBorders>
            <w:shd w:val="clear" w:color="000000" w:fill="FFE583"/>
            <w:noWrap/>
            <w:vAlign w:val="center"/>
            <w:hideMark/>
          </w:tcPr>
          <w:p w14:paraId="45FBE25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CA777"/>
            <w:noWrap/>
            <w:vAlign w:val="center"/>
            <w:hideMark/>
          </w:tcPr>
          <w:p w14:paraId="6B27CED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1,25</w:t>
            </w:r>
          </w:p>
        </w:tc>
        <w:tc>
          <w:tcPr>
            <w:tcW w:w="444" w:type="dxa"/>
            <w:gridSpan w:val="2"/>
            <w:tcBorders>
              <w:top w:val="nil"/>
              <w:left w:val="nil"/>
              <w:bottom w:val="nil"/>
              <w:right w:val="single" w:sz="8" w:space="0" w:color="auto"/>
            </w:tcBorders>
            <w:shd w:val="clear" w:color="000000" w:fill="81C67C"/>
            <w:noWrap/>
            <w:vAlign w:val="center"/>
            <w:hideMark/>
          </w:tcPr>
          <w:p w14:paraId="7138069E"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1,89</w:t>
            </w:r>
          </w:p>
        </w:tc>
        <w:tc>
          <w:tcPr>
            <w:tcW w:w="218" w:type="dxa"/>
            <w:gridSpan w:val="2"/>
            <w:tcBorders>
              <w:top w:val="nil"/>
              <w:left w:val="nil"/>
              <w:bottom w:val="nil"/>
              <w:right w:val="nil"/>
            </w:tcBorders>
            <w:shd w:val="clear" w:color="auto" w:fill="auto"/>
            <w:noWrap/>
            <w:vAlign w:val="bottom"/>
            <w:hideMark/>
          </w:tcPr>
          <w:p w14:paraId="0D62D1DD"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6DF81"/>
            <w:noWrap/>
            <w:vAlign w:val="center"/>
            <w:hideMark/>
          </w:tcPr>
          <w:p w14:paraId="2319C582"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-2,83</w:t>
            </w:r>
          </w:p>
        </w:tc>
        <w:tc>
          <w:tcPr>
            <w:tcW w:w="500" w:type="dxa"/>
            <w:tcBorders>
              <w:top w:val="nil"/>
              <w:left w:val="nil"/>
              <w:bottom w:val="nil"/>
              <w:right w:val="nil"/>
            </w:tcBorders>
            <w:shd w:val="clear" w:color="000000" w:fill="FEEA83"/>
            <w:noWrap/>
            <w:vAlign w:val="center"/>
            <w:hideMark/>
          </w:tcPr>
          <w:p w14:paraId="2EBAC4E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w:t>
            </w:r>
          </w:p>
        </w:tc>
        <w:tc>
          <w:tcPr>
            <w:tcW w:w="500" w:type="dxa"/>
            <w:tcBorders>
              <w:top w:val="nil"/>
              <w:left w:val="nil"/>
              <w:bottom w:val="nil"/>
              <w:right w:val="nil"/>
            </w:tcBorders>
            <w:shd w:val="clear" w:color="000000" w:fill="FCAD78"/>
            <w:noWrap/>
            <w:vAlign w:val="center"/>
            <w:hideMark/>
          </w:tcPr>
          <w:p w14:paraId="4E1F852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1,08</w:t>
            </w:r>
          </w:p>
        </w:tc>
        <w:tc>
          <w:tcPr>
            <w:tcW w:w="444" w:type="dxa"/>
            <w:gridSpan w:val="2"/>
            <w:tcBorders>
              <w:top w:val="nil"/>
              <w:left w:val="nil"/>
              <w:bottom w:val="nil"/>
              <w:right w:val="single" w:sz="8" w:space="0" w:color="auto"/>
            </w:tcBorders>
            <w:shd w:val="clear" w:color="000000" w:fill="87C87D"/>
            <w:noWrap/>
            <w:vAlign w:val="center"/>
            <w:hideMark/>
          </w:tcPr>
          <w:p w14:paraId="2A437FA9"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1,955</w:t>
            </w:r>
          </w:p>
        </w:tc>
      </w:tr>
      <w:tr w:rsidR="00127BB8" w:rsidRPr="00601EFC" w14:paraId="4FFEF27A" w14:textId="77777777">
        <w:trPr>
          <w:trHeight w:val="299"/>
        </w:trPr>
        <w:tc>
          <w:tcPr>
            <w:tcW w:w="305" w:type="dxa"/>
            <w:tcBorders>
              <w:top w:val="nil"/>
              <w:left w:val="single" w:sz="8" w:space="0" w:color="auto"/>
              <w:bottom w:val="nil"/>
              <w:right w:val="nil"/>
            </w:tcBorders>
            <w:shd w:val="clear" w:color="auto" w:fill="FFC000"/>
            <w:noWrap/>
            <w:vAlign w:val="center"/>
            <w:hideMark/>
          </w:tcPr>
          <w:p w14:paraId="63C6491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CFCFF"/>
            <w:noWrap/>
            <w:vAlign w:val="center"/>
            <w:hideMark/>
          </w:tcPr>
          <w:p w14:paraId="48EFA73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2CEDCB7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39A40ED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BDC81"/>
            <w:noWrap/>
            <w:vAlign w:val="center"/>
            <w:hideMark/>
          </w:tcPr>
          <w:p w14:paraId="65DB24A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-3,38</w:t>
            </w:r>
          </w:p>
        </w:tc>
        <w:tc>
          <w:tcPr>
            <w:tcW w:w="500" w:type="dxa"/>
            <w:tcBorders>
              <w:top w:val="nil"/>
              <w:left w:val="nil"/>
              <w:bottom w:val="nil"/>
              <w:right w:val="nil"/>
            </w:tcBorders>
            <w:shd w:val="clear" w:color="000000" w:fill="FFE884"/>
            <w:noWrap/>
            <w:vAlign w:val="center"/>
            <w:hideMark/>
          </w:tcPr>
          <w:p w14:paraId="231AEC5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-0,66</w:t>
            </w:r>
          </w:p>
        </w:tc>
        <w:tc>
          <w:tcPr>
            <w:tcW w:w="500" w:type="dxa"/>
            <w:tcBorders>
              <w:top w:val="nil"/>
              <w:left w:val="nil"/>
              <w:bottom w:val="nil"/>
              <w:right w:val="nil"/>
            </w:tcBorders>
            <w:shd w:val="clear" w:color="000000" w:fill="FB9874"/>
            <w:noWrap/>
            <w:vAlign w:val="center"/>
            <w:hideMark/>
          </w:tcPr>
          <w:p w14:paraId="5AEAC51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444" w:type="dxa"/>
            <w:tcBorders>
              <w:top w:val="nil"/>
              <w:left w:val="nil"/>
              <w:bottom w:val="nil"/>
              <w:right w:val="single" w:sz="8" w:space="0" w:color="auto"/>
            </w:tcBorders>
            <w:shd w:val="clear" w:color="000000" w:fill="FFEA84"/>
            <w:noWrap/>
            <w:vAlign w:val="center"/>
            <w:hideMark/>
          </w:tcPr>
          <w:p w14:paraId="7B97CF41"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2,535</w:t>
            </w:r>
          </w:p>
        </w:tc>
        <w:tc>
          <w:tcPr>
            <w:tcW w:w="222" w:type="dxa"/>
            <w:tcBorders>
              <w:top w:val="nil"/>
              <w:left w:val="nil"/>
              <w:bottom w:val="nil"/>
              <w:right w:val="nil"/>
            </w:tcBorders>
            <w:shd w:val="clear" w:color="auto" w:fill="auto"/>
            <w:noWrap/>
            <w:vAlign w:val="bottom"/>
            <w:hideMark/>
          </w:tcPr>
          <w:p w14:paraId="09F6F0E5"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6184337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683"/>
            <w:noWrap/>
            <w:vAlign w:val="center"/>
            <w:hideMark/>
          </w:tcPr>
          <w:p w14:paraId="27B757D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-0,59</w:t>
            </w:r>
          </w:p>
        </w:tc>
        <w:tc>
          <w:tcPr>
            <w:tcW w:w="500" w:type="dxa"/>
            <w:tcBorders>
              <w:top w:val="nil"/>
              <w:left w:val="nil"/>
              <w:bottom w:val="nil"/>
              <w:right w:val="nil"/>
            </w:tcBorders>
            <w:shd w:val="clear" w:color="000000" w:fill="FB9774"/>
            <w:noWrap/>
            <w:vAlign w:val="center"/>
            <w:hideMark/>
          </w:tcPr>
          <w:p w14:paraId="3FB287E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FEB84"/>
            <w:noWrap/>
            <w:vAlign w:val="center"/>
            <w:hideMark/>
          </w:tcPr>
          <w:p w14:paraId="3F13D7B2"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7746A565"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8DB80"/>
            <w:noWrap/>
            <w:vAlign w:val="center"/>
            <w:hideMark/>
          </w:tcPr>
          <w:p w14:paraId="6C441CC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-3,53</w:t>
            </w:r>
          </w:p>
        </w:tc>
        <w:tc>
          <w:tcPr>
            <w:tcW w:w="500" w:type="dxa"/>
            <w:tcBorders>
              <w:top w:val="nil"/>
              <w:left w:val="nil"/>
              <w:bottom w:val="nil"/>
              <w:right w:val="nil"/>
            </w:tcBorders>
            <w:shd w:val="clear" w:color="000000" w:fill="FFEB84"/>
            <w:noWrap/>
            <w:vAlign w:val="center"/>
            <w:hideMark/>
          </w:tcPr>
          <w:p w14:paraId="0C121AA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-0,75</w:t>
            </w:r>
          </w:p>
        </w:tc>
        <w:tc>
          <w:tcPr>
            <w:tcW w:w="500" w:type="dxa"/>
            <w:tcBorders>
              <w:top w:val="nil"/>
              <w:left w:val="nil"/>
              <w:bottom w:val="nil"/>
              <w:right w:val="nil"/>
            </w:tcBorders>
            <w:shd w:val="clear" w:color="000000" w:fill="FB9A75"/>
            <w:noWrap/>
            <w:vAlign w:val="center"/>
            <w:hideMark/>
          </w:tcPr>
          <w:p w14:paraId="2D94357B"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1,63</w:t>
            </w:r>
          </w:p>
        </w:tc>
        <w:tc>
          <w:tcPr>
            <w:tcW w:w="444" w:type="dxa"/>
            <w:gridSpan w:val="2"/>
            <w:tcBorders>
              <w:top w:val="nil"/>
              <w:left w:val="nil"/>
              <w:bottom w:val="nil"/>
              <w:right w:val="single" w:sz="8" w:space="0" w:color="auto"/>
            </w:tcBorders>
            <w:shd w:val="clear" w:color="000000" w:fill="FFEA84"/>
            <w:noWrap/>
            <w:vAlign w:val="center"/>
            <w:hideMark/>
          </w:tcPr>
          <w:p w14:paraId="29D482D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c>
          <w:tcPr>
            <w:tcW w:w="218" w:type="dxa"/>
            <w:gridSpan w:val="2"/>
            <w:tcBorders>
              <w:top w:val="nil"/>
              <w:left w:val="nil"/>
              <w:bottom w:val="nil"/>
              <w:right w:val="nil"/>
            </w:tcBorders>
            <w:shd w:val="clear" w:color="auto" w:fill="auto"/>
            <w:noWrap/>
            <w:vAlign w:val="bottom"/>
            <w:hideMark/>
          </w:tcPr>
          <w:p w14:paraId="58ACD6DC"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2D980"/>
            <w:noWrap/>
            <w:vAlign w:val="center"/>
            <w:hideMark/>
          </w:tcPr>
          <w:p w14:paraId="79BBA4D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-3,8</w:t>
            </w:r>
          </w:p>
        </w:tc>
        <w:tc>
          <w:tcPr>
            <w:tcW w:w="500" w:type="dxa"/>
            <w:tcBorders>
              <w:top w:val="nil"/>
              <w:left w:val="nil"/>
              <w:bottom w:val="nil"/>
              <w:right w:val="nil"/>
            </w:tcBorders>
            <w:shd w:val="clear" w:color="000000" w:fill="FAE983"/>
            <w:noWrap/>
            <w:vAlign w:val="center"/>
            <w:hideMark/>
          </w:tcPr>
          <w:p w14:paraId="2EAEB92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500" w:type="dxa"/>
            <w:tcBorders>
              <w:top w:val="nil"/>
              <w:left w:val="nil"/>
              <w:bottom w:val="nil"/>
              <w:right w:val="nil"/>
            </w:tcBorders>
            <w:shd w:val="clear" w:color="000000" w:fill="FBA076"/>
            <w:noWrap/>
            <w:vAlign w:val="center"/>
            <w:hideMark/>
          </w:tcPr>
          <w:p w14:paraId="00029F5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1,46</w:t>
            </w:r>
          </w:p>
        </w:tc>
        <w:tc>
          <w:tcPr>
            <w:tcW w:w="444" w:type="dxa"/>
            <w:gridSpan w:val="2"/>
            <w:tcBorders>
              <w:top w:val="nil"/>
              <w:left w:val="nil"/>
              <w:bottom w:val="nil"/>
              <w:right w:val="single" w:sz="8" w:space="0" w:color="auto"/>
            </w:tcBorders>
            <w:shd w:val="clear" w:color="000000" w:fill="FFEA84"/>
            <w:noWrap/>
            <w:vAlign w:val="center"/>
            <w:hideMark/>
          </w:tcPr>
          <w:p w14:paraId="7FA74B41"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2,63</w:t>
            </w:r>
          </w:p>
        </w:tc>
      </w:tr>
      <w:tr w:rsidR="00127BB8" w:rsidRPr="00601EFC" w14:paraId="04DEBB25" w14:textId="77777777">
        <w:trPr>
          <w:trHeight w:val="299"/>
        </w:trPr>
        <w:tc>
          <w:tcPr>
            <w:tcW w:w="305" w:type="dxa"/>
            <w:tcBorders>
              <w:top w:val="nil"/>
              <w:left w:val="single" w:sz="8" w:space="0" w:color="auto"/>
              <w:bottom w:val="nil"/>
              <w:right w:val="nil"/>
            </w:tcBorders>
            <w:shd w:val="clear" w:color="auto" w:fill="FFC000"/>
            <w:noWrap/>
            <w:vAlign w:val="center"/>
            <w:hideMark/>
          </w:tcPr>
          <w:p w14:paraId="02A90F4F"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99A9C"/>
            <w:noWrap/>
            <w:vAlign w:val="center"/>
            <w:hideMark/>
          </w:tcPr>
          <w:p w14:paraId="2ABD0D2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31ADBD7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714ABFEB"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AD27F"/>
            <w:noWrap/>
            <w:vAlign w:val="center"/>
            <w:hideMark/>
          </w:tcPr>
          <w:p w14:paraId="5BB188F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-5,01</w:t>
            </w:r>
          </w:p>
        </w:tc>
        <w:tc>
          <w:tcPr>
            <w:tcW w:w="500" w:type="dxa"/>
            <w:tcBorders>
              <w:top w:val="nil"/>
              <w:left w:val="nil"/>
              <w:bottom w:val="nil"/>
              <w:right w:val="nil"/>
            </w:tcBorders>
            <w:shd w:val="clear" w:color="000000" w:fill="FAE983"/>
            <w:noWrap/>
            <w:vAlign w:val="center"/>
            <w:hideMark/>
          </w:tcPr>
          <w:p w14:paraId="44E0497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-0,99</w:t>
            </w:r>
          </w:p>
        </w:tc>
        <w:tc>
          <w:tcPr>
            <w:tcW w:w="500" w:type="dxa"/>
            <w:tcBorders>
              <w:top w:val="nil"/>
              <w:left w:val="nil"/>
              <w:bottom w:val="nil"/>
              <w:right w:val="nil"/>
            </w:tcBorders>
            <w:shd w:val="clear" w:color="000000" w:fill="FA8370"/>
            <w:noWrap/>
            <w:vAlign w:val="center"/>
            <w:hideMark/>
          </w:tcPr>
          <w:p w14:paraId="6B6F3CF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w:t>
            </w:r>
          </w:p>
        </w:tc>
        <w:tc>
          <w:tcPr>
            <w:tcW w:w="444" w:type="dxa"/>
            <w:tcBorders>
              <w:top w:val="nil"/>
              <w:left w:val="nil"/>
              <w:bottom w:val="nil"/>
              <w:right w:val="single" w:sz="8" w:space="0" w:color="auto"/>
            </w:tcBorders>
            <w:shd w:val="clear" w:color="000000" w:fill="FDB57A"/>
            <w:noWrap/>
            <w:vAlign w:val="center"/>
            <w:hideMark/>
          </w:tcPr>
          <w:p w14:paraId="258378D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3,655</w:t>
            </w:r>
          </w:p>
        </w:tc>
        <w:tc>
          <w:tcPr>
            <w:tcW w:w="222" w:type="dxa"/>
            <w:tcBorders>
              <w:top w:val="nil"/>
              <w:left w:val="nil"/>
              <w:bottom w:val="nil"/>
              <w:right w:val="nil"/>
            </w:tcBorders>
            <w:shd w:val="clear" w:color="auto" w:fill="auto"/>
            <w:noWrap/>
            <w:vAlign w:val="bottom"/>
            <w:hideMark/>
          </w:tcPr>
          <w:p w14:paraId="3FBEF212"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1B5977F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525B9632"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-0,91</w:t>
            </w:r>
          </w:p>
        </w:tc>
        <w:tc>
          <w:tcPr>
            <w:tcW w:w="500" w:type="dxa"/>
            <w:tcBorders>
              <w:top w:val="nil"/>
              <w:left w:val="nil"/>
              <w:bottom w:val="nil"/>
              <w:right w:val="nil"/>
            </w:tcBorders>
            <w:shd w:val="clear" w:color="000000" w:fill="FA8270"/>
            <w:noWrap/>
            <w:vAlign w:val="center"/>
            <w:hideMark/>
          </w:tcPr>
          <w:p w14:paraId="1E9DCBB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2,33</w:t>
            </w:r>
          </w:p>
        </w:tc>
        <w:tc>
          <w:tcPr>
            <w:tcW w:w="444" w:type="dxa"/>
            <w:tcBorders>
              <w:top w:val="nil"/>
              <w:left w:val="nil"/>
              <w:bottom w:val="nil"/>
              <w:right w:val="single" w:sz="8" w:space="0" w:color="auto"/>
            </w:tcBorders>
            <w:shd w:val="clear" w:color="000000" w:fill="FDB67A"/>
            <w:noWrap/>
            <w:vAlign w:val="center"/>
            <w:hideMark/>
          </w:tcPr>
          <w:p w14:paraId="269DE7C1"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3,57</w:t>
            </w:r>
          </w:p>
        </w:tc>
        <w:tc>
          <w:tcPr>
            <w:tcW w:w="222" w:type="dxa"/>
            <w:tcBorders>
              <w:top w:val="nil"/>
              <w:left w:val="nil"/>
              <w:bottom w:val="nil"/>
              <w:right w:val="nil"/>
            </w:tcBorders>
            <w:shd w:val="clear" w:color="auto" w:fill="auto"/>
            <w:noWrap/>
            <w:vAlign w:val="bottom"/>
            <w:hideMark/>
          </w:tcPr>
          <w:p w14:paraId="12D0A5A4"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7D17E"/>
            <w:noWrap/>
            <w:vAlign w:val="center"/>
            <w:hideMark/>
          </w:tcPr>
          <w:p w14:paraId="696F45D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-5,2</w:t>
            </w:r>
          </w:p>
        </w:tc>
        <w:tc>
          <w:tcPr>
            <w:tcW w:w="500" w:type="dxa"/>
            <w:tcBorders>
              <w:top w:val="nil"/>
              <w:left w:val="nil"/>
              <w:bottom w:val="nil"/>
              <w:right w:val="nil"/>
            </w:tcBorders>
            <w:shd w:val="clear" w:color="000000" w:fill="F8E983"/>
            <w:noWrap/>
            <w:vAlign w:val="center"/>
            <w:hideMark/>
          </w:tcPr>
          <w:p w14:paraId="6CD72AF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-1,07</w:t>
            </w:r>
          </w:p>
        </w:tc>
        <w:tc>
          <w:tcPr>
            <w:tcW w:w="500" w:type="dxa"/>
            <w:tcBorders>
              <w:top w:val="nil"/>
              <w:left w:val="nil"/>
              <w:bottom w:val="nil"/>
              <w:right w:val="nil"/>
            </w:tcBorders>
            <w:shd w:val="clear" w:color="000000" w:fill="FA8571"/>
            <w:noWrap/>
            <w:vAlign w:val="center"/>
            <w:hideMark/>
          </w:tcPr>
          <w:p w14:paraId="159801C0"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444" w:type="dxa"/>
            <w:gridSpan w:val="2"/>
            <w:tcBorders>
              <w:top w:val="nil"/>
              <w:left w:val="nil"/>
              <w:bottom w:val="nil"/>
              <w:right w:val="single" w:sz="8" w:space="0" w:color="auto"/>
            </w:tcBorders>
            <w:shd w:val="clear" w:color="000000" w:fill="FDB47A"/>
            <w:noWrap/>
            <w:vAlign w:val="center"/>
            <w:hideMark/>
          </w:tcPr>
          <w:p w14:paraId="0387E943"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3,725</w:t>
            </w:r>
          </w:p>
        </w:tc>
        <w:tc>
          <w:tcPr>
            <w:tcW w:w="218" w:type="dxa"/>
            <w:gridSpan w:val="2"/>
            <w:tcBorders>
              <w:top w:val="nil"/>
              <w:left w:val="nil"/>
              <w:bottom w:val="nil"/>
              <w:right w:val="nil"/>
            </w:tcBorders>
            <w:shd w:val="clear" w:color="auto" w:fill="auto"/>
            <w:noWrap/>
            <w:vAlign w:val="bottom"/>
            <w:hideMark/>
          </w:tcPr>
          <w:p w14:paraId="100C5FE6"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9FCF7E"/>
            <w:noWrap/>
            <w:vAlign w:val="center"/>
            <w:hideMark/>
          </w:tcPr>
          <w:p w14:paraId="45C7A2A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-5,57</w:t>
            </w:r>
          </w:p>
        </w:tc>
        <w:tc>
          <w:tcPr>
            <w:tcW w:w="500" w:type="dxa"/>
            <w:tcBorders>
              <w:top w:val="nil"/>
              <w:left w:val="nil"/>
              <w:bottom w:val="nil"/>
              <w:right w:val="nil"/>
            </w:tcBorders>
            <w:shd w:val="clear" w:color="000000" w:fill="F3E783"/>
            <w:noWrap/>
            <w:vAlign w:val="center"/>
            <w:hideMark/>
          </w:tcPr>
          <w:p w14:paraId="16B74E3D"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500" w:type="dxa"/>
            <w:tcBorders>
              <w:top w:val="nil"/>
              <w:left w:val="nil"/>
              <w:bottom w:val="nil"/>
              <w:right w:val="nil"/>
            </w:tcBorders>
            <w:shd w:val="clear" w:color="000000" w:fill="FA8972"/>
            <w:noWrap/>
            <w:vAlign w:val="center"/>
            <w:hideMark/>
          </w:tcPr>
          <w:p w14:paraId="114139C7"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2,12</w:t>
            </w:r>
          </w:p>
        </w:tc>
        <w:tc>
          <w:tcPr>
            <w:tcW w:w="444" w:type="dxa"/>
            <w:gridSpan w:val="2"/>
            <w:tcBorders>
              <w:top w:val="nil"/>
              <w:left w:val="nil"/>
              <w:bottom w:val="nil"/>
              <w:right w:val="single" w:sz="8" w:space="0" w:color="auto"/>
            </w:tcBorders>
            <w:shd w:val="clear" w:color="000000" w:fill="FDB87B"/>
            <w:noWrap/>
            <w:vAlign w:val="center"/>
            <w:hideMark/>
          </w:tcPr>
          <w:p w14:paraId="0E5242F0"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3,845</w:t>
            </w:r>
          </w:p>
        </w:tc>
      </w:tr>
      <w:tr w:rsidR="00127BB8" w:rsidRPr="00601EFC" w14:paraId="31504C44" w14:textId="77777777">
        <w:trPr>
          <w:trHeight w:val="299"/>
        </w:trPr>
        <w:tc>
          <w:tcPr>
            <w:tcW w:w="305" w:type="dxa"/>
            <w:tcBorders>
              <w:top w:val="nil"/>
              <w:left w:val="single" w:sz="8" w:space="0" w:color="auto"/>
              <w:bottom w:val="single" w:sz="8" w:space="0" w:color="auto"/>
              <w:right w:val="nil"/>
            </w:tcBorders>
            <w:shd w:val="clear" w:color="auto" w:fill="FFC000"/>
            <w:noWrap/>
            <w:vAlign w:val="center"/>
            <w:hideMark/>
          </w:tcPr>
          <w:p w14:paraId="6FBE38A1"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single" w:sz="8" w:space="0" w:color="auto"/>
              <w:right w:val="nil"/>
            </w:tcBorders>
            <w:shd w:val="clear" w:color="000000" w:fill="F8696B"/>
            <w:noWrap/>
            <w:vAlign w:val="center"/>
            <w:hideMark/>
          </w:tcPr>
          <w:p w14:paraId="6F8F6F8C"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single" w:sz="8" w:space="0" w:color="auto"/>
              <w:right w:val="single" w:sz="8" w:space="0" w:color="auto"/>
            </w:tcBorders>
            <w:shd w:val="clear" w:color="000000" w:fill="F8696B"/>
            <w:noWrap/>
            <w:vAlign w:val="center"/>
            <w:hideMark/>
          </w:tcPr>
          <w:p w14:paraId="6CB73FD3"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4D186621" w14:textId="77777777" w:rsidR="00127BB8" w:rsidRPr="00601EFC" w:rsidRDefault="00127BB8">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single" w:sz="8" w:space="0" w:color="auto"/>
              <w:right w:val="nil"/>
            </w:tcBorders>
            <w:shd w:val="clear" w:color="000000" w:fill="79C47C"/>
            <w:noWrap/>
            <w:vAlign w:val="center"/>
            <w:hideMark/>
          </w:tcPr>
          <w:p w14:paraId="3C12F028"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-7,5</w:t>
            </w:r>
          </w:p>
        </w:tc>
        <w:tc>
          <w:tcPr>
            <w:tcW w:w="500" w:type="dxa"/>
            <w:tcBorders>
              <w:top w:val="nil"/>
              <w:left w:val="nil"/>
              <w:bottom w:val="single" w:sz="8" w:space="0" w:color="auto"/>
              <w:right w:val="nil"/>
            </w:tcBorders>
            <w:shd w:val="clear" w:color="000000" w:fill="ECE582"/>
            <w:noWrap/>
            <w:vAlign w:val="center"/>
            <w:hideMark/>
          </w:tcPr>
          <w:p w14:paraId="3D940526"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500" w:type="dxa"/>
            <w:tcBorders>
              <w:top w:val="nil"/>
              <w:left w:val="nil"/>
              <w:bottom w:val="single" w:sz="8" w:space="0" w:color="auto"/>
              <w:right w:val="nil"/>
            </w:tcBorders>
            <w:shd w:val="clear" w:color="000000" w:fill="F96C6C"/>
            <w:noWrap/>
            <w:vAlign w:val="center"/>
            <w:hideMark/>
          </w:tcPr>
          <w:p w14:paraId="72965BB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tcBorders>
              <w:top w:val="nil"/>
              <w:left w:val="nil"/>
              <w:bottom w:val="single" w:sz="8" w:space="0" w:color="auto"/>
              <w:right w:val="single" w:sz="8" w:space="0" w:color="auto"/>
            </w:tcBorders>
            <w:shd w:val="clear" w:color="000000" w:fill="F8696B"/>
            <w:noWrap/>
            <w:vAlign w:val="center"/>
            <w:hideMark/>
          </w:tcPr>
          <w:p w14:paraId="0D4A792B"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5,235</w:t>
            </w:r>
          </w:p>
        </w:tc>
        <w:tc>
          <w:tcPr>
            <w:tcW w:w="222" w:type="dxa"/>
            <w:tcBorders>
              <w:top w:val="nil"/>
              <w:left w:val="nil"/>
              <w:bottom w:val="nil"/>
              <w:right w:val="nil"/>
            </w:tcBorders>
            <w:shd w:val="clear" w:color="auto" w:fill="auto"/>
            <w:noWrap/>
            <w:vAlign w:val="bottom"/>
            <w:hideMark/>
          </w:tcPr>
          <w:p w14:paraId="7D1724E2"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FC67C"/>
            <w:noWrap/>
            <w:vAlign w:val="center"/>
            <w:hideMark/>
          </w:tcPr>
          <w:p w14:paraId="7BEEF021"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-7,22</w:t>
            </w:r>
          </w:p>
        </w:tc>
        <w:tc>
          <w:tcPr>
            <w:tcW w:w="500" w:type="dxa"/>
            <w:tcBorders>
              <w:top w:val="nil"/>
              <w:left w:val="nil"/>
              <w:bottom w:val="single" w:sz="8" w:space="0" w:color="auto"/>
              <w:right w:val="nil"/>
            </w:tcBorders>
            <w:shd w:val="clear" w:color="000000" w:fill="EEE683"/>
            <w:noWrap/>
            <w:vAlign w:val="center"/>
            <w:hideMark/>
          </w:tcPr>
          <w:p w14:paraId="187F0FE9"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-1,61</w:t>
            </w:r>
          </w:p>
        </w:tc>
        <w:tc>
          <w:tcPr>
            <w:tcW w:w="500" w:type="dxa"/>
            <w:tcBorders>
              <w:top w:val="nil"/>
              <w:left w:val="nil"/>
              <w:bottom w:val="single" w:sz="8" w:space="0" w:color="auto"/>
              <w:right w:val="nil"/>
            </w:tcBorders>
            <w:shd w:val="clear" w:color="000000" w:fill="F96B6C"/>
            <w:noWrap/>
            <w:vAlign w:val="center"/>
            <w:hideMark/>
          </w:tcPr>
          <w:p w14:paraId="5D92231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tcBorders>
              <w:top w:val="nil"/>
              <w:left w:val="nil"/>
              <w:bottom w:val="single" w:sz="8" w:space="0" w:color="auto"/>
              <w:right w:val="single" w:sz="8" w:space="0" w:color="auto"/>
            </w:tcBorders>
            <w:shd w:val="clear" w:color="000000" w:fill="F8696B"/>
            <w:noWrap/>
            <w:vAlign w:val="center"/>
            <w:hideMark/>
          </w:tcPr>
          <w:p w14:paraId="4A5984E5"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5,12</w:t>
            </w:r>
          </w:p>
        </w:tc>
        <w:tc>
          <w:tcPr>
            <w:tcW w:w="222" w:type="dxa"/>
            <w:tcBorders>
              <w:top w:val="nil"/>
              <w:left w:val="nil"/>
              <w:bottom w:val="nil"/>
              <w:right w:val="nil"/>
            </w:tcBorders>
            <w:shd w:val="clear" w:color="auto" w:fill="auto"/>
            <w:noWrap/>
            <w:vAlign w:val="bottom"/>
            <w:hideMark/>
          </w:tcPr>
          <w:p w14:paraId="674C26F9"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6C37C"/>
            <w:noWrap/>
            <w:vAlign w:val="center"/>
            <w:hideMark/>
          </w:tcPr>
          <w:p w14:paraId="6F7FF9D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-7,67</w:t>
            </w:r>
          </w:p>
        </w:tc>
        <w:tc>
          <w:tcPr>
            <w:tcW w:w="500" w:type="dxa"/>
            <w:tcBorders>
              <w:top w:val="nil"/>
              <w:left w:val="nil"/>
              <w:bottom w:val="single" w:sz="8" w:space="0" w:color="auto"/>
              <w:right w:val="nil"/>
            </w:tcBorders>
            <w:shd w:val="clear" w:color="000000" w:fill="EAE582"/>
            <w:noWrap/>
            <w:vAlign w:val="center"/>
            <w:hideMark/>
          </w:tcPr>
          <w:p w14:paraId="1BA1AA91"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-1,81</w:t>
            </w:r>
          </w:p>
        </w:tc>
        <w:tc>
          <w:tcPr>
            <w:tcW w:w="500" w:type="dxa"/>
            <w:tcBorders>
              <w:top w:val="nil"/>
              <w:left w:val="nil"/>
              <w:bottom w:val="single" w:sz="8" w:space="0" w:color="auto"/>
              <w:right w:val="nil"/>
            </w:tcBorders>
            <w:shd w:val="clear" w:color="000000" w:fill="F96C6C"/>
            <w:noWrap/>
            <w:vAlign w:val="center"/>
            <w:hideMark/>
          </w:tcPr>
          <w:p w14:paraId="24194C54"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7991E936"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5,32</w:t>
            </w:r>
          </w:p>
        </w:tc>
        <w:tc>
          <w:tcPr>
            <w:tcW w:w="218" w:type="dxa"/>
            <w:gridSpan w:val="2"/>
            <w:tcBorders>
              <w:top w:val="nil"/>
              <w:left w:val="nil"/>
              <w:bottom w:val="nil"/>
              <w:right w:val="nil"/>
            </w:tcBorders>
            <w:shd w:val="clear" w:color="auto" w:fill="auto"/>
            <w:noWrap/>
            <w:vAlign w:val="bottom"/>
            <w:hideMark/>
          </w:tcPr>
          <w:p w14:paraId="6DACAD62"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single" w:sz="8" w:space="0" w:color="auto"/>
              <w:right w:val="nil"/>
            </w:tcBorders>
            <w:shd w:val="clear" w:color="000000" w:fill="63BE7B"/>
            <w:noWrap/>
            <w:vAlign w:val="center"/>
            <w:hideMark/>
          </w:tcPr>
          <w:p w14:paraId="148470AE"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-8,64</w:t>
            </w:r>
          </w:p>
        </w:tc>
        <w:tc>
          <w:tcPr>
            <w:tcW w:w="500" w:type="dxa"/>
            <w:tcBorders>
              <w:top w:val="nil"/>
              <w:left w:val="nil"/>
              <w:bottom w:val="single" w:sz="8" w:space="0" w:color="auto"/>
              <w:right w:val="nil"/>
            </w:tcBorders>
            <w:shd w:val="clear" w:color="000000" w:fill="E5E382"/>
            <w:noWrap/>
            <w:vAlign w:val="center"/>
            <w:hideMark/>
          </w:tcPr>
          <w:p w14:paraId="37E3823A"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-2,04</w:t>
            </w:r>
          </w:p>
        </w:tc>
        <w:tc>
          <w:tcPr>
            <w:tcW w:w="500" w:type="dxa"/>
            <w:tcBorders>
              <w:top w:val="nil"/>
              <w:left w:val="nil"/>
              <w:bottom w:val="single" w:sz="8" w:space="0" w:color="auto"/>
              <w:right w:val="nil"/>
            </w:tcBorders>
            <w:shd w:val="clear" w:color="000000" w:fill="F9726D"/>
            <w:noWrap/>
            <w:vAlign w:val="center"/>
            <w:hideMark/>
          </w:tcPr>
          <w:p w14:paraId="2E07BBB2" w14:textId="77777777" w:rsidR="00127BB8" w:rsidRPr="00601EFC" w:rsidRDefault="00127BB8">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2,79</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79B86038" w14:textId="77777777" w:rsidR="00127BB8" w:rsidRPr="00601EFC" w:rsidRDefault="00127BB8">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5,715</w:t>
            </w:r>
          </w:p>
        </w:tc>
      </w:tr>
    </w:tbl>
    <w:p w14:paraId="708A935C" w14:textId="77777777" w:rsidR="00127BB8" w:rsidRPr="00601EFC" w:rsidRDefault="00127BB8" w:rsidP="00127BB8">
      <w:pPr>
        <w:spacing w:before="120" w:after="120"/>
        <w:rPr>
          <w:rFonts w:eastAsia="Yu Mincho" w:cs="Times New Roman"/>
          <w:kern w:val="2"/>
          <w:szCs w:val="18"/>
          <w:lang w:val="en-US"/>
          <w14:ligatures w14:val="standardContextual"/>
        </w:rPr>
      </w:pPr>
      <w:r w:rsidRPr="00601EFC">
        <w:rPr>
          <w:rFonts w:eastAsia="Yu Mincho" w:cs="Times New Roman"/>
          <w:kern w:val="2"/>
          <w:szCs w:val="18"/>
          <w:lang w:val="en-US"/>
          <w14:ligatures w14:val="standardContextual"/>
        </w:rPr>
        <w:t xml:space="preserve">The objective is to determine the number of distinct LP-SS based measurement samples that are spaced at equal interval within a period of 1.28s, to normalize the effect of channel fading. As the fading varies slowly in case of static UEs, it is evaluated over a period of 1.28s, which is several times greater than the coherence time of 3kmph UE speed. Thus, the estimated LP-RSRP is a true estimate of path loss, and thus normalizing the effect of fading channel. </w:t>
      </w:r>
      <w:r>
        <w:rPr>
          <w:rFonts w:eastAsia="Yu Mincho" w:cs="Times New Roman"/>
          <w:kern w:val="2"/>
          <w:szCs w:val="18"/>
          <w:lang w:val="en-US"/>
          <w14:ligatures w14:val="standardContextual"/>
        </w:rPr>
        <w:t xml:space="preserve">The following figure </w:t>
      </w:r>
      <w:r w:rsidRPr="00601EFC">
        <w:rPr>
          <w:rFonts w:eastAsia="Yu Mincho" w:cs="Times New Roman"/>
          <w:kern w:val="2"/>
          <w:szCs w:val="18"/>
          <w:lang w:val="en-US"/>
          <w14:ligatures w14:val="standardContextual"/>
        </w:rPr>
        <w:t xml:space="preserve">illustrates the LP-RSRP estimation error with ideal path loss. It can be seen that LR may need more than four measurements using LP-SS that are spread across 1.28s to obtain a reliable LP-RSRP estimate that characterizes the actual path loss. </w:t>
      </w:r>
    </w:p>
    <w:p w14:paraId="0F441547" w14:textId="77777777" w:rsidR="00127BB8" w:rsidRPr="00601EFC" w:rsidRDefault="00127BB8" w:rsidP="00127BB8">
      <w:pPr>
        <w:jc w:val="center"/>
        <w:rPr>
          <w:lang w:val="en-US"/>
        </w:rPr>
      </w:pPr>
      <w:r w:rsidRPr="00601EFC">
        <w:rPr>
          <w:noProof/>
          <w:lang w:val="en-US"/>
        </w:rPr>
        <w:drawing>
          <wp:inline distT="0" distB="0" distL="0" distR="0" wp14:anchorId="68545561" wp14:editId="7362F61B">
            <wp:extent cx="4390417" cy="3391090"/>
            <wp:effectExtent l="0" t="0" r="0" b="0"/>
            <wp:docPr id="56895265" name="Picture 2" descr="A group of graphs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95265" name="Picture 2" descr="A group of graphs with numbers and lines&#10;&#10;Description automatically generated with medium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437" t="4667" r="9095" b="5449"/>
                    <a:stretch/>
                  </pic:blipFill>
                  <pic:spPr bwMode="auto">
                    <a:xfrm>
                      <a:off x="0" y="0"/>
                      <a:ext cx="4441398" cy="3430467"/>
                    </a:xfrm>
                    <a:prstGeom prst="rect">
                      <a:avLst/>
                    </a:prstGeom>
                    <a:noFill/>
                    <a:ln>
                      <a:noFill/>
                    </a:ln>
                    <a:extLst>
                      <a:ext uri="{53640926-AAD7-44D8-BBD7-CCE9431645EC}">
                        <a14:shadowObscured xmlns:a14="http://schemas.microsoft.com/office/drawing/2010/main"/>
                      </a:ext>
                    </a:extLst>
                  </pic:spPr>
                </pic:pic>
              </a:graphicData>
            </a:graphic>
          </wp:inline>
        </w:drawing>
      </w:r>
    </w:p>
    <w:p w14:paraId="41F10B27" w14:textId="00C7CC37" w:rsidR="00127BB8" w:rsidRPr="00D14165" w:rsidRDefault="00127BB8" w:rsidP="00127BB8">
      <w:pPr>
        <w:jc w:val="center"/>
        <w:rPr>
          <w:b/>
          <w:bCs/>
          <w:lang w:val="en-US"/>
        </w:rPr>
      </w:pPr>
      <w:bookmarkStart w:id="12" w:name="_Ref162469866"/>
      <w:r w:rsidRPr="00D14165">
        <w:rPr>
          <w:b/>
          <w:bCs/>
          <w:lang w:val="en-US"/>
        </w:rPr>
        <w:t xml:space="preserve">Fig. </w:t>
      </w:r>
      <w:r w:rsidRPr="00D14165">
        <w:rPr>
          <w:b/>
          <w:bCs/>
          <w:lang w:val="en-US"/>
        </w:rPr>
        <w:fldChar w:fldCharType="begin"/>
      </w:r>
      <w:r w:rsidRPr="00D14165">
        <w:rPr>
          <w:b/>
          <w:bCs/>
          <w:lang w:val="en-US"/>
        </w:rPr>
        <w:instrText xml:space="preserve"> SEQ Fig. \* ARABIC </w:instrText>
      </w:r>
      <w:r w:rsidRPr="00D14165">
        <w:rPr>
          <w:b/>
          <w:bCs/>
          <w:lang w:val="en-US"/>
        </w:rPr>
        <w:fldChar w:fldCharType="separate"/>
      </w:r>
      <w:r w:rsidR="002A0A6E">
        <w:rPr>
          <w:b/>
          <w:bCs/>
          <w:noProof/>
          <w:lang w:val="en-US"/>
        </w:rPr>
        <w:t>1</w:t>
      </w:r>
      <w:r w:rsidRPr="00D14165">
        <w:rPr>
          <w:b/>
          <w:bCs/>
          <w:lang w:val="en-US"/>
        </w:rPr>
        <w:fldChar w:fldCharType="end"/>
      </w:r>
      <w:bookmarkEnd w:id="12"/>
      <w:r w:rsidRPr="00D14165">
        <w:rPr>
          <w:b/>
          <w:bCs/>
          <w:lang w:val="en-US"/>
        </w:rPr>
        <w:t xml:space="preserve"> LP-RSRP evaluation over 1.28s using X sample averages on LP-SS in TDL-C 300ns.</w:t>
      </w:r>
    </w:p>
    <w:p w14:paraId="5745A026" w14:textId="77777777" w:rsidR="00127BB8" w:rsidRPr="00601EFC" w:rsidRDefault="00127BB8" w:rsidP="00127BB8">
      <w:pPr>
        <w:spacing w:before="120" w:after="120"/>
        <w:rPr>
          <w:rFonts w:eastAsia="Times New Roman" w:cs="Times New Roman"/>
          <w:kern w:val="2"/>
          <w:szCs w:val="18"/>
          <w:lang w:eastAsia="zh-CN"/>
          <w14:ligatures w14:val="standardContextual"/>
        </w:rPr>
      </w:pPr>
      <w:r w:rsidRPr="00601EFC">
        <w:rPr>
          <w:rFonts w:eastAsia="Times New Roman" w:cs="Times New Roman"/>
          <w:kern w:val="2"/>
          <w:szCs w:val="18"/>
          <w:lang w:eastAsia="zh-CN"/>
          <w14:ligatures w14:val="standardContextual"/>
        </w:rPr>
        <w:t xml:space="preserve">The effect of OOK modulation order </w:t>
      </w:r>
      <m:oMath>
        <m:r>
          <w:rPr>
            <w:rFonts w:ascii="Cambria Math" w:eastAsia="Times New Roman" w:hAnsi="Cambria Math" w:cs="Times New Roman"/>
            <w:kern w:val="2"/>
            <w:szCs w:val="18"/>
            <w:lang w:eastAsia="zh-CN"/>
            <w14:ligatures w14:val="standardContextual"/>
          </w:rPr>
          <m:t>M</m:t>
        </m:r>
      </m:oMath>
      <w:r w:rsidRPr="00601EFC">
        <w:rPr>
          <w:rFonts w:eastAsia="Times New Roman" w:cs="Times New Roman"/>
          <w:kern w:val="2"/>
          <w:szCs w:val="18"/>
          <w:lang w:eastAsia="zh-CN"/>
          <w14:ligatures w14:val="standardContextual"/>
        </w:rPr>
        <w:t xml:space="preserve"> is not visible in the LP-RSRP estimation accuracy. Thus, using the above evaluations, we may need four measurements that are equally spaced between 1.28s to obtain a reliable LP-RSRP estimation that limits the error </w:t>
      </w:r>
      <m:oMath>
        <m:r>
          <w:rPr>
            <w:rFonts w:ascii="Cambria Math" w:eastAsia="Times New Roman" w:hAnsi="Cambria Math" w:cs="Times New Roman"/>
            <w:kern w:val="2"/>
            <w:szCs w:val="18"/>
            <w:lang w:eastAsia="zh-CN"/>
            <w14:ligatures w14:val="standardContextual"/>
          </w:rPr>
          <m:t>≤3dB</m:t>
        </m:r>
      </m:oMath>
      <w:r w:rsidRPr="00601EFC">
        <w:rPr>
          <w:rFonts w:eastAsia="Times New Roman" w:cs="Times New Roman"/>
          <w:kern w:val="2"/>
          <w:szCs w:val="18"/>
          <w:lang w:eastAsia="zh-CN"/>
          <w14:ligatures w14:val="standardContextual"/>
        </w:rPr>
        <w:t xml:space="preserve"> in fading conditions. </w:t>
      </w:r>
    </w:p>
    <w:p w14:paraId="251DA880" w14:textId="77777777" w:rsidR="00127BB8" w:rsidRPr="002F0F5F" w:rsidRDefault="00127BB8" w:rsidP="00127BB8">
      <w:pPr>
        <w:pStyle w:val="ObservationText"/>
        <w:spacing w:before="240" w:after="240"/>
      </w:pPr>
      <w:bookmarkStart w:id="13" w:name="_Toc163220679"/>
      <w:bookmarkStart w:id="14" w:name="_Toc163221396"/>
      <w:bookmarkStart w:id="15" w:name="_Toc166233342"/>
      <w:bookmarkStart w:id="16" w:name="_Toc166233543"/>
      <w:bookmarkStart w:id="17" w:name="_Toc166233896"/>
      <w:r w:rsidRPr="002F0F5F">
        <w:t xml:space="preserve">Depending on the operating SNR, a LP-RSRP presentative of the pathloss can be obtained using </w:t>
      </w:r>
      <m:oMath>
        <m:r>
          <w:rPr>
            <w:rFonts w:ascii="Cambria Math" w:hAnsi="Cambria Math"/>
          </w:rPr>
          <m:t>X ≥4</m:t>
        </m:r>
      </m:oMath>
      <w:r w:rsidRPr="002F0F5F">
        <w:t xml:space="preserve"> LP-SS samples that are spread over 1.28s at equal interval.</w:t>
      </w:r>
      <w:bookmarkEnd w:id="13"/>
      <w:bookmarkEnd w:id="14"/>
      <w:bookmarkEnd w:id="15"/>
      <w:bookmarkEnd w:id="16"/>
      <w:bookmarkEnd w:id="17"/>
    </w:p>
    <w:p w14:paraId="7DD5F00B" w14:textId="77777777" w:rsidR="00127BB8" w:rsidRPr="007D49A4" w:rsidRDefault="00127BB8" w:rsidP="00127BB8">
      <w:pPr>
        <w:pStyle w:val="ObservationText"/>
        <w:spacing w:before="240" w:after="240"/>
      </w:pPr>
      <w:bookmarkStart w:id="18" w:name="_Toc163124943"/>
      <w:bookmarkStart w:id="19" w:name="_Toc163125312"/>
      <w:bookmarkStart w:id="20" w:name="_Toc163220077"/>
      <w:bookmarkStart w:id="21" w:name="_Toc166234185"/>
      <w:r w:rsidRPr="002F0F5F">
        <w:t xml:space="preserve">A minimum of </w:t>
      </w:r>
      <m:oMath>
        <m:r>
          <m:rPr>
            <m:sty m:val="bi"/>
          </m:rPr>
          <w:rPr>
            <w:rFonts w:ascii="Cambria Math" w:hAnsi="Cambria Math"/>
          </w:rPr>
          <m:t>X</m:t>
        </m:r>
        <m:r>
          <w:rPr>
            <w:rFonts w:ascii="Cambria Math" w:hAnsi="Cambria Math"/>
          </w:rPr>
          <m:t>≥</m:t>
        </m:r>
        <m:r>
          <m:rPr>
            <m:sty m:val="bi"/>
          </m:rPr>
          <w:rPr>
            <w:rFonts w:ascii="Cambria Math" w:hAnsi="Cambria Math"/>
          </w:rPr>
          <m:t>4</m:t>
        </m:r>
      </m:oMath>
      <w:r w:rsidRPr="002F0F5F">
        <w:t xml:space="preserve"> LP-SS samples are required to estimate LP-RSRP reliably irrespective of the operating SNR.</w:t>
      </w:r>
      <w:r>
        <w:t xml:space="preserve"> </w:t>
      </w:r>
      <w:bookmarkEnd w:id="18"/>
      <w:bookmarkEnd w:id="19"/>
      <w:bookmarkEnd w:id="20"/>
      <w:bookmarkEnd w:id="21"/>
    </w:p>
    <w:p w14:paraId="1366C305" w14:textId="77777777" w:rsidR="00127BB8" w:rsidRDefault="00127BB8" w:rsidP="00127BB8">
      <w:pPr>
        <w:pStyle w:val="RAN4proposal"/>
        <w:rPr>
          <w:lang w:eastAsia="zh-CN"/>
        </w:rPr>
      </w:pPr>
      <w:bookmarkStart w:id="22" w:name="_Toc174088813"/>
      <w:bookmarkStart w:id="23" w:name="_Toc179211346"/>
      <w:r>
        <w:rPr>
          <w:lang w:eastAsia="zh-CN"/>
        </w:rPr>
        <w:lastRenderedPageBreak/>
        <w:t xml:space="preserve">Our simulations indicate that </w:t>
      </w:r>
      <m:oMath>
        <m:r>
          <m:rPr>
            <m:sty m:val="bi"/>
          </m:rPr>
          <w:rPr>
            <w:rFonts w:ascii="Cambria Math" w:hAnsi="Cambria Math"/>
          </w:rPr>
          <m:t>X</m:t>
        </m:r>
        <m:r>
          <m:rPr>
            <m:sty m:val="b"/>
          </m:rPr>
          <w:rPr>
            <w:rFonts w:ascii="Cambria Math" w:hAnsi="Cambria Math"/>
          </w:rPr>
          <m:t>≥4</m:t>
        </m:r>
      </m:oMath>
      <w:r w:rsidRPr="002F0F5F">
        <w:t xml:space="preserve"> LP-SS samples are required to estimate LP-RSRP reliably irrespective of the operating SNR</w:t>
      </w:r>
      <w:r>
        <w:t>.</w:t>
      </w:r>
      <w:bookmarkEnd w:id="22"/>
      <w:bookmarkEnd w:id="23"/>
      <w:r>
        <w:t xml:space="preserve"> </w:t>
      </w:r>
    </w:p>
    <w:p w14:paraId="7FE8D2AA" w14:textId="7054C3FD" w:rsidR="00AC2C43" w:rsidRDefault="00AC2C43">
      <w:pPr>
        <w:rPr>
          <w:rFonts w:ascii="Arial" w:eastAsia="SimSun" w:hAnsi="Arial" w:cs="Times New Roman"/>
          <w:sz w:val="36"/>
          <w:szCs w:val="20"/>
          <w:lang w:val="en-US"/>
        </w:rPr>
      </w:pPr>
    </w:p>
    <w:p w14:paraId="67B4A372" w14:textId="0FE5D9FF" w:rsidR="00381F95" w:rsidRPr="00614DD8" w:rsidRDefault="00AC2C43" w:rsidP="00AC2C43">
      <w:pPr>
        <w:pStyle w:val="RAN4H1"/>
        <w:rPr>
          <w:lang w:val="en-US"/>
        </w:rPr>
      </w:pPr>
      <w:r>
        <w:rPr>
          <w:lang w:val="en-US"/>
        </w:rPr>
        <w:t>Conclusion</w:t>
      </w:r>
    </w:p>
    <w:p w14:paraId="17EF4487"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E041D44" w14:textId="652F50AF" w:rsidR="0019011E"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11340" w:history="1">
        <w:r w:rsidR="0019011E" w:rsidRPr="00C86B60">
          <w:rPr>
            <w:rStyle w:val="Hyperlink"/>
            <w:noProof/>
            <w:lang w:val="en-US"/>
          </w:rPr>
          <w:t>Proposal 1: Use -3dB, 0.5dB, 2dB as simulation assumptions</w:t>
        </w:r>
      </w:hyperlink>
    </w:p>
    <w:p w14:paraId="6EE3859A" w14:textId="5ACB6C53" w:rsidR="0019011E" w:rsidRDefault="0019011E">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41" w:history="1">
        <w:r w:rsidRPr="00C86B60">
          <w:rPr>
            <w:rStyle w:val="Hyperlink"/>
            <w:noProof/>
            <w:lang w:val="en-US"/>
          </w:rPr>
          <w:t xml:space="preserve">Proposal 2: Update </w:t>
        </w:r>
        <w:r w:rsidRPr="00C86B60">
          <w:rPr>
            <w:rStyle w:val="Hyperlink"/>
            <w:rFonts w:eastAsia="Times New Roman" w:cs="Times New Roman"/>
            <w:noProof/>
            <w:lang w:eastAsia="en-GB"/>
          </w:rPr>
          <w:t>Frequency offset relative to UE frequency reference</w:t>
        </w:r>
        <w:r w:rsidRPr="00C86B60">
          <w:rPr>
            <w:rStyle w:val="Hyperlink"/>
            <w:noProof/>
            <w:lang w:val="en-US"/>
          </w:rPr>
          <w:t xml:space="preserve"> [5, 10] ppm</w:t>
        </w:r>
      </w:hyperlink>
    </w:p>
    <w:p w14:paraId="29896539" w14:textId="4529FF37" w:rsidR="0019011E" w:rsidRDefault="0019011E">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342" w:history="1">
        <w:r w:rsidRPr="00C86B60">
          <w:rPr>
            <w:rStyle w:val="Hyperlink"/>
            <w:b/>
            <w:noProof/>
            <w:lang w:val="en-US"/>
          </w:rPr>
          <w:t>Observation 1:</w:t>
        </w:r>
        <w:r w:rsidRPr="00C86B60">
          <w:rPr>
            <w:rStyle w:val="Hyperlink"/>
            <w:noProof/>
            <w:lang w:val="en-US"/>
          </w:rPr>
          <w:t xml:space="preserve"> M=4 and 30Khz is the RAN1 working assumption but also M=4 and 15KHz SCS is supported.</w:t>
        </w:r>
      </w:hyperlink>
    </w:p>
    <w:p w14:paraId="16FD145A" w14:textId="23989AAB" w:rsidR="0019011E" w:rsidRDefault="0019011E">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43" w:history="1">
        <w:r w:rsidRPr="00C86B60">
          <w:rPr>
            <w:rStyle w:val="Hyperlink"/>
            <w:noProof/>
            <w:lang w:val="en-US"/>
          </w:rPr>
          <w:t>Proposal 3: Assume 30KHz in simulations but companies are may bring 15KHz SCS results, in addition to 30KHz SCS if they wish to do so.</w:t>
        </w:r>
      </w:hyperlink>
    </w:p>
    <w:p w14:paraId="06026F9B" w14:textId="302613BB" w:rsidR="0019011E" w:rsidRDefault="0019011E">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344" w:history="1">
        <w:r w:rsidRPr="00C86B60">
          <w:rPr>
            <w:rStyle w:val="Hyperlink"/>
            <w:b/>
            <w:noProof/>
            <w:lang w:val="en-US"/>
          </w:rPr>
          <w:t>Observation 2:</w:t>
        </w:r>
        <w:r w:rsidRPr="00C86B60">
          <w:rPr>
            <w:rStyle w:val="Hyperlink"/>
            <w:noProof/>
            <w:lang w:val="en-US"/>
          </w:rPr>
          <w:t xml:space="preserve"> It is essential to define realistic accuracy requirements for LP-WUR to avoid network being required to configure conservative thresholds</w:t>
        </w:r>
      </w:hyperlink>
    </w:p>
    <w:p w14:paraId="2680358C" w14:textId="1F65BE7C" w:rsidR="0019011E" w:rsidRDefault="0019011E">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45" w:history="1">
        <w:r w:rsidRPr="00C86B60">
          <w:rPr>
            <w:rStyle w:val="Hyperlink"/>
            <w:noProof/>
          </w:rPr>
          <w:t>Proposal 4: Discuss / evaluate if 1Rx (10.1A.2.1.1-1) Redcap accuracy requirements can be used as baseline</w:t>
        </w:r>
      </w:hyperlink>
    </w:p>
    <w:p w14:paraId="1F930418" w14:textId="24330FDE" w:rsidR="0019011E" w:rsidRDefault="0019011E">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46" w:history="1">
        <w:r w:rsidRPr="00C86B60">
          <w:rPr>
            <w:rStyle w:val="Hyperlink"/>
            <w:noProof/>
            <w:lang w:eastAsia="zh-CN"/>
          </w:rPr>
          <w:t xml:space="preserve">Proposal 5: Our simulations indicate that </w:t>
        </w:r>
        <m:oMath>
          <m:r>
            <m:rPr>
              <m:sty m:val="bi"/>
            </m:rPr>
            <w:rPr>
              <w:rStyle w:val="Hyperlink"/>
              <w:rFonts w:ascii="Cambria Math" w:hAnsi="Cambria Math"/>
              <w:noProof/>
            </w:rPr>
            <m:t>X</m:t>
          </m:r>
          <m:r>
            <m:rPr>
              <m:sty m:val="b"/>
            </m:rPr>
            <w:rPr>
              <w:rStyle w:val="Hyperlink"/>
              <w:rFonts w:ascii="Cambria Math" w:hAnsi="Cambria Math"/>
              <w:noProof/>
            </w:rPr>
            <m:t>≥4</m:t>
          </m:r>
        </m:oMath>
        <w:r w:rsidRPr="00C86B60">
          <w:rPr>
            <w:rStyle w:val="Hyperlink"/>
            <w:noProof/>
          </w:rPr>
          <w:t xml:space="preserve"> LP-SS samples are required to estimate LP-RSRP reliably irrespective of the operating SNR.</w:t>
        </w:r>
      </w:hyperlink>
    </w:p>
    <w:p w14:paraId="021067E3" w14:textId="6610C417" w:rsidR="00E82B94" w:rsidRDefault="00A4355E" w:rsidP="00AC2C43">
      <w:pPr>
        <w:rPr>
          <w:lang w:val="en-US"/>
        </w:rPr>
      </w:pPr>
      <w:r w:rsidRPr="00614DD8">
        <w:rPr>
          <w:lang w:val="en-US"/>
        </w:rPr>
        <w:fldChar w:fldCharType="end"/>
      </w:r>
    </w:p>
    <w:p w14:paraId="12B0AB97"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42DAF" w14:textId="77777777" w:rsidR="009F1247" w:rsidRDefault="009F1247" w:rsidP="00001C9B">
      <w:pPr>
        <w:spacing w:after="0" w:line="240" w:lineRule="auto"/>
      </w:pPr>
      <w:r>
        <w:separator/>
      </w:r>
    </w:p>
  </w:endnote>
  <w:endnote w:type="continuationSeparator" w:id="0">
    <w:p w14:paraId="73478351" w14:textId="77777777" w:rsidR="009F1247" w:rsidRDefault="009F1247" w:rsidP="00001C9B">
      <w:pPr>
        <w:spacing w:after="0" w:line="240" w:lineRule="auto"/>
      </w:pPr>
      <w:r>
        <w:continuationSeparator/>
      </w:r>
    </w:p>
  </w:endnote>
  <w:endnote w:type="continuationNotice" w:id="1">
    <w:p w14:paraId="39B48B7A" w14:textId="77777777" w:rsidR="009F1247" w:rsidRDefault="009F1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0FD50" w14:textId="77777777" w:rsidR="009F1247" w:rsidRDefault="009F1247" w:rsidP="00001C9B">
      <w:pPr>
        <w:spacing w:after="0" w:line="240" w:lineRule="auto"/>
      </w:pPr>
      <w:r>
        <w:separator/>
      </w:r>
    </w:p>
  </w:footnote>
  <w:footnote w:type="continuationSeparator" w:id="0">
    <w:p w14:paraId="7300A934" w14:textId="77777777" w:rsidR="009F1247" w:rsidRDefault="009F1247" w:rsidP="00001C9B">
      <w:pPr>
        <w:spacing w:after="0" w:line="240" w:lineRule="auto"/>
      </w:pPr>
      <w:r>
        <w:continuationSeparator/>
      </w:r>
    </w:p>
  </w:footnote>
  <w:footnote w:type="continuationNotice" w:id="1">
    <w:p w14:paraId="64D0B412" w14:textId="77777777" w:rsidR="009F1247" w:rsidRDefault="009F12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A2108F"/>
    <w:multiLevelType w:val="hybridMultilevel"/>
    <w:tmpl w:val="FFAE492C"/>
    <w:lvl w:ilvl="0" w:tplc="87AEBA4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06CA8"/>
    <w:multiLevelType w:val="hybridMultilevel"/>
    <w:tmpl w:val="4B1030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E050C"/>
    <w:multiLevelType w:val="multilevel"/>
    <w:tmpl w:val="77A09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4E0281"/>
    <w:multiLevelType w:val="multilevel"/>
    <w:tmpl w:val="8B328F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2D68BB"/>
    <w:multiLevelType w:val="hybridMultilevel"/>
    <w:tmpl w:val="14F42234"/>
    <w:lvl w:ilvl="0" w:tplc="A0D224EE">
      <w:start w:val="1"/>
      <w:numFmt w:val="decimal"/>
      <w:pStyle w:val="ObservationText"/>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40E044D"/>
    <w:multiLevelType w:val="hybridMultilevel"/>
    <w:tmpl w:val="A7F85388"/>
    <w:lvl w:ilvl="0" w:tplc="40090001">
      <w:start w:val="1"/>
      <w:numFmt w:val="bullet"/>
      <w:lvlText w:val=""/>
      <w:lvlJc w:val="left"/>
      <w:pPr>
        <w:ind w:left="720" w:hanging="360"/>
      </w:pPr>
      <w:rPr>
        <w:rFonts w:ascii="Symbol" w:hAnsi="Symbol" w:hint="default"/>
      </w:rPr>
    </w:lvl>
    <w:lvl w:ilvl="1" w:tplc="0DE43D54">
      <w:numFmt w:val="bullet"/>
      <w:lvlText w:val="-"/>
      <w:lvlJc w:val="left"/>
      <w:pPr>
        <w:ind w:left="1440" w:hanging="360"/>
      </w:pPr>
      <w:rPr>
        <w:rFonts w:ascii="Times New Roman" w:eastAsiaTheme="minorHAnsi" w:hAnsi="Times New Roman" w:cs="Times New Roman"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60A40"/>
    <w:multiLevelType w:val="hybridMultilevel"/>
    <w:tmpl w:val="FB8CE866"/>
    <w:lvl w:ilvl="0" w:tplc="25D82EC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C5367E"/>
    <w:multiLevelType w:val="hybridMultilevel"/>
    <w:tmpl w:val="A20AF5F2"/>
    <w:lvl w:ilvl="0" w:tplc="40090001">
      <w:start w:val="1"/>
      <w:numFmt w:val="bullet"/>
      <w:lvlText w:val=""/>
      <w:lvlJc w:val="left"/>
      <w:pPr>
        <w:ind w:left="720" w:hanging="360"/>
      </w:pPr>
      <w:rPr>
        <w:rFonts w:ascii="Symbol" w:hAnsi="Symbol" w:hint="default"/>
      </w:rPr>
    </w:lvl>
    <w:lvl w:ilvl="1" w:tplc="04F43F96">
      <w:numFmt w:val="bullet"/>
      <w:lvlText w:val="•"/>
      <w:lvlJc w:val="left"/>
      <w:pPr>
        <w:ind w:left="1800" w:hanging="720"/>
      </w:pPr>
      <w:rPr>
        <w:rFonts w:ascii="Times New Roman" w:eastAsiaTheme="minorHAnsi"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9B5192"/>
    <w:multiLevelType w:val="multilevel"/>
    <w:tmpl w:val="2C12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7"/>
  </w:num>
  <w:num w:numId="3" w16cid:durableId="1792749823">
    <w:abstractNumId w:val="15"/>
  </w:num>
  <w:num w:numId="4" w16cid:durableId="517735681">
    <w:abstractNumId w:val="5"/>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93182411">
    <w:abstractNumId w:val="8"/>
  </w:num>
  <w:num w:numId="28" w16cid:durableId="604312925">
    <w:abstractNumId w:val="23"/>
  </w:num>
  <w:num w:numId="29" w16cid:durableId="816915370">
    <w:abstractNumId w:val="21"/>
  </w:num>
  <w:num w:numId="30" w16cid:durableId="2066291370">
    <w:abstractNumId w:val="6"/>
  </w:num>
  <w:num w:numId="31" w16cid:durableId="245579668">
    <w:abstractNumId w:val="11"/>
  </w:num>
  <w:num w:numId="32" w16cid:durableId="323705346">
    <w:abstractNumId w:val="3"/>
  </w:num>
  <w:num w:numId="33" w16cid:durableId="1787232415">
    <w:abstractNumId w:val="17"/>
  </w:num>
  <w:num w:numId="34" w16cid:durableId="435100168">
    <w:abstractNumId w:val="9"/>
  </w:num>
  <w:num w:numId="35" w16cid:durableId="1239287405">
    <w:abstractNumId w:val="10"/>
  </w:num>
  <w:num w:numId="36" w16cid:durableId="15370862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308D"/>
    <w:rsid w:val="00001C9B"/>
    <w:rsid w:val="000040DC"/>
    <w:rsid w:val="00010B09"/>
    <w:rsid w:val="00010CA2"/>
    <w:rsid w:val="00011784"/>
    <w:rsid w:val="000151EF"/>
    <w:rsid w:val="000239F5"/>
    <w:rsid w:val="00031343"/>
    <w:rsid w:val="000432E6"/>
    <w:rsid w:val="00060F13"/>
    <w:rsid w:val="00072CCA"/>
    <w:rsid w:val="000755EB"/>
    <w:rsid w:val="0008612A"/>
    <w:rsid w:val="00090E18"/>
    <w:rsid w:val="0009257F"/>
    <w:rsid w:val="000A10BC"/>
    <w:rsid w:val="000A1ACA"/>
    <w:rsid w:val="000A7558"/>
    <w:rsid w:val="000A7F53"/>
    <w:rsid w:val="000B0056"/>
    <w:rsid w:val="000C3C7B"/>
    <w:rsid w:val="000C71B1"/>
    <w:rsid w:val="000D0F93"/>
    <w:rsid w:val="000E16DA"/>
    <w:rsid w:val="00106416"/>
    <w:rsid w:val="00110481"/>
    <w:rsid w:val="00110881"/>
    <w:rsid w:val="001127C9"/>
    <w:rsid w:val="00114498"/>
    <w:rsid w:val="00115B88"/>
    <w:rsid w:val="00122717"/>
    <w:rsid w:val="00127BB8"/>
    <w:rsid w:val="00132F6A"/>
    <w:rsid w:val="00133913"/>
    <w:rsid w:val="00140221"/>
    <w:rsid w:val="001642FC"/>
    <w:rsid w:val="0016496B"/>
    <w:rsid w:val="001743E2"/>
    <w:rsid w:val="001745F8"/>
    <w:rsid w:val="001838CF"/>
    <w:rsid w:val="001868EE"/>
    <w:rsid w:val="0019011E"/>
    <w:rsid w:val="00192B91"/>
    <w:rsid w:val="001A3BA4"/>
    <w:rsid w:val="001A6D1F"/>
    <w:rsid w:val="001B1EA8"/>
    <w:rsid w:val="001B6E6E"/>
    <w:rsid w:val="001D4A8C"/>
    <w:rsid w:val="001E30F6"/>
    <w:rsid w:val="001F199C"/>
    <w:rsid w:val="001F2300"/>
    <w:rsid w:val="00217EE5"/>
    <w:rsid w:val="00235F5C"/>
    <w:rsid w:val="002369E1"/>
    <w:rsid w:val="00247894"/>
    <w:rsid w:val="00257FA3"/>
    <w:rsid w:val="00277B56"/>
    <w:rsid w:val="00282A74"/>
    <w:rsid w:val="002849D4"/>
    <w:rsid w:val="002A0A6E"/>
    <w:rsid w:val="002A19F5"/>
    <w:rsid w:val="002B4922"/>
    <w:rsid w:val="002B69F3"/>
    <w:rsid w:val="002B7956"/>
    <w:rsid w:val="002C22C3"/>
    <w:rsid w:val="002C2D19"/>
    <w:rsid w:val="002C45D7"/>
    <w:rsid w:val="002D10FA"/>
    <w:rsid w:val="002D4C55"/>
    <w:rsid w:val="002E58E2"/>
    <w:rsid w:val="002E6DED"/>
    <w:rsid w:val="00300956"/>
    <w:rsid w:val="00310ACA"/>
    <w:rsid w:val="00310FA8"/>
    <w:rsid w:val="00317187"/>
    <w:rsid w:val="0032499A"/>
    <w:rsid w:val="003341F7"/>
    <w:rsid w:val="00345A0F"/>
    <w:rsid w:val="00347FEC"/>
    <w:rsid w:val="003509DF"/>
    <w:rsid w:val="00356F45"/>
    <w:rsid w:val="00366B74"/>
    <w:rsid w:val="003774C0"/>
    <w:rsid w:val="00381F95"/>
    <w:rsid w:val="003865BA"/>
    <w:rsid w:val="0039138F"/>
    <w:rsid w:val="00395D1C"/>
    <w:rsid w:val="003A710A"/>
    <w:rsid w:val="003B659E"/>
    <w:rsid w:val="003C275E"/>
    <w:rsid w:val="003C4FDE"/>
    <w:rsid w:val="003E58DF"/>
    <w:rsid w:val="003F19B4"/>
    <w:rsid w:val="003F778F"/>
    <w:rsid w:val="00404C4C"/>
    <w:rsid w:val="0041423F"/>
    <w:rsid w:val="00414F81"/>
    <w:rsid w:val="00426C84"/>
    <w:rsid w:val="00436A0F"/>
    <w:rsid w:val="00437150"/>
    <w:rsid w:val="0043750A"/>
    <w:rsid w:val="00447577"/>
    <w:rsid w:val="004551AF"/>
    <w:rsid w:val="00471A99"/>
    <w:rsid w:val="004732E9"/>
    <w:rsid w:val="00481A55"/>
    <w:rsid w:val="004854BB"/>
    <w:rsid w:val="00491A87"/>
    <w:rsid w:val="00494493"/>
    <w:rsid w:val="00496606"/>
    <w:rsid w:val="004A25DE"/>
    <w:rsid w:val="004A5B1B"/>
    <w:rsid w:val="004B02FF"/>
    <w:rsid w:val="004B46BE"/>
    <w:rsid w:val="004B53CB"/>
    <w:rsid w:val="004D2A40"/>
    <w:rsid w:val="004D6E6F"/>
    <w:rsid w:val="004E1607"/>
    <w:rsid w:val="004E5E66"/>
    <w:rsid w:val="004E7ADB"/>
    <w:rsid w:val="004F0753"/>
    <w:rsid w:val="00501386"/>
    <w:rsid w:val="00503B4D"/>
    <w:rsid w:val="00504EE9"/>
    <w:rsid w:val="00510BDE"/>
    <w:rsid w:val="00514E4F"/>
    <w:rsid w:val="00521576"/>
    <w:rsid w:val="005250E6"/>
    <w:rsid w:val="00530CAD"/>
    <w:rsid w:val="0053446A"/>
    <w:rsid w:val="00542D23"/>
    <w:rsid w:val="0054442C"/>
    <w:rsid w:val="00550285"/>
    <w:rsid w:val="005516EA"/>
    <w:rsid w:val="005545C7"/>
    <w:rsid w:val="00562492"/>
    <w:rsid w:val="00566575"/>
    <w:rsid w:val="00572A20"/>
    <w:rsid w:val="00581618"/>
    <w:rsid w:val="005836F8"/>
    <w:rsid w:val="0059157F"/>
    <w:rsid w:val="005918FA"/>
    <w:rsid w:val="00592A86"/>
    <w:rsid w:val="005B2768"/>
    <w:rsid w:val="005B3029"/>
    <w:rsid w:val="005B4801"/>
    <w:rsid w:val="005C06CD"/>
    <w:rsid w:val="005C23A4"/>
    <w:rsid w:val="005D1A74"/>
    <w:rsid w:val="005D1CDF"/>
    <w:rsid w:val="005D2BB7"/>
    <w:rsid w:val="005D6FFE"/>
    <w:rsid w:val="005E1F73"/>
    <w:rsid w:val="005E368F"/>
    <w:rsid w:val="005E61A8"/>
    <w:rsid w:val="005F585C"/>
    <w:rsid w:val="005F6419"/>
    <w:rsid w:val="00601763"/>
    <w:rsid w:val="0060301D"/>
    <w:rsid w:val="0060543D"/>
    <w:rsid w:val="006104DD"/>
    <w:rsid w:val="006130B5"/>
    <w:rsid w:val="00614DD8"/>
    <w:rsid w:val="00617400"/>
    <w:rsid w:val="00631FAB"/>
    <w:rsid w:val="00632D29"/>
    <w:rsid w:val="00664950"/>
    <w:rsid w:val="00683220"/>
    <w:rsid w:val="006840E7"/>
    <w:rsid w:val="0068741C"/>
    <w:rsid w:val="00687FA0"/>
    <w:rsid w:val="006A3C11"/>
    <w:rsid w:val="006B48B9"/>
    <w:rsid w:val="006B7010"/>
    <w:rsid w:val="006C3095"/>
    <w:rsid w:val="006C6095"/>
    <w:rsid w:val="006D1AA6"/>
    <w:rsid w:val="006E1151"/>
    <w:rsid w:val="006E2D5F"/>
    <w:rsid w:val="006E4BEC"/>
    <w:rsid w:val="006E6311"/>
    <w:rsid w:val="00700C9C"/>
    <w:rsid w:val="007049E7"/>
    <w:rsid w:val="007145FF"/>
    <w:rsid w:val="00715B2A"/>
    <w:rsid w:val="00720BE7"/>
    <w:rsid w:val="00733B21"/>
    <w:rsid w:val="00736F3E"/>
    <w:rsid w:val="007450F1"/>
    <w:rsid w:val="0074554D"/>
    <w:rsid w:val="00745B1C"/>
    <w:rsid w:val="00751515"/>
    <w:rsid w:val="007626B7"/>
    <w:rsid w:val="0077487A"/>
    <w:rsid w:val="0078212B"/>
    <w:rsid w:val="007837F3"/>
    <w:rsid w:val="00784DF6"/>
    <w:rsid w:val="00785232"/>
    <w:rsid w:val="007A2588"/>
    <w:rsid w:val="007B186C"/>
    <w:rsid w:val="007C1696"/>
    <w:rsid w:val="007C3ED0"/>
    <w:rsid w:val="007C48C4"/>
    <w:rsid w:val="007C5971"/>
    <w:rsid w:val="007C6604"/>
    <w:rsid w:val="007D37FB"/>
    <w:rsid w:val="007E42DC"/>
    <w:rsid w:val="007F54B9"/>
    <w:rsid w:val="00806A76"/>
    <w:rsid w:val="00810779"/>
    <w:rsid w:val="00811C9D"/>
    <w:rsid w:val="00816C80"/>
    <w:rsid w:val="0081797B"/>
    <w:rsid w:val="0082796A"/>
    <w:rsid w:val="0083707A"/>
    <w:rsid w:val="00841BCD"/>
    <w:rsid w:val="00847264"/>
    <w:rsid w:val="00851A8E"/>
    <w:rsid w:val="0085365B"/>
    <w:rsid w:val="00873FCF"/>
    <w:rsid w:val="008826C1"/>
    <w:rsid w:val="00883D04"/>
    <w:rsid w:val="00883DFD"/>
    <w:rsid w:val="00883EFD"/>
    <w:rsid w:val="008902D0"/>
    <w:rsid w:val="0089210C"/>
    <w:rsid w:val="00893D2E"/>
    <w:rsid w:val="008A1BF7"/>
    <w:rsid w:val="008A3145"/>
    <w:rsid w:val="008A5B0E"/>
    <w:rsid w:val="008A6788"/>
    <w:rsid w:val="008B0961"/>
    <w:rsid w:val="008C39F7"/>
    <w:rsid w:val="0090091A"/>
    <w:rsid w:val="0090373B"/>
    <w:rsid w:val="009042BD"/>
    <w:rsid w:val="00904CA9"/>
    <w:rsid w:val="00904FE4"/>
    <w:rsid w:val="00907E7D"/>
    <w:rsid w:val="00910A6D"/>
    <w:rsid w:val="00917B8A"/>
    <w:rsid w:val="00927740"/>
    <w:rsid w:val="00934651"/>
    <w:rsid w:val="00936159"/>
    <w:rsid w:val="00977E1D"/>
    <w:rsid w:val="00981FCE"/>
    <w:rsid w:val="00992FBF"/>
    <w:rsid w:val="009A5F87"/>
    <w:rsid w:val="009B0573"/>
    <w:rsid w:val="009B7B4B"/>
    <w:rsid w:val="009B7C21"/>
    <w:rsid w:val="009D5788"/>
    <w:rsid w:val="009D7594"/>
    <w:rsid w:val="009E2ED5"/>
    <w:rsid w:val="009E4E6E"/>
    <w:rsid w:val="009F1247"/>
    <w:rsid w:val="009F5787"/>
    <w:rsid w:val="00A04992"/>
    <w:rsid w:val="00A147AA"/>
    <w:rsid w:val="00A21D71"/>
    <w:rsid w:val="00A22B78"/>
    <w:rsid w:val="00A246F7"/>
    <w:rsid w:val="00A25AE5"/>
    <w:rsid w:val="00A26442"/>
    <w:rsid w:val="00A31622"/>
    <w:rsid w:val="00A35BE5"/>
    <w:rsid w:val="00A37002"/>
    <w:rsid w:val="00A4355E"/>
    <w:rsid w:val="00A520D9"/>
    <w:rsid w:val="00A521D9"/>
    <w:rsid w:val="00A52896"/>
    <w:rsid w:val="00A64DA0"/>
    <w:rsid w:val="00A71E42"/>
    <w:rsid w:val="00A7798B"/>
    <w:rsid w:val="00A92BCD"/>
    <w:rsid w:val="00A93FFF"/>
    <w:rsid w:val="00AA1B0E"/>
    <w:rsid w:val="00AA47B6"/>
    <w:rsid w:val="00AB168D"/>
    <w:rsid w:val="00AB68F1"/>
    <w:rsid w:val="00AC163B"/>
    <w:rsid w:val="00AC2C43"/>
    <w:rsid w:val="00AC5CA7"/>
    <w:rsid w:val="00AC6058"/>
    <w:rsid w:val="00AE2BA5"/>
    <w:rsid w:val="00AE56B1"/>
    <w:rsid w:val="00AE6D09"/>
    <w:rsid w:val="00AF7A7C"/>
    <w:rsid w:val="00B02070"/>
    <w:rsid w:val="00B11A3B"/>
    <w:rsid w:val="00B1509B"/>
    <w:rsid w:val="00B408B6"/>
    <w:rsid w:val="00B525B3"/>
    <w:rsid w:val="00B542DA"/>
    <w:rsid w:val="00B66B7D"/>
    <w:rsid w:val="00B73862"/>
    <w:rsid w:val="00B73F43"/>
    <w:rsid w:val="00B75BBF"/>
    <w:rsid w:val="00B776C3"/>
    <w:rsid w:val="00B81CDC"/>
    <w:rsid w:val="00B87918"/>
    <w:rsid w:val="00B909C7"/>
    <w:rsid w:val="00BA308C"/>
    <w:rsid w:val="00BA6B66"/>
    <w:rsid w:val="00BA6E48"/>
    <w:rsid w:val="00BB5AEA"/>
    <w:rsid w:val="00BB69D5"/>
    <w:rsid w:val="00BE0AF6"/>
    <w:rsid w:val="00BE1F03"/>
    <w:rsid w:val="00BE58A7"/>
    <w:rsid w:val="00BF2218"/>
    <w:rsid w:val="00C0426B"/>
    <w:rsid w:val="00C045DF"/>
    <w:rsid w:val="00C06126"/>
    <w:rsid w:val="00C26D43"/>
    <w:rsid w:val="00C35173"/>
    <w:rsid w:val="00C44AA1"/>
    <w:rsid w:val="00C46548"/>
    <w:rsid w:val="00C574D5"/>
    <w:rsid w:val="00C6186C"/>
    <w:rsid w:val="00C61D12"/>
    <w:rsid w:val="00C73F32"/>
    <w:rsid w:val="00C87462"/>
    <w:rsid w:val="00CA180C"/>
    <w:rsid w:val="00CA49EC"/>
    <w:rsid w:val="00CB22B2"/>
    <w:rsid w:val="00CB2D6B"/>
    <w:rsid w:val="00CB45C3"/>
    <w:rsid w:val="00CC3EE2"/>
    <w:rsid w:val="00CC4881"/>
    <w:rsid w:val="00CD1AE4"/>
    <w:rsid w:val="00CD7492"/>
    <w:rsid w:val="00CE308D"/>
    <w:rsid w:val="00CE3A6B"/>
    <w:rsid w:val="00CF415A"/>
    <w:rsid w:val="00CF7EF1"/>
    <w:rsid w:val="00D00211"/>
    <w:rsid w:val="00D006D1"/>
    <w:rsid w:val="00D025AE"/>
    <w:rsid w:val="00D06309"/>
    <w:rsid w:val="00D175E3"/>
    <w:rsid w:val="00D33995"/>
    <w:rsid w:val="00D351EA"/>
    <w:rsid w:val="00D35C01"/>
    <w:rsid w:val="00D40288"/>
    <w:rsid w:val="00D43403"/>
    <w:rsid w:val="00D4376A"/>
    <w:rsid w:val="00D50A6B"/>
    <w:rsid w:val="00D5270B"/>
    <w:rsid w:val="00D62E71"/>
    <w:rsid w:val="00D6430D"/>
    <w:rsid w:val="00D66188"/>
    <w:rsid w:val="00D71384"/>
    <w:rsid w:val="00D731F6"/>
    <w:rsid w:val="00D740CA"/>
    <w:rsid w:val="00D85728"/>
    <w:rsid w:val="00D93362"/>
    <w:rsid w:val="00D95481"/>
    <w:rsid w:val="00DC7A13"/>
    <w:rsid w:val="00DE6AB5"/>
    <w:rsid w:val="00DE7064"/>
    <w:rsid w:val="00DF2997"/>
    <w:rsid w:val="00E10BC4"/>
    <w:rsid w:val="00E1415D"/>
    <w:rsid w:val="00E213BD"/>
    <w:rsid w:val="00E26EC4"/>
    <w:rsid w:val="00E31B3F"/>
    <w:rsid w:val="00E323E9"/>
    <w:rsid w:val="00E32FB6"/>
    <w:rsid w:val="00E333CC"/>
    <w:rsid w:val="00E34018"/>
    <w:rsid w:val="00E437D2"/>
    <w:rsid w:val="00E43BF9"/>
    <w:rsid w:val="00E467B3"/>
    <w:rsid w:val="00E47BC6"/>
    <w:rsid w:val="00E5072D"/>
    <w:rsid w:val="00E51930"/>
    <w:rsid w:val="00E55751"/>
    <w:rsid w:val="00E607B2"/>
    <w:rsid w:val="00E7398E"/>
    <w:rsid w:val="00E82B94"/>
    <w:rsid w:val="00E97691"/>
    <w:rsid w:val="00EA2311"/>
    <w:rsid w:val="00EA6AF4"/>
    <w:rsid w:val="00EB6B3C"/>
    <w:rsid w:val="00EC7BC3"/>
    <w:rsid w:val="00ED1BCE"/>
    <w:rsid w:val="00ED7600"/>
    <w:rsid w:val="00ED7759"/>
    <w:rsid w:val="00EE0C82"/>
    <w:rsid w:val="00EF6073"/>
    <w:rsid w:val="00EF698B"/>
    <w:rsid w:val="00F1362C"/>
    <w:rsid w:val="00F31275"/>
    <w:rsid w:val="00F414F1"/>
    <w:rsid w:val="00F508B8"/>
    <w:rsid w:val="00F515E2"/>
    <w:rsid w:val="00F6719B"/>
    <w:rsid w:val="00F72CB1"/>
    <w:rsid w:val="00F8215E"/>
    <w:rsid w:val="00F824F5"/>
    <w:rsid w:val="00F861E5"/>
    <w:rsid w:val="00F87AFF"/>
    <w:rsid w:val="00F90B7F"/>
    <w:rsid w:val="00F90FAB"/>
    <w:rsid w:val="00F91B35"/>
    <w:rsid w:val="00F9374D"/>
    <w:rsid w:val="00FB308C"/>
    <w:rsid w:val="00FB6924"/>
    <w:rsid w:val="00FC0559"/>
    <w:rsid w:val="00FC29B9"/>
    <w:rsid w:val="00FC6FD3"/>
    <w:rsid w:val="00FD307C"/>
    <w:rsid w:val="00FE305C"/>
    <w:rsid w:val="00FE338F"/>
    <w:rsid w:val="00FF0301"/>
    <w:rsid w:val="00FF29C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35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C66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04"/>
    <w:rPr>
      <w:rFonts w:ascii="Times New Roman" w:hAnsi="Times New Roman"/>
      <w:sz w:val="20"/>
      <w:lang w:val="en-GB"/>
    </w:rPr>
  </w:style>
  <w:style w:type="paragraph" w:styleId="Footer">
    <w:name w:val="footer"/>
    <w:basedOn w:val="Normal"/>
    <w:link w:val="FooterChar"/>
    <w:uiPriority w:val="99"/>
    <w:unhideWhenUsed/>
    <w:rsid w:val="007C66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04"/>
    <w:rPr>
      <w:rFonts w:ascii="Times New Roman" w:hAnsi="Times New Roman"/>
      <w:sz w:val="20"/>
      <w:lang w:val="en-GB"/>
    </w:rPr>
  </w:style>
  <w:style w:type="character" w:styleId="Mention">
    <w:name w:val="Mention"/>
    <w:basedOn w:val="DefaultParagraphFont"/>
    <w:uiPriority w:val="99"/>
    <w:unhideWhenUsed/>
    <w:rsid w:val="003865BA"/>
    <w:rPr>
      <w:color w:val="2B579A"/>
      <w:shd w:val="clear" w:color="auto" w:fill="E1DFDD"/>
    </w:rPr>
  </w:style>
  <w:style w:type="paragraph" w:customStyle="1" w:styleId="ObservationText">
    <w:name w:val="Observation Text"/>
    <w:basedOn w:val="Caption"/>
    <w:next w:val="Normal"/>
    <w:link w:val="ObservationTextChar"/>
    <w:qFormat/>
    <w:rsid w:val="00127BB8"/>
    <w:pPr>
      <w:numPr>
        <w:numId w:val="35"/>
      </w:numPr>
      <w:spacing w:beforeLines="100" w:before="100" w:afterLines="100" w:after="100" w:line="259" w:lineRule="auto"/>
      <w:ind w:left="1418" w:hanging="1418"/>
      <w:jc w:val="left"/>
    </w:pPr>
    <w:rPr>
      <w:rFonts w:ascii="Times New Roman" w:eastAsia="Times New Roman" w:hAnsi="Times New Roman" w:cs="Times New Roman"/>
      <w:kern w:val="2"/>
      <w:sz w:val="20"/>
      <w:lang w:val="en-US"/>
      <w14:ligatures w14:val="standardContextual"/>
    </w:rPr>
  </w:style>
  <w:style w:type="character" w:customStyle="1" w:styleId="ObservationTextChar">
    <w:name w:val="Observation Text Char"/>
    <w:basedOn w:val="DefaultParagraphFont"/>
    <w:link w:val="ObservationText"/>
    <w:rsid w:val="00127BB8"/>
    <w:rPr>
      <w:rFonts w:ascii="Times New Roman" w:eastAsia="Times New Roman" w:hAnsi="Times New Roman" w:cs="Times New Roman"/>
      <w:i/>
      <w:iCs/>
      <w:kern w:val="2"/>
      <w:sz w:val="20"/>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475206">
      <w:bodyDiv w:val="1"/>
      <w:marLeft w:val="0"/>
      <w:marRight w:val="0"/>
      <w:marTop w:val="0"/>
      <w:marBottom w:val="0"/>
      <w:divBdr>
        <w:top w:val="none" w:sz="0" w:space="0" w:color="auto"/>
        <w:left w:val="none" w:sz="0" w:space="0" w:color="auto"/>
        <w:bottom w:val="none" w:sz="0" w:space="0" w:color="auto"/>
        <w:right w:val="none" w:sz="0" w:space="0" w:color="auto"/>
      </w:divBdr>
    </w:div>
    <w:div w:id="452096985">
      <w:bodyDiv w:val="1"/>
      <w:marLeft w:val="0"/>
      <w:marRight w:val="0"/>
      <w:marTop w:val="0"/>
      <w:marBottom w:val="0"/>
      <w:divBdr>
        <w:top w:val="none" w:sz="0" w:space="0" w:color="auto"/>
        <w:left w:val="none" w:sz="0" w:space="0" w:color="auto"/>
        <w:bottom w:val="none" w:sz="0" w:space="0" w:color="auto"/>
        <w:right w:val="none" w:sz="0" w:space="0" w:color="auto"/>
      </w:divBdr>
    </w:div>
    <w:div w:id="609817135">
      <w:bodyDiv w:val="1"/>
      <w:marLeft w:val="0"/>
      <w:marRight w:val="0"/>
      <w:marTop w:val="0"/>
      <w:marBottom w:val="0"/>
      <w:divBdr>
        <w:top w:val="none" w:sz="0" w:space="0" w:color="auto"/>
        <w:left w:val="none" w:sz="0" w:space="0" w:color="auto"/>
        <w:bottom w:val="none" w:sz="0" w:space="0" w:color="auto"/>
        <w:right w:val="none" w:sz="0" w:space="0" w:color="auto"/>
      </w:divBdr>
      <w:divsChild>
        <w:div w:id="832070627">
          <w:marLeft w:val="0"/>
          <w:marRight w:val="0"/>
          <w:marTop w:val="0"/>
          <w:marBottom w:val="0"/>
          <w:divBdr>
            <w:top w:val="none" w:sz="0" w:space="0" w:color="auto"/>
            <w:left w:val="none" w:sz="0" w:space="0" w:color="auto"/>
            <w:bottom w:val="none" w:sz="0" w:space="0" w:color="auto"/>
            <w:right w:val="none" w:sz="0" w:space="0" w:color="auto"/>
          </w:divBdr>
        </w:div>
      </w:divsChild>
    </w:div>
    <w:div w:id="673336956">
      <w:bodyDiv w:val="1"/>
      <w:marLeft w:val="0"/>
      <w:marRight w:val="0"/>
      <w:marTop w:val="0"/>
      <w:marBottom w:val="0"/>
      <w:divBdr>
        <w:top w:val="none" w:sz="0" w:space="0" w:color="auto"/>
        <w:left w:val="none" w:sz="0" w:space="0" w:color="auto"/>
        <w:bottom w:val="none" w:sz="0" w:space="0" w:color="auto"/>
        <w:right w:val="none" w:sz="0" w:space="0" w:color="auto"/>
      </w:divBdr>
    </w:div>
    <w:div w:id="741753343">
      <w:bodyDiv w:val="1"/>
      <w:marLeft w:val="0"/>
      <w:marRight w:val="0"/>
      <w:marTop w:val="0"/>
      <w:marBottom w:val="0"/>
      <w:divBdr>
        <w:top w:val="none" w:sz="0" w:space="0" w:color="auto"/>
        <w:left w:val="none" w:sz="0" w:space="0" w:color="auto"/>
        <w:bottom w:val="none" w:sz="0" w:space="0" w:color="auto"/>
        <w:right w:val="none" w:sz="0" w:space="0" w:color="auto"/>
      </w:divBdr>
      <w:divsChild>
        <w:div w:id="1154755973">
          <w:marLeft w:val="0"/>
          <w:marRight w:val="0"/>
          <w:marTop w:val="0"/>
          <w:marBottom w:val="0"/>
          <w:divBdr>
            <w:top w:val="none" w:sz="0" w:space="0" w:color="auto"/>
            <w:left w:val="none" w:sz="0" w:space="0" w:color="auto"/>
            <w:bottom w:val="none" w:sz="0" w:space="0" w:color="auto"/>
            <w:right w:val="none" w:sz="0" w:space="0" w:color="auto"/>
          </w:divBdr>
        </w:div>
      </w:divsChild>
    </w:div>
    <w:div w:id="799693864">
      <w:bodyDiv w:val="1"/>
      <w:marLeft w:val="0"/>
      <w:marRight w:val="0"/>
      <w:marTop w:val="0"/>
      <w:marBottom w:val="0"/>
      <w:divBdr>
        <w:top w:val="none" w:sz="0" w:space="0" w:color="auto"/>
        <w:left w:val="none" w:sz="0" w:space="0" w:color="auto"/>
        <w:bottom w:val="none" w:sz="0" w:space="0" w:color="auto"/>
        <w:right w:val="none" w:sz="0" w:space="0" w:color="auto"/>
      </w:divBdr>
    </w:div>
    <w:div w:id="1047418122">
      <w:bodyDiv w:val="1"/>
      <w:marLeft w:val="0"/>
      <w:marRight w:val="0"/>
      <w:marTop w:val="0"/>
      <w:marBottom w:val="0"/>
      <w:divBdr>
        <w:top w:val="none" w:sz="0" w:space="0" w:color="auto"/>
        <w:left w:val="none" w:sz="0" w:space="0" w:color="auto"/>
        <w:bottom w:val="none" w:sz="0" w:space="0" w:color="auto"/>
        <w:right w:val="none" w:sz="0" w:space="0" w:color="auto"/>
      </w:divBdr>
    </w:div>
    <w:div w:id="1070422881">
      <w:bodyDiv w:val="1"/>
      <w:marLeft w:val="0"/>
      <w:marRight w:val="0"/>
      <w:marTop w:val="0"/>
      <w:marBottom w:val="0"/>
      <w:divBdr>
        <w:top w:val="none" w:sz="0" w:space="0" w:color="auto"/>
        <w:left w:val="none" w:sz="0" w:space="0" w:color="auto"/>
        <w:bottom w:val="none" w:sz="0" w:space="0" w:color="auto"/>
        <w:right w:val="none" w:sz="0" w:space="0" w:color="auto"/>
      </w:divBdr>
    </w:div>
    <w:div w:id="1170025059">
      <w:bodyDiv w:val="1"/>
      <w:marLeft w:val="0"/>
      <w:marRight w:val="0"/>
      <w:marTop w:val="0"/>
      <w:marBottom w:val="0"/>
      <w:divBdr>
        <w:top w:val="none" w:sz="0" w:space="0" w:color="auto"/>
        <w:left w:val="none" w:sz="0" w:space="0" w:color="auto"/>
        <w:bottom w:val="none" w:sz="0" w:space="0" w:color="auto"/>
        <w:right w:val="none" w:sz="0" w:space="0" w:color="auto"/>
      </w:divBdr>
      <w:divsChild>
        <w:div w:id="1110080771">
          <w:marLeft w:val="0"/>
          <w:marRight w:val="0"/>
          <w:marTop w:val="0"/>
          <w:marBottom w:val="0"/>
          <w:divBdr>
            <w:top w:val="none" w:sz="0" w:space="0" w:color="auto"/>
            <w:left w:val="none" w:sz="0" w:space="0" w:color="auto"/>
            <w:bottom w:val="none" w:sz="0" w:space="0" w:color="auto"/>
            <w:right w:val="none" w:sz="0" w:space="0" w:color="auto"/>
          </w:divBdr>
        </w:div>
      </w:divsChild>
    </w:div>
    <w:div w:id="1400249260">
      <w:bodyDiv w:val="1"/>
      <w:marLeft w:val="0"/>
      <w:marRight w:val="0"/>
      <w:marTop w:val="0"/>
      <w:marBottom w:val="0"/>
      <w:divBdr>
        <w:top w:val="none" w:sz="0" w:space="0" w:color="auto"/>
        <w:left w:val="none" w:sz="0" w:space="0" w:color="auto"/>
        <w:bottom w:val="none" w:sz="0" w:space="0" w:color="auto"/>
        <w:right w:val="none" w:sz="0" w:space="0" w:color="auto"/>
      </w:divBdr>
    </w:div>
    <w:div w:id="1512912755">
      <w:bodyDiv w:val="1"/>
      <w:marLeft w:val="0"/>
      <w:marRight w:val="0"/>
      <w:marTop w:val="0"/>
      <w:marBottom w:val="0"/>
      <w:divBdr>
        <w:top w:val="none" w:sz="0" w:space="0" w:color="auto"/>
        <w:left w:val="none" w:sz="0" w:space="0" w:color="auto"/>
        <w:bottom w:val="none" w:sz="0" w:space="0" w:color="auto"/>
        <w:right w:val="none" w:sz="0" w:space="0" w:color="auto"/>
      </w:divBdr>
    </w:div>
    <w:div w:id="1527401667">
      <w:bodyDiv w:val="1"/>
      <w:marLeft w:val="0"/>
      <w:marRight w:val="0"/>
      <w:marTop w:val="0"/>
      <w:marBottom w:val="0"/>
      <w:divBdr>
        <w:top w:val="none" w:sz="0" w:space="0" w:color="auto"/>
        <w:left w:val="none" w:sz="0" w:space="0" w:color="auto"/>
        <w:bottom w:val="none" w:sz="0" w:space="0" w:color="auto"/>
        <w:right w:val="none" w:sz="0" w:space="0" w:color="auto"/>
      </w:divBdr>
      <w:divsChild>
        <w:div w:id="451747408">
          <w:marLeft w:val="0"/>
          <w:marRight w:val="0"/>
          <w:marTop w:val="0"/>
          <w:marBottom w:val="0"/>
          <w:divBdr>
            <w:top w:val="none" w:sz="0" w:space="0" w:color="auto"/>
            <w:left w:val="none" w:sz="0" w:space="0" w:color="auto"/>
            <w:bottom w:val="none" w:sz="0" w:space="0" w:color="auto"/>
            <w:right w:val="none" w:sz="0" w:space="0" w:color="auto"/>
          </w:divBdr>
        </w:div>
      </w:divsChild>
    </w:div>
    <w:div w:id="1627815276">
      <w:bodyDiv w:val="1"/>
      <w:marLeft w:val="0"/>
      <w:marRight w:val="0"/>
      <w:marTop w:val="0"/>
      <w:marBottom w:val="0"/>
      <w:divBdr>
        <w:top w:val="none" w:sz="0" w:space="0" w:color="auto"/>
        <w:left w:val="none" w:sz="0" w:space="0" w:color="auto"/>
        <w:bottom w:val="none" w:sz="0" w:space="0" w:color="auto"/>
        <w:right w:val="none" w:sz="0" w:space="0" w:color="auto"/>
      </w:divBdr>
      <w:divsChild>
        <w:div w:id="1652251860">
          <w:marLeft w:val="0"/>
          <w:marRight w:val="0"/>
          <w:marTop w:val="0"/>
          <w:marBottom w:val="0"/>
          <w:divBdr>
            <w:top w:val="none" w:sz="0" w:space="0" w:color="auto"/>
            <w:left w:val="none" w:sz="0" w:space="0" w:color="auto"/>
            <w:bottom w:val="none" w:sz="0" w:space="0" w:color="auto"/>
            <w:right w:val="none" w:sz="0" w:space="0" w:color="auto"/>
          </w:divBdr>
        </w:div>
      </w:divsChild>
    </w:div>
    <w:div w:id="1866091332">
      <w:bodyDiv w:val="1"/>
      <w:marLeft w:val="0"/>
      <w:marRight w:val="0"/>
      <w:marTop w:val="0"/>
      <w:marBottom w:val="0"/>
      <w:divBdr>
        <w:top w:val="none" w:sz="0" w:space="0" w:color="auto"/>
        <w:left w:val="none" w:sz="0" w:space="0" w:color="auto"/>
        <w:bottom w:val="none" w:sz="0" w:space="0" w:color="auto"/>
        <w:right w:val="none" w:sz="0" w:space="0" w:color="auto"/>
      </w:divBdr>
      <w:divsChild>
        <w:div w:id="1719163366">
          <w:marLeft w:val="0"/>
          <w:marRight w:val="0"/>
          <w:marTop w:val="0"/>
          <w:marBottom w:val="0"/>
          <w:divBdr>
            <w:top w:val="none" w:sz="0" w:space="0" w:color="auto"/>
            <w:left w:val="none" w:sz="0" w:space="0" w:color="auto"/>
            <w:bottom w:val="none" w:sz="0" w:space="0" w:color="auto"/>
            <w:right w:val="none" w:sz="0" w:space="0" w:color="auto"/>
          </w:divBdr>
        </w:div>
      </w:divsChild>
    </w:div>
    <w:div w:id="2085640156">
      <w:bodyDiv w:val="1"/>
      <w:marLeft w:val="0"/>
      <w:marRight w:val="0"/>
      <w:marTop w:val="0"/>
      <w:marBottom w:val="0"/>
      <w:divBdr>
        <w:top w:val="none" w:sz="0" w:space="0" w:color="auto"/>
        <w:left w:val="none" w:sz="0" w:space="0" w:color="auto"/>
        <w:bottom w:val="none" w:sz="0" w:space="0" w:color="auto"/>
        <w:right w:val="none" w:sz="0" w:space="0" w:color="auto"/>
      </w:divBdr>
      <w:divsChild>
        <w:div w:id="1428844064">
          <w:marLeft w:val="0"/>
          <w:marRight w:val="0"/>
          <w:marTop w:val="0"/>
          <w:marBottom w:val="0"/>
          <w:divBdr>
            <w:top w:val="none" w:sz="0" w:space="0" w:color="auto"/>
            <w:left w:val="none" w:sz="0" w:space="0" w:color="auto"/>
            <w:bottom w:val="none" w:sz="0" w:space="0" w:color="auto"/>
            <w:right w:val="none" w:sz="0" w:space="0" w:color="auto"/>
          </w:divBdr>
        </w:div>
      </w:divsChild>
    </w:div>
    <w:div w:id="2094742981">
      <w:bodyDiv w:val="1"/>
      <w:marLeft w:val="0"/>
      <w:marRight w:val="0"/>
      <w:marTop w:val="0"/>
      <w:marBottom w:val="0"/>
      <w:divBdr>
        <w:top w:val="none" w:sz="0" w:space="0" w:color="auto"/>
        <w:left w:val="none" w:sz="0" w:space="0" w:color="auto"/>
        <w:bottom w:val="none" w:sz="0" w:space="0" w:color="auto"/>
        <w:right w:val="none" w:sz="0" w:space="0" w:color="auto"/>
      </w:divBdr>
      <w:divsChild>
        <w:div w:id="1171066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10256</CharactersWithSpaces>
  <SharedDoc>false</SharedDoc>
  <HLinks>
    <vt:vector size="42" baseType="variant">
      <vt:variant>
        <vt:i4>1179704</vt:i4>
      </vt:variant>
      <vt:variant>
        <vt:i4>29</vt:i4>
      </vt:variant>
      <vt:variant>
        <vt:i4>0</vt:i4>
      </vt:variant>
      <vt:variant>
        <vt:i4>5</vt:i4>
      </vt:variant>
      <vt:variant>
        <vt:lpwstr/>
      </vt:variant>
      <vt:variant>
        <vt:lpwstr>_Toc179208087</vt:lpwstr>
      </vt:variant>
      <vt:variant>
        <vt:i4>1179704</vt:i4>
      </vt:variant>
      <vt:variant>
        <vt:i4>26</vt:i4>
      </vt:variant>
      <vt:variant>
        <vt:i4>0</vt:i4>
      </vt:variant>
      <vt:variant>
        <vt:i4>5</vt:i4>
      </vt:variant>
      <vt:variant>
        <vt:lpwstr/>
      </vt:variant>
      <vt:variant>
        <vt:lpwstr>_Toc179208086</vt:lpwstr>
      </vt:variant>
      <vt:variant>
        <vt:i4>1179704</vt:i4>
      </vt:variant>
      <vt:variant>
        <vt:i4>23</vt:i4>
      </vt:variant>
      <vt:variant>
        <vt:i4>0</vt:i4>
      </vt:variant>
      <vt:variant>
        <vt:i4>5</vt:i4>
      </vt:variant>
      <vt:variant>
        <vt:lpwstr/>
      </vt:variant>
      <vt:variant>
        <vt:lpwstr>_Toc179208085</vt:lpwstr>
      </vt:variant>
      <vt:variant>
        <vt:i4>1179704</vt:i4>
      </vt:variant>
      <vt:variant>
        <vt:i4>20</vt:i4>
      </vt:variant>
      <vt:variant>
        <vt:i4>0</vt:i4>
      </vt:variant>
      <vt:variant>
        <vt:i4>5</vt:i4>
      </vt:variant>
      <vt:variant>
        <vt:lpwstr/>
      </vt:variant>
      <vt:variant>
        <vt:lpwstr>_Toc179208084</vt:lpwstr>
      </vt:variant>
      <vt:variant>
        <vt:i4>1179704</vt:i4>
      </vt:variant>
      <vt:variant>
        <vt:i4>17</vt:i4>
      </vt:variant>
      <vt:variant>
        <vt:i4>0</vt:i4>
      </vt:variant>
      <vt:variant>
        <vt:i4>5</vt:i4>
      </vt:variant>
      <vt:variant>
        <vt:lpwstr/>
      </vt:variant>
      <vt:variant>
        <vt:lpwstr>_Toc179208083</vt:lpwstr>
      </vt:variant>
      <vt:variant>
        <vt:i4>1179704</vt:i4>
      </vt:variant>
      <vt:variant>
        <vt:i4>14</vt:i4>
      </vt:variant>
      <vt:variant>
        <vt:i4>0</vt:i4>
      </vt:variant>
      <vt:variant>
        <vt:i4>5</vt:i4>
      </vt:variant>
      <vt:variant>
        <vt:lpwstr/>
      </vt:variant>
      <vt:variant>
        <vt:lpwstr>_Toc179208082</vt:lpwstr>
      </vt:variant>
      <vt:variant>
        <vt:i4>1179704</vt:i4>
      </vt:variant>
      <vt:variant>
        <vt:i4>11</vt:i4>
      </vt:variant>
      <vt:variant>
        <vt:i4>0</vt:i4>
      </vt:variant>
      <vt:variant>
        <vt:i4>5</vt:i4>
      </vt:variant>
      <vt:variant>
        <vt:lpwstr/>
      </vt:variant>
      <vt:variant>
        <vt:lpwstr>_Toc179208081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2024-10-07T15:35:00Z</dcterms:created>
  <dcterms:modified xsi:type="dcterms:W3CDTF">2024-10-07T15:35:00Z</dcterms:modified>
</cp:coreProperties>
</file>