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476E7720" w:rsidR="00115716" w:rsidRPr="005E5BB3" w:rsidRDefault="00115716" w:rsidP="00115716">
      <w:pPr>
        <w:tabs>
          <w:tab w:val="right" w:pos="9639"/>
        </w:tabs>
        <w:spacing w:beforeLines="0" w:before="0" w:afterLines="0" w:after="0"/>
        <w:rPr>
          <w:rFonts w:ascii="Arial" w:hAnsi="Arial" w:cs="Arial"/>
          <w:b/>
          <w:sz w:val="24"/>
          <w:lang w:val="en-US" w:eastAsia="zh-CN"/>
        </w:rPr>
      </w:pPr>
      <w:bookmarkStart w:id="0" w:name="_Hlk178582494"/>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00365CAA">
        <w:rPr>
          <w:rFonts w:ascii="Arial" w:hAnsi="Arial" w:cs="Arial"/>
          <w:b/>
          <w:sz w:val="24"/>
          <w:lang w:val="en-US" w:eastAsia="zh-CN"/>
        </w:rPr>
        <w:t>-bis</w:t>
      </w:r>
      <w:r w:rsidRPr="005E5BB3">
        <w:rPr>
          <w:rFonts w:ascii="Arial" w:hAnsi="Arial" w:cs="Arial"/>
          <w:b/>
          <w:i/>
          <w:sz w:val="24"/>
          <w:lang w:eastAsia="zh-CN"/>
        </w:rPr>
        <w:tab/>
      </w:r>
      <w:r w:rsidR="00AC1E2E" w:rsidRPr="00AC1E2E">
        <w:rPr>
          <w:rFonts w:ascii="Arial" w:hAnsi="Arial" w:cs="Arial"/>
          <w:b/>
          <w:sz w:val="24"/>
          <w:lang w:val="en-US" w:eastAsia="zh-CN"/>
        </w:rPr>
        <w:t>R4-2415857</w:t>
      </w:r>
      <w:bookmarkStart w:id="1" w:name="_GoBack"/>
      <w:bookmarkEnd w:id="1"/>
    </w:p>
    <w:p w14:paraId="1A599841" w14:textId="0E93C7A6" w:rsidR="00A3046A" w:rsidRPr="00A3046A" w:rsidRDefault="00365CAA" w:rsidP="00115716">
      <w:pPr>
        <w:pStyle w:val="a3"/>
        <w:tabs>
          <w:tab w:val="left" w:pos="2160"/>
        </w:tabs>
        <w:ind w:left="2127" w:hanging="2127"/>
        <w:jc w:val="both"/>
        <w:rPr>
          <w:rFonts w:eastAsiaTheme="minorEastAsia" w:cs="Arial"/>
          <w:noProof w:val="0"/>
          <w:sz w:val="24"/>
          <w:lang w:val="en-GB"/>
        </w:rPr>
      </w:pPr>
      <w:bookmarkStart w:id="2" w:name="_Hlk178590993"/>
      <w:r>
        <w:rPr>
          <w:sz w:val="24"/>
          <w:lang w:val="en-GB"/>
        </w:rPr>
        <w:t>Hefei</w:t>
      </w:r>
      <w:r w:rsidR="002115B7" w:rsidRPr="002115B7">
        <w:rPr>
          <w:sz w:val="24"/>
          <w:lang w:val="en-GB"/>
        </w:rPr>
        <w:t xml:space="preserve">, </w:t>
      </w:r>
      <w:r>
        <w:rPr>
          <w:sz w:val="24"/>
          <w:lang w:val="en-GB"/>
        </w:rPr>
        <w:t>China</w:t>
      </w:r>
      <w:r w:rsidR="00115716" w:rsidRPr="0024284D">
        <w:rPr>
          <w:sz w:val="24"/>
        </w:rPr>
        <w:t xml:space="preserve">, </w:t>
      </w:r>
      <w:r w:rsidR="002115B7">
        <w:rPr>
          <w:sz w:val="24"/>
        </w:rPr>
        <w:t>1</w:t>
      </w:r>
      <w:r>
        <w:rPr>
          <w:sz w:val="24"/>
        </w:rPr>
        <w:t>4</w:t>
      </w:r>
      <w:r w:rsidR="00115716" w:rsidRPr="0024284D">
        <w:rPr>
          <w:sz w:val="24"/>
        </w:rPr>
        <w:t xml:space="preserve"> – </w:t>
      </w:r>
      <w:r>
        <w:rPr>
          <w:sz w:val="24"/>
        </w:rPr>
        <w:t>18</w:t>
      </w:r>
      <w:r w:rsidR="00115716" w:rsidRPr="0024284D">
        <w:rPr>
          <w:sz w:val="24"/>
        </w:rPr>
        <w:t xml:space="preserve"> </w:t>
      </w:r>
      <w:r>
        <w:rPr>
          <w:sz w:val="24"/>
        </w:rPr>
        <w:t>October</w:t>
      </w:r>
      <w:r w:rsidR="00115716" w:rsidRPr="0024284D">
        <w:rPr>
          <w:sz w:val="24"/>
        </w:rPr>
        <w:t>, 2024</w:t>
      </w:r>
      <w:bookmarkEnd w:id="0"/>
      <w:bookmarkEnd w:id="2"/>
    </w:p>
    <w:p w14:paraId="7A32AE55" w14:textId="2ABB4200" w:rsidR="00070561" w:rsidRPr="00FE6037" w:rsidRDefault="00070561" w:rsidP="002115B7">
      <w:pPr>
        <w:pStyle w:val="a5"/>
        <w:tabs>
          <w:tab w:val="left" w:pos="632"/>
        </w:tabs>
        <w:jc w:val="both"/>
        <w:rPr>
          <w:noProof w:val="0"/>
        </w:rPr>
      </w:pPr>
    </w:p>
    <w:p w14:paraId="0556DFFA" w14:textId="3111B830"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695A" w:rsidRPr="00C3695A">
        <w:rPr>
          <w:rFonts w:ascii="Arial" w:eastAsia="宋体" w:hAnsi="Arial"/>
          <w:b/>
          <w:sz w:val="24"/>
          <w:lang w:val="en-US" w:eastAsia="zh-CN"/>
        </w:rPr>
        <w:t>Discussion on performance requirements for RedCap positioning</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78ADF8B1"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462E1">
        <w:rPr>
          <w:rFonts w:ascii="Arial" w:eastAsia="宋体" w:hAnsi="Arial"/>
          <w:b/>
          <w:sz w:val="24"/>
          <w:lang w:val="en-US" w:eastAsia="zh-CN"/>
        </w:rPr>
        <w:t>4.2.</w:t>
      </w:r>
      <w:r w:rsidR="00EC4768">
        <w:rPr>
          <w:rFonts w:ascii="Arial" w:eastAsia="宋体" w:hAnsi="Arial"/>
          <w:b/>
          <w:sz w:val="24"/>
          <w:lang w:val="en-US" w:eastAsia="zh-CN"/>
        </w:rPr>
        <w:t>2</w:t>
      </w:r>
      <w:r w:rsidR="000462E1">
        <w:rPr>
          <w:rFonts w:ascii="Arial" w:eastAsia="宋体" w:hAnsi="Arial"/>
          <w:b/>
          <w:sz w:val="24"/>
          <w:lang w:val="en-US" w:eastAsia="zh-CN"/>
        </w:rPr>
        <w:t>.</w:t>
      </w:r>
      <w:r w:rsidR="00C3695A">
        <w:rPr>
          <w:rFonts w:ascii="Arial" w:eastAsia="宋体" w:hAnsi="Arial"/>
          <w:b/>
          <w:sz w:val="24"/>
          <w:lang w:val="en-US" w:eastAsia="zh-CN"/>
        </w:rPr>
        <w:t>4</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619480BD" w14:textId="2A7CDEEB" w:rsidR="00F31CAD" w:rsidRDefault="00F31CAD" w:rsidP="00F31CA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Maintenance of RRM </w:t>
      </w:r>
      <w:r w:rsidR="00EC4768">
        <w:rPr>
          <w:rFonts w:eastAsia="宋体"/>
          <w:lang w:eastAsia="zh-CN"/>
        </w:rPr>
        <w:t>performance</w:t>
      </w:r>
      <w:r>
        <w:rPr>
          <w:rFonts w:eastAsia="宋体"/>
          <w:lang w:eastAsia="zh-CN"/>
        </w:rPr>
        <w:t xml:space="preserve"> requirements for </w:t>
      </w:r>
      <w:r w:rsidR="00C3695A" w:rsidRPr="00C3695A">
        <w:rPr>
          <w:rFonts w:eastAsia="宋体"/>
          <w:lang w:eastAsia="zh-CN"/>
        </w:rPr>
        <w:t xml:space="preserve">RedCap </w:t>
      </w:r>
      <w:r w:rsidRPr="00131E82">
        <w:rPr>
          <w:rFonts w:eastAsia="宋体"/>
          <w:lang w:eastAsia="zh-CN"/>
        </w:rPr>
        <w:t xml:space="preserve">positioning </w:t>
      </w:r>
      <w:r>
        <w:rPr>
          <w:rFonts w:eastAsia="宋体"/>
          <w:lang w:eastAsia="zh-CN"/>
        </w:rPr>
        <w:t xml:space="preserve">are discussed in RAN4#112, and the outcomes are captured in [1]. </w:t>
      </w:r>
      <w:r w:rsidR="00EC4768">
        <w:rPr>
          <w:rFonts w:eastAsia="宋体"/>
          <w:lang w:eastAsia="zh-CN"/>
        </w:rPr>
        <w:t xml:space="preserve">Based on [1], further </w:t>
      </w:r>
      <w:r>
        <w:rPr>
          <w:rFonts w:eastAsia="宋体"/>
          <w:lang w:eastAsia="zh-CN"/>
        </w:rPr>
        <w:t>discussions are needed for the</w:t>
      </w:r>
      <w:r w:rsidR="00EC4768">
        <w:rPr>
          <w:rFonts w:eastAsia="宋体"/>
          <w:lang w:eastAsia="zh-CN"/>
        </w:rPr>
        <w:t xml:space="preserve"> </w:t>
      </w:r>
      <w:r w:rsidR="00F533CF">
        <w:rPr>
          <w:rFonts w:eastAsia="宋体"/>
          <w:lang w:eastAsia="zh-CN"/>
        </w:rPr>
        <w:t xml:space="preserve">accuracy requirements and </w:t>
      </w:r>
      <w:r w:rsidR="00EC4768">
        <w:rPr>
          <w:rFonts w:eastAsia="宋体"/>
          <w:lang w:eastAsia="zh-CN"/>
        </w:rPr>
        <w:t>test case.</w:t>
      </w:r>
    </w:p>
    <w:p w14:paraId="37ADB77B" w14:textId="612708FF" w:rsidR="00F31CAD" w:rsidRPr="00D12E24" w:rsidRDefault="00F31CAD" w:rsidP="00F31CA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 on r</w:t>
      </w:r>
      <w:r w:rsidRPr="002115B7">
        <w:rPr>
          <w:rFonts w:eastAsia="宋体"/>
          <w:lang w:eastAsia="zh-CN"/>
        </w:rPr>
        <w:t xml:space="preserve">emaining issues in </w:t>
      </w:r>
      <w:r w:rsidR="00EC4768">
        <w:rPr>
          <w:rFonts w:eastAsia="宋体"/>
          <w:lang w:eastAsia="zh-CN"/>
        </w:rPr>
        <w:t>performance</w:t>
      </w:r>
      <w:r w:rsidRPr="002115B7">
        <w:rPr>
          <w:rFonts w:eastAsia="宋体"/>
          <w:lang w:eastAsia="zh-CN"/>
        </w:rPr>
        <w:t xml:space="preserve"> requirements for </w:t>
      </w:r>
      <w:r w:rsidR="00F533CF" w:rsidRPr="00C3695A">
        <w:rPr>
          <w:rFonts w:eastAsia="宋体"/>
          <w:lang w:eastAsia="zh-CN"/>
        </w:rPr>
        <w:t xml:space="preserve">RedCap </w:t>
      </w:r>
      <w:r w:rsidRPr="00131E82">
        <w:rPr>
          <w:rFonts w:eastAsia="宋体"/>
          <w:lang w:eastAsia="zh-CN"/>
        </w:rPr>
        <w:t>positioning</w:t>
      </w:r>
      <w:r>
        <w:rPr>
          <w:rFonts w:eastAsia="宋体"/>
          <w:lang w:eastAsia="zh-CN"/>
        </w:rPr>
        <w:t>.</w:t>
      </w:r>
    </w:p>
    <w:p w14:paraId="2BC6DC68" w14:textId="25835DB4" w:rsidR="00B719B0" w:rsidRDefault="00FA0C0C" w:rsidP="00E4186F">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F533CF" w14:paraId="4FC94DC3" w14:textId="77777777" w:rsidTr="00F533CF">
        <w:tc>
          <w:tcPr>
            <w:tcW w:w="9621" w:type="dxa"/>
          </w:tcPr>
          <w:p w14:paraId="78B90D53" w14:textId="77777777" w:rsidR="00F533CF" w:rsidRPr="00F533CF" w:rsidRDefault="00F533CF" w:rsidP="00F533CF">
            <w:pPr>
              <w:spacing w:before="120" w:after="120"/>
              <w:rPr>
                <w:b/>
                <w:u w:val="single"/>
                <w:lang w:val="en-US"/>
              </w:rPr>
            </w:pPr>
            <w:r w:rsidRPr="00F533CF">
              <w:rPr>
                <w:b/>
                <w:u w:val="single"/>
                <w:lang w:val="en-US"/>
              </w:rPr>
              <w:t>Issue 5-3: Group delay calibration margin for RedCap positioning</w:t>
            </w:r>
          </w:p>
          <w:p w14:paraId="6E412109" w14:textId="77777777" w:rsidR="00F533CF" w:rsidRPr="00F533CF" w:rsidRDefault="00F533CF" w:rsidP="00F533CF">
            <w:pPr>
              <w:spacing w:before="120" w:after="120"/>
              <w:rPr>
                <w:b/>
                <w:bCs/>
              </w:rPr>
            </w:pPr>
            <w:r w:rsidRPr="00F533CF">
              <w:rPr>
                <w:b/>
                <w:bCs/>
              </w:rPr>
              <w:t>Agreement:</w:t>
            </w:r>
          </w:p>
          <w:p w14:paraId="539D4816" w14:textId="77777777" w:rsidR="00F533CF" w:rsidRPr="00F533CF" w:rsidRDefault="00F533CF" w:rsidP="00F533CF">
            <w:pPr>
              <w:numPr>
                <w:ilvl w:val="0"/>
                <w:numId w:val="11"/>
              </w:numPr>
              <w:spacing w:before="120" w:after="120"/>
              <w:rPr>
                <w:lang w:val="en-US"/>
              </w:rPr>
            </w:pPr>
            <w:r w:rsidRPr="00F533CF">
              <w:rPr>
                <w:lang w:val="en-US"/>
              </w:rPr>
              <w:t>RAN4 to use the following assumptions for group delay calibration margin for RedCap</w:t>
            </w:r>
          </w:p>
          <w:p w14:paraId="53E34A89" w14:textId="77777777" w:rsidR="00F533CF" w:rsidRPr="00F533CF" w:rsidRDefault="00F533CF" w:rsidP="00F533CF">
            <w:pPr>
              <w:numPr>
                <w:ilvl w:val="1"/>
                <w:numId w:val="11"/>
              </w:numPr>
              <w:spacing w:before="120" w:after="120"/>
              <w:rPr>
                <w:lang w:val="en-US"/>
              </w:rPr>
            </w:pPr>
            <w:r w:rsidRPr="00F533CF">
              <w:rPr>
                <w:lang w:val="en-US"/>
              </w:rPr>
              <w:t>Non-FH: existing values for non-RedCap for the applicable BW.</w:t>
            </w:r>
          </w:p>
          <w:p w14:paraId="0D4FF727" w14:textId="56D093BE" w:rsidR="00F533CF" w:rsidRPr="00F533CF" w:rsidRDefault="00F533CF" w:rsidP="00F533CF">
            <w:pPr>
              <w:numPr>
                <w:ilvl w:val="1"/>
                <w:numId w:val="11"/>
              </w:numPr>
              <w:spacing w:before="120" w:after="120"/>
              <w:rPr>
                <w:lang w:val="en-US"/>
              </w:rPr>
            </w:pPr>
            <w:r w:rsidRPr="00F533CF">
              <w:rPr>
                <w:rFonts w:hint="eastAsia"/>
                <w:lang w:val="en-US"/>
              </w:rPr>
              <w:t>F</w:t>
            </w:r>
            <w:r w:rsidRPr="00F533CF">
              <w:rPr>
                <w:lang w:val="en-US"/>
              </w:rPr>
              <w:t>H: existing values for non-RedCap for per-hop BW [FFS: plus an extra margin (value TBD)].</w:t>
            </w:r>
          </w:p>
        </w:tc>
      </w:tr>
    </w:tbl>
    <w:p w14:paraId="3BAE7904" w14:textId="6395654C" w:rsidR="00F533CF" w:rsidRDefault="00226540" w:rsidP="00F533CF">
      <w:pPr>
        <w:spacing w:before="120" w:after="120"/>
        <w:rPr>
          <w:lang w:val="en-US"/>
        </w:rPr>
      </w:pPr>
      <w:r>
        <w:rPr>
          <w:rFonts w:eastAsiaTheme="minorEastAsia"/>
          <w:lang w:eastAsia="zh-CN"/>
        </w:rPr>
        <w:t>For FH, the calibration error is agreed to be limited by the per-hop BW rather than the total BW after FH. On top of this, we understand some additional margin may be needed as there can be additional jitter in the calibration error due to Rx chain working on different frequencies during the measurement. This is similar to the case when reference and target resource for RSTD are in different PFLs. Of course, for FH case, different working frequencies are within a PFL, so the margin may not need to be as large margin</w:t>
      </w:r>
      <w:r w:rsidR="006C2F9A">
        <w:rPr>
          <w:rFonts w:eastAsiaTheme="minorEastAsia"/>
          <w:lang w:eastAsia="zh-CN"/>
        </w:rPr>
        <w:t xml:space="preserve"> </w:t>
      </w:r>
      <w:r w:rsidRPr="00C97FD2">
        <w:t>Δ</w:t>
      </w:r>
      <w:r>
        <w:t xml:space="preserve"> </w:t>
      </w:r>
      <w:r w:rsidR="006C2F9A">
        <w:rPr>
          <w:rFonts w:eastAsiaTheme="minorEastAsia"/>
          <w:lang w:eastAsia="zh-CN"/>
        </w:rPr>
        <w:t xml:space="preserve">for </w:t>
      </w:r>
      <w:r>
        <w:rPr>
          <w:rFonts w:eastAsiaTheme="minorEastAsia"/>
          <w:lang w:eastAsia="zh-CN"/>
        </w:rPr>
        <w:t xml:space="preserve">RSTD. We </w:t>
      </w:r>
      <w:r w:rsidR="006C2F9A">
        <w:rPr>
          <w:rFonts w:eastAsiaTheme="minorEastAsia"/>
          <w:lang w:eastAsia="zh-CN"/>
        </w:rPr>
        <w:t xml:space="preserve">suggest to consider a constant margin of 4ns, but we </w:t>
      </w:r>
      <w:r>
        <w:rPr>
          <w:rFonts w:eastAsiaTheme="minorEastAsia"/>
          <w:lang w:eastAsia="zh-CN"/>
        </w:rPr>
        <w:t xml:space="preserve">are open to discussing the </w:t>
      </w:r>
      <w:r w:rsidR="006C2F9A">
        <w:rPr>
          <w:rFonts w:eastAsiaTheme="minorEastAsia"/>
          <w:lang w:eastAsia="zh-CN"/>
        </w:rPr>
        <w:t>others</w:t>
      </w:r>
      <w:r>
        <w:rPr>
          <w:rFonts w:eastAsiaTheme="minorEastAsia"/>
          <w:lang w:eastAsia="zh-CN"/>
        </w:rPr>
        <w:t xml:space="preserve"> value.</w:t>
      </w:r>
    </w:p>
    <w:p w14:paraId="5D035D96" w14:textId="4B910FEE" w:rsidR="00F533CF" w:rsidRPr="006C2F9A" w:rsidRDefault="006C2F9A" w:rsidP="006C2F9A">
      <w:pPr>
        <w:spacing w:before="120" w:after="120"/>
        <w:rPr>
          <w:b/>
          <w:lang w:val="en-US"/>
        </w:rPr>
      </w:pPr>
      <w:r w:rsidRPr="006C2F9A">
        <w:rPr>
          <w:b/>
          <w:lang w:val="en-US"/>
        </w:rPr>
        <w:t>Proposal 1: On the group delay calibration margin for RedCap</w:t>
      </w:r>
      <w:r w:rsidRPr="006C2F9A">
        <w:rPr>
          <w:rFonts w:eastAsiaTheme="minorEastAsia" w:hint="eastAsia"/>
          <w:b/>
          <w:lang w:val="en-US" w:eastAsia="zh-CN"/>
        </w:rPr>
        <w:t xml:space="preserve"> </w:t>
      </w:r>
      <w:r w:rsidRPr="006C2F9A">
        <w:rPr>
          <w:rFonts w:eastAsiaTheme="minorEastAsia"/>
          <w:b/>
          <w:lang w:val="en-US" w:eastAsia="zh-CN"/>
        </w:rPr>
        <w:t xml:space="preserve">with </w:t>
      </w:r>
      <w:r w:rsidRPr="006C2F9A">
        <w:rPr>
          <w:rFonts w:hint="eastAsia"/>
          <w:b/>
          <w:lang w:val="en-US"/>
        </w:rPr>
        <w:t>F</w:t>
      </w:r>
      <w:r w:rsidRPr="006C2F9A">
        <w:rPr>
          <w:b/>
          <w:lang w:val="en-US"/>
        </w:rPr>
        <w:t>H, use existing values for non-RedCap for per-hop BW plus an extra margin of [4]ns.</w:t>
      </w:r>
    </w:p>
    <w:tbl>
      <w:tblPr>
        <w:tblStyle w:val="afa"/>
        <w:tblW w:w="0" w:type="auto"/>
        <w:tblLook w:val="04A0" w:firstRow="1" w:lastRow="0" w:firstColumn="1" w:lastColumn="0" w:noHBand="0" w:noVBand="1"/>
      </w:tblPr>
      <w:tblGrid>
        <w:gridCol w:w="9621"/>
      </w:tblGrid>
      <w:tr w:rsidR="00226540" w14:paraId="5430A3B4" w14:textId="77777777" w:rsidTr="00226540">
        <w:tc>
          <w:tcPr>
            <w:tcW w:w="9621" w:type="dxa"/>
          </w:tcPr>
          <w:p w14:paraId="690506EE" w14:textId="77777777" w:rsidR="00226540" w:rsidRPr="00226540" w:rsidRDefault="00226540" w:rsidP="00461941">
            <w:pPr>
              <w:spacing w:before="120" w:after="120"/>
              <w:rPr>
                <w:b/>
                <w:u w:val="single"/>
                <w:lang w:val="en-US"/>
              </w:rPr>
            </w:pPr>
            <w:r w:rsidRPr="00226540">
              <w:rPr>
                <w:b/>
                <w:u w:val="single"/>
                <w:lang w:val="en-US"/>
              </w:rPr>
              <w:t>Issue 5-4: PRS RMC for RedCap positioning TCs</w:t>
            </w:r>
          </w:p>
          <w:p w14:paraId="00E7D0CD" w14:textId="77777777" w:rsidR="00226540" w:rsidRPr="00226540" w:rsidRDefault="00226540" w:rsidP="00226540">
            <w:pPr>
              <w:spacing w:before="120" w:after="120"/>
              <w:rPr>
                <w:b/>
                <w:bCs/>
              </w:rPr>
            </w:pPr>
            <w:r w:rsidRPr="00226540">
              <w:rPr>
                <w:b/>
                <w:bCs/>
              </w:rPr>
              <w:t>Agreement:</w:t>
            </w:r>
          </w:p>
          <w:p w14:paraId="5841F102" w14:textId="77777777" w:rsidR="00226540" w:rsidRPr="00226540" w:rsidRDefault="00226540" w:rsidP="00226540">
            <w:pPr>
              <w:numPr>
                <w:ilvl w:val="0"/>
                <w:numId w:val="11"/>
              </w:numPr>
              <w:spacing w:before="120" w:after="120"/>
              <w:rPr>
                <w:lang w:val="en-US"/>
              </w:rPr>
            </w:pPr>
            <w:r w:rsidRPr="00226540">
              <w:rPr>
                <w:lang w:val="en-US"/>
              </w:rPr>
              <w:t>[For PRS BW for FH TCs, consider the BW in test configuration as UE BW and allow cell BW to be larger.] – double check with TE vendors</w:t>
            </w:r>
          </w:p>
          <w:p w14:paraId="74C7BDD4" w14:textId="77777777" w:rsidR="00226540" w:rsidRPr="00226540" w:rsidRDefault="00226540" w:rsidP="00226540">
            <w:pPr>
              <w:numPr>
                <w:ilvl w:val="0"/>
                <w:numId w:val="11"/>
              </w:numPr>
              <w:spacing w:before="120" w:after="120"/>
              <w:rPr>
                <w:lang w:val="en-US"/>
              </w:rPr>
            </w:pPr>
            <w:r w:rsidRPr="00226540">
              <w:rPr>
                <w:lang w:val="en-US"/>
              </w:rPr>
              <w:t>For FH TCs, introduce a new PRS RMC with large BW and repetitions.</w:t>
            </w:r>
          </w:p>
          <w:p w14:paraId="2DCA6D18" w14:textId="77777777" w:rsidR="00226540" w:rsidRPr="00226540" w:rsidRDefault="00226540" w:rsidP="00226540">
            <w:pPr>
              <w:numPr>
                <w:ilvl w:val="1"/>
                <w:numId w:val="11"/>
              </w:numPr>
              <w:spacing w:before="120" w:after="120"/>
              <w:rPr>
                <w:lang w:val="en-US"/>
              </w:rPr>
            </w:pPr>
            <w:r w:rsidRPr="00226540">
              <w:rPr>
                <w:lang w:val="en-US"/>
              </w:rPr>
              <w:t>A CR revision is needed to include the new PRS RMC for 15 kHz (FR1) and 120 kHz (FR2) – Qualcomm to revise a submitted CR</w:t>
            </w:r>
          </w:p>
          <w:p w14:paraId="49C80DF5" w14:textId="77777777" w:rsidR="00226540" w:rsidRPr="00226540" w:rsidRDefault="00226540" w:rsidP="00226540">
            <w:pPr>
              <w:spacing w:before="120" w:after="120"/>
              <w:rPr>
                <w:lang w:val="en-US"/>
              </w:rPr>
            </w:pPr>
            <w:r w:rsidRPr="00226540">
              <w:rPr>
                <w:b/>
                <w:bCs/>
                <w:lang w:val="en-US"/>
              </w:rPr>
              <w:t>Discussion in AH2</w:t>
            </w:r>
            <w:r w:rsidRPr="00226540">
              <w:rPr>
                <w:lang w:val="en-US"/>
              </w:rPr>
              <w:t>:</w:t>
            </w:r>
          </w:p>
          <w:p w14:paraId="1ACC3A7C" w14:textId="77777777" w:rsidR="00226540" w:rsidRPr="00226540" w:rsidRDefault="00226540" w:rsidP="00226540">
            <w:pPr>
              <w:numPr>
                <w:ilvl w:val="0"/>
                <w:numId w:val="11"/>
              </w:numPr>
              <w:spacing w:before="120" w:after="120"/>
              <w:rPr>
                <w:lang w:val="en-US"/>
              </w:rPr>
            </w:pPr>
            <w:r w:rsidRPr="00226540">
              <w:rPr>
                <w:lang w:val="en-US"/>
              </w:rPr>
              <w:t>TE(R&amp;S) input on the earlier tentative agreement from AH1 [For PRS BW for FH TCs, consider the BW in test configuration as UE BW and allow cell BW to be larger.]:</w:t>
            </w:r>
          </w:p>
          <w:p w14:paraId="27EC6FA7" w14:textId="77777777" w:rsidR="00226540" w:rsidRPr="00226540" w:rsidRDefault="00226540" w:rsidP="00226540">
            <w:pPr>
              <w:numPr>
                <w:ilvl w:val="1"/>
                <w:numId w:val="11"/>
              </w:numPr>
              <w:spacing w:before="120" w:after="120"/>
              <w:rPr>
                <w:lang w:val="en-US"/>
              </w:rPr>
            </w:pPr>
            <w:r w:rsidRPr="00226540">
              <w:rPr>
                <w:lang w:val="en-US"/>
              </w:rPr>
              <w:t>Different BWs for cell and UE have never been used</w:t>
            </w:r>
          </w:p>
          <w:p w14:paraId="348433E2" w14:textId="77777777" w:rsidR="00226540" w:rsidRPr="00226540" w:rsidRDefault="00226540" w:rsidP="00226540">
            <w:pPr>
              <w:numPr>
                <w:ilvl w:val="1"/>
                <w:numId w:val="11"/>
              </w:numPr>
              <w:spacing w:before="120" w:after="120"/>
              <w:rPr>
                <w:lang w:val="en-US"/>
              </w:rPr>
            </w:pPr>
            <w:r w:rsidRPr="00226540">
              <w:rPr>
                <w:lang w:val="en-US"/>
              </w:rPr>
              <w:lastRenderedPageBreak/>
              <w:t>There will be confusion between OCNG and UE BW, even if we go that way</w:t>
            </w:r>
          </w:p>
          <w:p w14:paraId="4EC73340" w14:textId="77777777" w:rsidR="00226540" w:rsidRPr="00226540" w:rsidRDefault="00226540" w:rsidP="00226540">
            <w:pPr>
              <w:numPr>
                <w:ilvl w:val="1"/>
                <w:numId w:val="11"/>
              </w:numPr>
              <w:spacing w:before="120" w:after="120"/>
              <w:rPr>
                <w:lang w:val="en-US"/>
              </w:rPr>
            </w:pPr>
            <w:r w:rsidRPr="00226540">
              <w:rPr>
                <w:lang w:val="en-US"/>
              </w:rPr>
              <w:t>Challenge for TE: interpret OCNG (and other RMCs) as the UE BW</w:t>
            </w:r>
          </w:p>
          <w:p w14:paraId="4B060966" w14:textId="77777777" w:rsidR="00226540" w:rsidRPr="00226540" w:rsidRDefault="00226540" w:rsidP="00226540">
            <w:pPr>
              <w:numPr>
                <w:ilvl w:val="1"/>
                <w:numId w:val="11"/>
              </w:numPr>
              <w:spacing w:before="120" w:after="120"/>
              <w:rPr>
                <w:lang w:val="en-US"/>
              </w:rPr>
            </w:pPr>
            <w:r w:rsidRPr="00226540">
              <w:rPr>
                <w:lang w:val="en-US"/>
              </w:rPr>
              <w:t>Two steps could be considered:</w:t>
            </w:r>
          </w:p>
          <w:p w14:paraId="41A35E27" w14:textId="77777777" w:rsidR="00226540" w:rsidRPr="00226540" w:rsidRDefault="00226540" w:rsidP="00226540">
            <w:pPr>
              <w:numPr>
                <w:ilvl w:val="2"/>
                <w:numId w:val="11"/>
              </w:numPr>
              <w:spacing w:before="120" w:after="120"/>
              <w:rPr>
                <w:lang w:val="en-US"/>
              </w:rPr>
            </w:pPr>
            <w:r w:rsidRPr="00226540">
              <w:rPr>
                <w:lang w:val="en-US"/>
              </w:rPr>
              <w:t>Step 1: in the configuration, separately cell BW and UE channel BW are mentioned</w:t>
            </w:r>
          </w:p>
          <w:p w14:paraId="335FDEAD" w14:textId="77777777" w:rsidR="00226540" w:rsidRPr="00226540" w:rsidRDefault="00226540" w:rsidP="00226540">
            <w:pPr>
              <w:numPr>
                <w:ilvl w:val="2"/>
                <w:numId w:val="11"/>
              </w:numPr>
              <w:spacing w:before="120" w:after="120"/>
              <w:rPr>
                <w:lang w:val="en-US"/>
              </w:rPr>
            </w:pPr>
            <w:r w:rsidRPr="00226540">
              <w:rPr>
                <w:lang w:val="en-US"/>
              </w:rPr>
              <w:t>Step 2: resolve the OCNG issue</w:t>
            </w:r>
          </w:p>
          <w:p w14:paraId="7FEE6AE3" w14:textId="77777777" w:rsidR="00226540" w:rsidRPr="00226540" w:rsidRDefault="00226540" w:rsidP="00226540">
            <w:pPr>
              <w:numPr>
                <w:ilvl w:val="1"/>
                <w:numId w:val="11"/>
              </w:numPr>
              <w:spacing w:before="120" w:after="120"/>
              <w:rPr>
                <w:lang w:val="en-US"/>
              </w:rPr>
            </w:pPr>
            <w:r w:rsidRPr="00226540">
              <w:rPr>
                <w:lang w:val="en-US"/>
              </w:rPr>
              <w:t>FFS: UE total BW should match a cell BWP (added off-line)</w:t>
            </w:r>
          </w:p>
          <w:p w14:paraId="1467262F" w14:textId="462876B5" w:rsidR="00226540" w:rsidRPr="00461941" w:rsidRDefault="00226540" w:rsidP="00F533CF">
            <w:pPr>
              <w:numPr>
                <w:ilvl w:val="1"/>
                <w:numId w:val="11"/>
              </w:numPr>
              <w:spacing w:before="120" w:after="120"/>
              <w:rPr>
                <w:b/>
                <w:bCs/>
                <w:u w:val="single"/>
                <w:lang w:val="en-US"/>
              </w:rPr>
            </w:pPr>
            <w:r w:rsidRPr="00226540">
              <w:rPr>
                <w:lang w:val="en-US"/>
              </w:rPr>
              <w:t>Recommendation: consider the above input in the work on TCs</w:t>
            </w:r>
          </w:p>
        </w:tc>
      </w:tr>
    </w:tbl>
    <w:p w14:paraId="3A406CFE" w14:textId="21942A79" w:rsidR="00226540" w:rsidRDefault="00461941" w:rsidP="00F533CF">
      <w:pPr>
        <w:spacing w:before="120" w:after="120"/>
        <w:rPr>
          <w:lang w:val="en-US"/>
        </w:rPr>
      </w:pPr>
      <w:r>
        <w:rPr>
          <w:rFonts w:eastAsiaTheme="minorEastAsia"/>
          <w:lang w:val="en-US" w:eastAsia="zh-CN"/>
        </w:rPr>
        <w:lastRenderedPageBreak/>
        <w:t xml:space="preserve">In our view, step 1 from TE input is same as the </w:t>
      </w:r>
      <w:r w:rsidRPr="00226540">
        <w:rPr>
          <w:lang w:val="en-US"/>
        </w:rPr>
        <w:t>tentative agreement from AH1</w:t>
      </w:r>
      <w:r>
        <w:rPr>
          <w:lang w:val="en-US"/>
        </w:rPr>
        <w:t xml:space="preserve">, and we believe it is a must to enable testing FH. </w:t>
      </w:r>
      <w:r w:rsidR="006F6D4C">
        <w:rPr>
          <w:lang w:val="en-US"/>
        </w:rPr>
        <w:t>Assuming cell BW and UE BW will be separately defined, the</w:t>
      </w:r>
      <w:r>
        <w:rPr>
          <w:lang w:val="en-US"/>
        </w:rPr>
        <w:t xml:space="preserve"> next issues are about RMC and OCNG. In our view, RMCs are for the UE under test, and OCNG is emulating scheduling of other UEs</w:t>
      </w:r>
      <w:r w:rsidR="006F6D4C">
        <w:rPr>
          <w:lang w:val="en-US"/>
        </w:rPr>
        <w:t xml:space="preserve">, so as a starting point, the RMC BW should be aligned with the UE BW, and OCNG BW should be aligned with the cell BW. As to the FFS on whether </w:t>
      </w:r>
      <w:r w:rsidR="006F6D4C" w:rsidRPr="006F6D4C">
        <w:rPr>
          <w:lang w:val="en-US"/>
        </w:rPr>
        <w:t>UE total BW should match a cell BWP</w:t>
      </w:r>
      <w:r w:rsidR="006F6D4C">
        <w:rPr>
          <w:lang w:val="en-US"/>
        </w:rPr>
        <w:t>, we understand it means e.g. a RedCap UE may be configured with a 20MHz BWP within a cell of 100MHz. We do not see an issue to have this test setup if it is desired by TE vendors.</w:t>
      </w:r>
    </w:p>
    <w:p w14:paraId="4C2E31A8" w14:textId="24D120C9" w:rsidR="006F6D4C" w:rsidRPr="006F6D4C" w:rsidRDefault="006F6D4C" w:rsidP="00F533CF">
      <w:pPr>
        <w:spacing w:before="120" w:after="120"/>
        <w:rPr>
          <w:b/>
          <w:lang w:val="en-US"/>
        </w:rPr>
      </w:pPr>
      <w:r w:rsidRPr="006F6D4C">
        <w:rPr>
          <w:rFonts w:eastAsiaTheme="minorEastAsia" w:hint="eastAsia"/>
          <w:b/>
          <w:lang w:val="en-US" w:eastAsia="zh-CN"/>
        </w:rPr>
        <w:t>P</w:t>
      </w:r>
      <w:r w:rsidRPr="006F6D4C">
        <w:rPr>
          <w:rFonts w:eastAsiaTheme="minorEastAsia"/>
          <w:b/>
          <w:lang w:val="en-US" w:eastAsia="zh-CN"/>
        </w:rPr>
        <w:t xml:space="preserve">roposal 2: </w:t>
      </w:r>
      <w:r w:rsidRPr="006F6D4C">
        <w:rPr>
          <w:b/>
          <w:lang w:val="en-US"/>
        </w:rPr>
        <w:t>For PRS BW for FH TCs</w:t>
      </w:r>
      <w:r>
        <w:rPr>
          <w:b/>
          <w:lang w:val="en-US"/>
        </w:rPr>
        <w:t>,</w:t>
      </w:r>
    </w:p>
    <w:p w14:paraId="29FD5BCD" w14:textId="3A8AF3B5" w:rsidR="006F6D4C" w:rsidRPr="006F6D4C" w:rsidRDefault="006F6D4C" w:rsidP="006F6D4C">
      <w:pPr>
        <w:pStyle w:val="afe"/>
        <w:numPr>
          <w:ilvl w:val="0"/>
          <w:numId w:val="43"/>
        </w:numPr>
        <w:spacing w:before="120" w:after="120"/>
        <w:rPr>
          <w:rFonts w:eastAsiaTheme="minorEastAsia"/>
          <w:b/>
          <w:lang w:eastAsia="zh-CN"/>
        </w:rPr>
      </w:pPr>
      <w:r w:rsidRPr="006F6D4C">
        <w:rPr>
          <w:b/>
        </w:rPr>
        <w:t>Cell BW and UE BW are to be separately defined</w:t>
      </w:r>
      <w:r>
        <w:rPr>
          <w:b/>
        </w:rPr>
        <w:t xml:space="preserve"> in test configuration</w:t>
      </w:r>
    </w:p>
    <w:p w14:paraId="08B00685" w14:textId="01B462FB" w:rsidR="006F6D4C" w:rsidRPr="006F6D4C" w:rsidRDefault="006F6D4C" w:rsidP="006F6D4C">
      <w:pPr>
        <w:pStyle w:val="afe"/>
        <w:numPr>
          <w:ilvl w:val="0"/>
          <w:numId w:val="43"/>
        </w:numPr>
        <w:spacing w:before="120" w:after="120"/>
        <w:rPr>
          <w:rFonts w:eastAsiaTheme="minorEastAsia"/>
          <w:b/>
          <w:lang w:eastAsia="zh-CN"/>
        </w:rPr>
      </w:pPr>
      <w:r w:rsidRPr="006F6D4C">
        <w:rPr>
          <w:rFonts w:eastAsiaTheme="minorEastAsia"/>
          <w:b/>
          <w:lang w:eastAsia="zh-CN"/>
        </w:rPr>
        <w:t>RMC BWs are to be aligned with UE BW</w:t>
      </w:r>
    </w:p>
    <w:p w14:paraId="0045FA79" w14:textId="28658EE1" w:rsidR="006F6D4C" w:rsidRPr="006F6D4C" w:rsidRDefault="006F6D4C" w:rsidP="006F6D4C">
      <w:pPr>
        <w:pStyle w:val="afe"/>
        <w:numPr>
          <w:ilvl w:val="0"/>
          <w:numId w:val="43"/>
        </w:numPr>
        <w:spacing w:before="120" w:after="120"/>
        <w:rPr>
          <w:rFonts w:eastAsiaTheme="minorEastAsia"/>
          <w:b/>
          <w:lang w:eastAsia="zh-CN"/>
        </w:rPr>
      </w:pPr>
      <w:r w:rsidRPr="006F6D4C">
        <w:rPr>
          <w:rFonts w:eastAsiaTheme="minorEastAsia"/>
          <w:b/>
          <w:lang w:eastAsia="zh-CN"/>
        </w:rPr>
        <w:t xml:space="preserve">PRS BW and </w:t>
      </w:r>
      <w:r w:rsidRPr="006F6D4C">
        <w:rPr>
          <w:rFonts w:eastAsiaTheme="minorEastAsia" w:hint="eastAsia"/>
          <w:b/>
          <w:lang w:eastAsia="zh-CN"/>
        </w:rPr>
        <w:t>O</w:t>
      </w:r>
      <w:r w:rsidRPr="006F6D4C">
        <w:rPr>
          <w:rFonts w:eastAsiaTheme="minorEastAsia"/>
          <w:b/>
          <w:lang w:eastAsia="zh-CN"/>
        </w:rPr>
        <w:t>NCG BW are to be aligned with cell BW</w:t>
      </w:r>
    </w:p>
    <w:p w14:paraId="1BE05C43" w14:textId="1841867D" w:rsidR="000E45B6" w:rsidRPr="006F6D4C" w:rsidRDefault="006F6D4C" w:rsidP="006F6D4C">
      <w:pPr>
        <w:pStyle w:val="afe"/>
        <w:numPr>
          <w:ilvl w:val="0"/>
          <w:numId w:val="43"/>
        </w:numPr>
        <w:spacing w:before="120" w:after="120"/>
        <w:rPr>
          <w:rFonts w:eastAsiaTheme="minorEastAsia"/>
          <w:b/>
          <w:lang w:eastAsia="zh-CN"/>
        </w:rPr>
      </w:pPr>
      <w:r w:rsidRPr="006F6D4C">
        <w:rPr>
          <w:b/>
        </w:rPr>
        <w:t>UE BW matches a BWP BW, if needed.</w:t>
      </w:r>
    </w:p>
    <w:p w14:paraId="35DB815F" w14:textId="77777777" w:rsidR="00FA0C0C" w:rsidRDefault="00FA0C0C" w:rsidP="00FA0C0C">
      <w:pPr>
        <w:pStyle w:val="1"/>
        <w:jc w:val="both"/>
        <w:rPr>
          <w:lang w:val="en-US"/>
        </w:rPr>
      </w:pPr>
      <w:r>
        <w:rPr>
          <w:lang w:val="en-US"/>
        </w:rPr>
        <w:t>Conclusions</w:t>
      </w:r>
    </w:p>
    <w:p w14:paraId="0F579A8B" w14:textId="4B926E01" w:rsidR="00F8348C" w:rsidRDefault="001819C1" w:rsidP="00582A16">
      <w:pPr>
        <w:spacing w:before="120" w:after="120"/>
        <w:rPr>
          <w:rFonts w:eastAsia="宋体"/>
          <w:lang w:eastAsia="zh-CN"/>
        </w:rPr>
      </w:pPr>
      <w:r>
        <w:rPr>
          <w:rFonts w:eastAsia="宋体"/>
          <w:lang w:eastAsia="zh-CN"/>
        </w:rPr>
        <w:t xml:space="preserve">In this paper we provided </w:t>
      </w:r>
      <w:r w:rsidR="00361E91">
        <w:rPr>
          <w:rFonts w:eastAsia="宋体"/>
          <w:lang w:eastAsia="zh-CN"/>
        </w:rPr>
        <w:t>our views</w:t>
      </w:r>
      <w:r w:rsidR="00361E91" w:rsidRPr="00215DF5">
        <w:rPr>
          <w:rFonts w:eastAsia="宋体"/>
          <w:lang w:eastAsia="zh-CN"/>
        </w:rPr>
        <w:t xml:space="preserve"> on</w:t>
      </w:r>
      <w:r w:rsidR="00065D56" w:rsidRPr="00065D56">
        <w:rPr>
          <w:rFonts w:eastAsia="宋体"/>
          <w:lang w:eastAsia="zh-CN"/>
        </w:rPr>
        <w:t xml:space="preserve"> </w:t>
      </w:r>
      <w:r w:rsidR="00EC4768">
        <w:rPr>
          <w:rFonts w:eastAsia="宋体"/>
          <w:lang w:eastAsia="zh-CN"/>
        </w:rPr>
        <w:t>r</w:t>
      </w:r>
      <w:r w:rsidR="00EC4768" w:rsidRPr="002115B7">
        <w:rPr>
          <w:rFonts w:eastAsia="宋体"/>
          <w:lang w:eastAsia="zh-CN"/>
        </w:rPr>
        <w:t xml:space="preserve">emaining issues in </w:t>
      </w:r>
      <w:r w:rsidR="00EC4768">
        <w:rPr>
          <w:rFonts w:eastAsia="宋体"/>
          <w:lang w:eastAsia="zh-CN"/>
        </w:rPr>
        <w:t>performance</w:t>
      </w:r>
      <w:r w:rsidR="00EC4768" w:rsidRPr="002115B7">
        <w:rPr>
          <w:rFonts w:eastAsia="宋体"/>
          <w:lang w:eastAsia="zh-CN"/>
        </w:rPr>
        <w:t xml:space="preserve"> requirements for </w:t>
      </w:r>
      <w:r w:rsidR="00F533CF">
        <w:rPr>
          <w:rFonts w:eastAsia="宋体"/>
          <w:lang w:eastAsia="zh-CN"/>
        </w:rPr>
        <w:t>RedCap</w:t>
      </w:r>
      <w:r w:rsidR="00EC4768" w:rsidRPr="00131E82">
        <w:rPr>
          <w:rFonts w:eastAsia="宋体"/>
          <w:lang w:eastAsia="zh-CN"/>
        </w:rPr>
        <w:t xml:space="preserve"> positioning</w:t>
      </w:r>
      <w:r w:rsidR="00D52875">
        <w:rPr>
          <w:rFonts w:eastAsia="宋体"/>
          <w:lang w:eastAsia="zh-CN"/>
        </w:rPr>
        <w:t>.</w:t>
      </w:r>
    </w:p>
    <w:p w14:paraId="317C2CC8" w14:textId="77777777" w:rsidR="006F6D4C" w:rsidRPr="006C2F9A" w:rsidRDefault="006F6D4C" w:rsidP="006F6D4C">
      <w:pPr>
        <w:spacing w:before="120" w:after="120"/>
        <w:rPr>
          <w:b/>
          <w:lang w:val="en-US"/>
        </w:rPr>
      </w:pPr>
      <w:r w:rsidRPr="006C2F9A">
        <w:rPr>
          <w:b/>
          <w:lang w:val="en-US"/>
        </w:rPr>
        <w:t>Proposal 1: On the group delay calibration margin for RedCap</w:t>
      </w:r>
      <w:r w:rsidRPr="006C2F9A">
        <w:rPr>
          <w:rFonts w:eastAsiaTheme="minorEastAsia" w:hint="eastAsia"/>
          <w:b/>
          <w:lang w:val="en-US" w:eastAsia="zh-CN"/>
        </w:rPr>
        <w:t xml:space="preserve"> </w:t>
      </w:r>
      <w:r w:rsidRPr="006C2F9A">
        <w:rPr>
          <w:rFonts w:eastAsiaTheme="minorEastAsia"/>
          <w:b/>
          <w:lang w:val="en-US" w:eastAsia="zh-CN"/>
        </w:rPr>
        <w:t xml:space="preserve">with </w:t>
      </w:r>
      <w:r w:rsidRPr="006C2F9A">
        <w:rPr>
          <w:rFonts w:hint="eastAsia"/>
          <w:b/>
          <w:lang w:val="en-US"/>
        </w:rPr>
        <w:t>F</w:t>
      </w:r>
      <w:r w:rsidRPr="006C2F9A">
        <w:rPr>
          <w:b/>
          <w:lang w:val="en-US"/>
        </w:rPr>
        <w:t>H, use existing values for non-RedCap for per-hop BW plus an extra margin of [4]ns.</w:t>
      </w:r>
    </w:p>
    <w:p w14:paraId="03CEB493" w14:textId="77777777" w:rsidR="006F6D4C" w:rsidRPr="006F6D4C" w:rsidRDefault="006F6D4C" w:rsidP="006F6D4C">
      <w:pPr>
        <w:spacing w:before="120" w:after="120"/>
        <w:rPr>
          <w:b/>
          <w:lang w:val="en-US"/>
        </w:rPr>
      </w:pPr>
      <w:r w:rsidRPr="006F6D4C">
        <w:rPr>
          <w:rFonts w:eastAsiaTheme="minorEastAsia" w:hint="eastAsia"/>
          <w:b/>
          <w:lang w:val="en-US" w:eastAsia="zh-CN"/>
        </w:rPr>
        <w:t>P</w:t>
      </w:r>
      <w:r w:rsidRPr="006F6D4C">
        <w:rPr>
          <w:rFonts w:eastAsiaTheme="minorEastAsia"/>
          <w:b/>
          <w:lang w:val="en-US" w:eastAsia="zh-CN"/>
        </w:rPr>
        <w:t xml:space="preserve">roposal 2: </w:t>
      </w:r>
      <w:r w:rsidRPr="006F6D4C">
        <w:rPr>
          <w:b/>
          <w:lang w:val="en-US"/>
        </w:rPr>
        <w:t>For PRS BW for FH TCs</w:t>
      </w:r>
      <w:r>
        <w:rPr>
          <w:b/>
          <w:lang w:val="en-US"/>
        </w:rPr>
        <w:t>,</w:t>
      </w:r>
    </w:p>
    <w:p w14:paraId="2BF21C8F" w14:textId="77777777" w:rsidR="006F6D4C" w:rsidRPr="006F6D4C" w:rsidRDefault="006F6D4C" w:rsidP="006F6D4C">
      <w:pPr>
        <w:pStyle w:val="afe"/>
        <w:numPr>
          <w:ilvl w:val="0"/>
          <w:numId w:val="43"/>
        </w:numPr>
        <w:spacing w:before="120" w:after="120"/>
        <w:rPr>
          <w:rFonts w:eastAsiaTheme="minorEastAsia"/>
          <w:b/>
          <w:lang w:eastAsia="zh-CN"/>
        </w:rPr>
      </w:pPr>
      <w:r w:rsidRPr="006F6D4C">
        <w:rPr>
          <w:b/>
        </w:rPr>
        <w:t>Cell BW and UE BW are to be separately defined</w:t>
      </w:r>
      <w:r>
        <w:rPr>
          <w:b/>
        </w:rPr>
        <w:t xml:space="preserve"> in test configuration</w:t>
      </w:r>
    </w:p>
    <w:p w14:paraId="023E536C" w14:textId="77777777" w:rsidR="006F6D4C" w:rsidRPr="006F6D4C" w:rsidRDefault="006F6D4C" w:rsidP="006F6D4C">
      <w:pPr>
        <w:pStyle w:val="afe"/>
        <w:numPr>
          <w:ilvl w:val="0"/>
          <w:numId w:val="43"/>
        </w:numPr>
        <w:spacing w:before="120" w:after="120"/>
        <w:rPr>
          <w:rFonts w:eastAsiaTheme="minorEastAsia"/>
          <w:b/>
          <w:lang w:eastAsia="zh-CN"/>
        </w:rPr>
      </w:pPr>
      <w:r w:rsidRPr="006F6D4C">
        <w:rPr>
          <w:rFonts w:eastAsiaTheme="minorEastAsia"/>
          <w:b/>
          <w:lang w:eastAsia="zh-CN"/>
        </w:rPr>
        <w:t>RMC BWs are to be aligned with UE BW</w:t>
      </w:r>
    </w:p>
    <w:p w14:paraId="2C1315ED" w14:textId="77777777" w:rsidR="006F6D4C" w:rsidRPr="006F6D4C" w:rsidRDefault="006F6D4C" w:rsidP="006F6D4C">
      <w:pPr>
        <w:pStyle w:val="afe"/>
        <w:numPr>
          <w:ilvl w:val="0"/>
          <w:numId w:val="43"/>
        </w:numPr>
        <w:spacing w:before="120" w:after="120"/>
        <w:rPr>
          <w:rFonts w:eastAsiaTheme="minorEastAsia"/>
          <w:b/>
          <w:lang w:eastAsia="zh-CN"/>
        </w:rPr>
      </w:pPr>
      <w:r w:rsidRPr="006F6D4C">
        <w:rPr>
          <w:rFonts w:eastAsiaTheme="minorEastAsia"/>
          <w:b/>
          <w:lang w:eastAsia="zh-CN"/>
        </w:rPr>
        <w:t xml:space="preserve">PRS BW and </w:t>
      </w:r>
      <w:r w:rsidRPr="006F6D4C">
        <w:rPr>
          <w:rFonts w:eastAsiaTheme="minorEastAsia" w:hint="eastAsia"/>
          <w:b/>
          <w:lang w:eastAsia="zh-CN"/>
        </w:rPr>
        <w:t>O</w:t>
      </w:r>
      <w:r w:rsidRPr="006F6D4C">
        <w:rPr>
          <w:rFonts w:eastAsiaTheme="minorEastAsia"/>
          <w:b/>
          <w:lang w:eastAsia="zh-CN"/>
        </w:rPr>
        <w:t>NCG BW are to be aligned with cell BW</w:t>
      </w:r>
    </w:p>
    <w:p w14:paraId="2521EFFA" w14:textId="3B2E4DF5" w:rsidR="00540395" w:rsidRPr="006F6D4C" w:rsidRDefault="006F6D4C" w:rsidP="00F533CF">
      <w:pPr>
        <w:pStyle w:val="afe"/>
        <w:numPr>
          <w:ilvl w:val="0"/>
          <w:numId w:val="43"/>
        </w:numPr>
        <w:spacing w:before="120" w:after="120"/>
        <w:rPr>
          <w:rFonts w:eastAsiaTheme="minorEastAsia"/>
          <w:b/>
          <w:lang w:eastAsia="zh-CN"/>
        </w:rPr>
      </w:pPr>
      <w:r w:rsidRPr="006F6D4C">
        <w:rPr>
          <w:b/>
        </w:rPr>
        <w:t>UE BW matches a BWP BW, if needed.</w:t>
      </w:r>
    </w:p>
    <w:p w14:paraId="2ED084EA" w14:textId="77777777" w:rsidR="00FA0C0C" w:rsidRDefault="00FA0C0C" w:rsidP="00FA0C0C">
      <w:pPr>
        <w:pStyle w:val="1"/>
        <w:jc w:val="both"/>
        <w:rPr>
          <w:lang w:val="en-US"/>
        </w:rPr>
      </w:pPr>
      <w:r w:rsidRPr="00C0754F">
        <w:rPr>
          <w:lang w:val="en-US"/>
        </w:rPr>
        <w:t>Reference</w:t>
      </w:r>
    </w:p>
    <w:p w14:paraId="1D565996" w14:textId="0E39D178" w:rsidR="00C3695A" w:rsidRPr="00C3695A" w:rsidRDefault="00892AF2" w:rsidP="006F1884">
      <w:pPr>
        <w:numPr>
          <w:ilvl w:val="0"/>
          <w:numId w:val="5"/>
        </w:numPr>
        <w:spacing w:before="120" w:after="120"/>
        <w:rPr>
          <w:rFonts w:eastAsia="宋体"/>
          <w:lang w:val="en-US" w:eastAsia="zh-CN"/>
        </w:rPr>
      </w:pPr>
      <w:r w:rsidRPr="00C3695A">
        <w:rPr>
          <w:rFonts w:eastAsia="宋体"/>
          <w:lang w:val="en-US" w:eastAsia="zh-CN"/>
        </w:rPr>
        <w:t>R4-241</w:t>
      </w:r>
      <w:r w:rsidR="002656A0" w:rsidRPr="00C3695A">
        <w:rPr>
          <w:rFonts w:eastAsia="宋体"/>
          <w:lang w:val="en-US" w:eastAsia="zh-CN"/>
        </w:rPr>
        <w:t>403</w:t>
      </w:r>
      <w:r w:rsidR="00C3695A" w:rsidRPr="00C3695A">
        <w:rPr>
          <w:rFonts w:eastAsia="宋体"/>
          <w:lang w:val="en-US" w:eastAsia="zh-CN"/>
        </w:rPr>
        <w:t>2</w:t>
      </w:r>
      <w:r w:rsidRPr="00C3695A">
        <w:rPr>
          <w:rFonts w:eastAsia="宋体"/>
          <w:lang w:val="en-US" w:eastAsia="zh-CN"/>
        </w:rPr>
        <w:t xml:space="preserve">, </w:t>
      </w:r>
      <w:r w:rsidR="00C3695A" w:rsidRPr="00C3695A">
        <w:rPr>
          <w:rFonts w:eastAsia="宋体"/>
          <w:lang w:val="en-US" w:eastAsia="zh-CN"/>
        </w:rPr>
        <w:t>WF on RedCap positioning and PRS/SRS bandwidth aggregation</w:t>
      </w:r>
      <w:r w:rsidRPr="00C3695A">
        <w:rPr>
          <w:rFonts w:eastAsia="宋体"/>
          <w:lang w:val="en-US" w:eastAsia="zh-CN"/>
        </w:rPr>
        <w:t xml:space="preserve">, </w:t>
      </w:r>
      <w:r w:rsidR="00C3695A" w:rsidRPr="00C3695A">
        <w:rPr>
          <w:rFonts w:eastAsia="宋体"/>
          <w:lang w:val="en-US" w:eastAsia="zh-CN"/>
        </w:rPr>
        <w:t>Ericsson</w:t>
      </w:r>
    </w:p>
    <w:sectPr w:rsidR="00C3695A" w:rsidRPr="00C3695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74321" w14:textId="77777777" w:rsidR="009A503D" w:rsidRDefault="009A503D">
      <w:pPr>
        <w:spacing w:before="120" w:after="120"/>
      </w:pPr>
      <w:r>
        <w:separator/>
      </w:r>
    </w:p>
  </w:endnote>
  <w:endnote w:type="continuationSeparator" w:id="0">
    <w:p w14:paraId="422BE226" w14:textId="77777777" w:rsidR="009A503D" w:rsidRDefault="009A503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72578C" w:rsidRDefault="0072578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72578C" w:rsidRDefault="0072578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7081D" w14:textId="77777777" w:rsidR="009A503D" w:rsidRDefault="009A503D">
      <w:pPr>
        <w:spacing w:before="120" w:after="120"/>
      </w:pPr>
      <w:r>
        <w:separator/>
      </w:r>
    </w:p>
  </w:footnote>
  <w:footnote w:type="continuationSeparator" w:id="0">
    <w:p w14:paraId="271D1DF6" w14:textId="77777777" w:rsidR="009A503D" w:rsidRDefault="009A503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2"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8421E3"/>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9" w15:restartNumberingAfterBreak="0">
    <w:nsid w:val="354E3AFB"/>
    <w:multiLevelType w:val="hybridMultilevel"/>
    <w:tmpl w:val="7FB6CD8E"/>
    <w:lvl w:ilvl="0" w:tplc="A11AEE3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BD8203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FAAF93B"/>
    <w:multiLevelType w:val="singleLevel"/>
    <w:tmpl w:val="3FAAF93B"/>
    <w:lvl w:ilvl="0">
      <w:start w:val="1"/>
      <w:numFmt w:val="bullet"/>
      <w:lvlText w:val=""/>
      <w:lvlJc w:val="left"/>
      <w:pPr>
        <w:tabs>
          <w:tab w:val="left" w:pos="420"/>
        </w:tabs>
        <w:ind w:left="420" w:hanging="420"/>
      </w:pPr>
      <w:rPr>
        <w:rFonts w:ascii="Wingdings" w:hAnsi="Wingdings" w:hint="default"/>
        <w:sz w:val="11"/>
        <w:szCs w:val="11"/>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7"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1A6CEA"/>
    <w:multiLevelType w:val="hybridMultilevel"/>
    <w:tmpl w:val="BB3C614E"/>
    <w:lvl w:ilvl="0" w:tplc="957073E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330591"/>
    <w:multiLevelType w:val="hybridMultilevel"/>
    <w:tmpl w:val="9786809A"/>
    <w:lvl w:ilvl="0" w:tplc="05084D8E">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38"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3"/>
  </w:num>
  <w:num w:numId="3">
    <w:abstractNumId w:val="40"/>
  </w:num>
  <w:num w:numId="4">
    <w:abstractNumId w:val="6"/>
  </w:num>
  <w:num w:numId="5">
    <w:abstractNumId w:val="13"/>
  </w:num>
  <w:num w:numId="6">
    <w:abstractNumId w:val="29"/>
  </w:num>
  <w:num w:numId="7">
    <w:abstractNumId w:val="18"/>
  </w:num>
  <w:num w:numId="8">
    <w:abstractNumId w:val="42"/>
    <w:lvlOverride w:ilvl="0">
      <w:startOverride w:val="1"/>
    </w:lvlOverride>
  </w:num>
  <w:num w:numId="9">
    <w:abstractNumId w:val="25"/>
  </w:num>
  <w:num w:numId="10">
    <w:abstractNumId w:val="36"/>
  </w:num>
  <w:num w:numId="11">
    <w:abstractNumId w:val="23"/>
  </w:num>
  <w:num w:numId="12">
    <w:abstractNumId w:val="34"/>
  </w:num>
  <w:num w:numId="13">
    <w:abstractNumId w:val="22"/>
  </w:num>
  <w:num w:numId="14">
    <w:abstractNumId w:val="20"/>
  </w:num>
  <w:num w:numId="15">
    <w:abstractNumId w:val="24"/>
  </w:num>
  <w:num w:numId="16">
    <w:abstractNumId w:val="0"/>
  </w:num>
  <w:num w:numId="17">
    <w:abstractNumId w:val="17"/>
  </w:num>
  <w:num w:numId="18">
    <w:abstractNumId w:val="16"/>
  </w:num>
  <w:num w:numId="19">
    <w:abstractNumId w:val="28"/>
  </w:num>
  <w:num w:numId="20">
    <w:abstractNumId w:val="32"/>
  </w:num>
  <w:num w:numId="21">
    <w:abstractNumId w:val="2"/>
  </w:num>
  <w:num w:numId="22">
    <w:abstractNumId w:val="27"/>
  </w:num>
  <w:num w:numId="23">
    <w:abstractNumId w:val="5"/>
  </w:num>
  <w:num w:numId="24">
    <w:abstractNumId w:val="7"/>
  </w:num>
  <w:num w:numId="25">
    <w:abstractNumId w:val="41"/>
  </w:num>
  <w:num w:numId="26">
    <w:abstractNumId w:val="38"/>
  </w:num>
  <w:num w:numId="27">
    <w:abstractNumId w:val="9"/>
  </w:num>
  <w:num w:numId="28">
    <w:abstractNumId w:val="26"/>
  </w:num>
  <w:num w:numId="29">
    <w:abstractNumId w:val="39"/>
  </w:num>
  <w:num w:numId="30">
    <w:abstractNumId w:val="3"/>
  </w:num>
  <w:num w:numId="31">
    <w:abstractNumId w:val="4"/>
  </w:num>
  <w:num w:numId="32">
    <w:abstractNumId w:val="10"/>
  </w:num>
  <w:num w:numId="33">
    <w:abstractNumId w:val="37"/>
  </w:num>
  <w:num w:numId="34">
    <w:abstractNumId w:val="8"/>
  </w:num>
  <w:num w:numId="35">
    <w:abstractNumId w:val="19"/>
  </w:num>
  <w:num w:numId="36">
    <w:abstractNumId w:val="11"/>
  </w:num>
  <w:num w:numId="37">
    <w:abstractNumId w:val="21"/>
  </w:num>
  <w:num w:numId="38">
    <w:abstractNumId w:val="14"/>
  </w:num>
  <w:num w:numId="39">
    <w:abstractNumId w:val="35"/>
  </w:num>
  <w:num w:numId="40">
    <w:abstractNumId w:val="1"/>
  </w:num>
  <w:num w:numId="41">
    <w:abstractNumId w:val="31"/>
  </w:num>
  <w:num w:numId="42">
    <w:abstractNumId w:val="12"/>
  </w:num>
  <w:num w:numId="43">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005"/>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D7D"/>
    <w:rsid w:val="00036F82"/>
    <w:rsid w:val="000375C1"/>
    <w:rsid w:val="00037795"/>
    <w:rsid w:val="000378CF"/>
    <w:rsid w:val="000400F5"/>
    <w:rsid w:val="00040107"/>
    <w:rsid w:val="000407D2"/>
    <w:rsid w:val="000407FE"/>
    <w:rsid w:val="00040A0C"/>
    <w:rsid w:val="00040AD7"/>
    <w:rsid w:val="00040D99"/>
    <w:rsid w:val="00040E87"/>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2E1"/>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D56"/>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F81"/>
    <w:rsid w:val="00075FB7"/>
    <w:rsid w:val="00076054"/>
    <w:rsid w:val="000760DF"/>
    <w:rsid w:val="00076370"/>
    <w:rsid w:val="000767B3"/>
    <w:rsid w:val="00076979"/>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2B5"/>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A05"/>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5B6"/>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1BB9"/>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59F"/>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6EF"/>
    <w:rsid w:val="00131878"/>
    <w:rsid w:val="00131908"/>
    <w:rsid w:val="00131A2A"/>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C22"/>
    <w:rsid w:val="001A1D6F"/>
    <w:rsid w:val="001A1F68"/>
    <w:rsid w:val="001A24F6"/>
    <w:rsid w:val="001A2B46"/>
    <w:rsid w:val="001A2F72"/>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3F68"/>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540"/>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4A91"/>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5C4"/>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695"/>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6A0"/>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267"/>
    <w:rsid w:val="00282AC3"/>
    <w:rsid w:val="00282B19"/>
    <w:rsid w:val="00283177"/>
    <w:rsid w:val="00283261"/>
    <w:rsid w:val="00283403"/>
    <w:rsid w:val="00283E8D"/>
    <w:rsid w:val="00283FFF"/>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74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4F"/>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864"/>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98A"/>
    <w:rsid w:val="00326B57"/>
    <w:rsid w:val="00326C9F"/>
    <w:rsid w:val="00327269"/>
    <w:rsid w:val="003274B2"/>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05E"/>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E91"/>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F80"/>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441"/>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862"/>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7CF"/>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DCB"/>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91A"/>
    <w:rsid w:val="00451B48"/>
    <w:rsid w:val="00452094"/>
    <w:rsid w:val="00452612"/>
    <w:rsid w:val="004528C9"/>
    <w:rsid w:val="00452C4F"/>
    <w:rsid w:val="00452C7D"/>
    <w:rsid w:val="00453468"/>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941"/>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607"/>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0F"/>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20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2F4D"/>
    <w:rsid w:val="004E319B"/>
    <w:rsid w:val="004E31B4"/>
    <w:rsid w:val="004E31F9"/>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C02"/>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395"/>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5F6"/>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6AAA"/>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3F1"/>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1F18"/>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242"/>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C80"/>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0B2"/>
    <w:rsid w:val="00662664"/>
    <w:rsid w:val="006626E9"/>
    <w:rsid w:val="00662900"/>
    <w:rsid w:val="00662949"/>
    <w:rsid w:val="00662D61"/>
    <w:rsid w:val="00663237"/>
    <w:rsid w:val="0066363C"/>
    <w:rsid w:val="00663893"/>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74A"/>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73D"/>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2F9A"/>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D4C"/>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39D"/>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7E4"/>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3C7"/>
    <w:rsid w:val="00783519"/>
    <w:rsid w:val="00783A15"/>
    <w:rsid w:val="00783AB7"/>
    <w:rsid w:val="00784143"/>
    <w:rsid w:val="0078441B"/>
    <w:rsid w:val="00784657"/>
    <w:rsid w:val="007846F4"/>
    <w:rsid w:val="00784BC1"/>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2EBE"/>
    <w:rsid w:val="007A323B"/>
    <w:rsid w:val="007A393B"/>
    <w:rsid w:val="007A3EEE"/>
    <w:rsid w:val="007A4232"/>
    <w:rsid w:val="007A427F"/>
    <w:rsid w:val="007A4593"/>
    <w:rsid w:val="007A462E"/>
    <w:rsid w:val="007A46C3"/>
    <w:rsid w:val="007A4713"/>
    <w:rsid w:val="007A47B8"/>
    <w:rsid w:val="007A4CB9"/>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571"/>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A45"/>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5F"/>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A97"/>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43"/>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8DB"/>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BA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4F6"/>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52"/>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8D8"/>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78"/>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A78"/>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1"/>
    <w:rsid w:val="00990917"/>
    <w:rsid w:val="00990BAD"/>
    <w:rsid w:val="00990C07"/>
    <w:rsid w:val="00990FA4"/>
    <w:rsid w:val="00990FCE"/>
    <w:rsid w:val="00990FE1"/>
    <w:rsid w:val="009912F9"/>
    <w:rsid w:val="00991462"/>
    <w:rsid w:val="009915D4"/>
    <w:rsid w:val="0099175F"/>
    <w:rsid w:val="0099179A"/>
    <w:rsid w:val="00991C35"/>
    <w:rsid w:val="00992349"/>
    <w:rsid w:val="009924FC"/>
    <w:rsid w:val="00992913"/>
    <w:rsid w:val="00992B23"/>
    <w:rsid w:val="00992B44"/>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03D"/>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440"/>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738"/>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59B"/>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9C8"/>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39"/>
    <w:rsid w:val="00A259CA"/>
    <w:rsid w:val="00A25AE9"/>
    <w:rsid w:val="00A25F0F"/>
    <w:rsid w:val="00A25F52"/>
    <w:rsid w:val="00A26490"/>
    <w:rsid w:val="00A26497"/>
    <w:rsid w:val="00A26644"/>
    <w:rsid w:val="00A26BC9"/>
    <w:rsid w:val="00A26E81"/>
    <w:rsid w:val="00A2732D"/>
    <w:rsid w:val="00A2757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1FC8"/>
    <w:rsid w:val="00A4284A"/>
    <w:rsid w:val="00A429AA"/>
    <w:rsid w:val="00A42AF1"/>
    <w:rsid w:val="00A42BFC"/>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E2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5DCF"/>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583"/>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588"/>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AB"/>
    <w:rsid w:val="00BE1AB9"/>
    <w:rsid w:val="00BE1B15"/>
    <w:rsid w:val="00BE1B72"/>
    <w:rsid w:val="00BE1E13"/>
    <w:rsid w:val="00BE1E6C"/>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6FC2"/>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217"/>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791"/>
    <w:rsid w:val="00C35A97"/>
    <w:rsid w:val="00C35AFD"/>
    <w:rsid w:val="00C35C7C"/>
    <w:rsid w:val="00C35D17"/>
    <w:rsid w:val="00C3695A"/>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DA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124"/>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671"/>
    <w:rsid w:val="00D027E5"/>
    <w:rsid w:val="00D02B0E"/>
    <w:rsid w:val="00D02E74"/>
    <w:rsid w:val="00D03100"/>
    <w:rsid w:val="00D03393"/>
    <w:rsid w:val="00D03435"/>
    <w:rsid w:val="00D03913"/>
    <w:rsid w:val="00D03C15"/>
    <w:rsid w:val="00D04054"/>
    <w:rsid w:val="00D04764"/>
    <w:rsid w:val="00D047FF"/>
    <w:rsid w:val="00D048EF"/>
    <w:rsid w:val="00D04D24"/>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5B2"/>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728"/>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225"/>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9BB"/>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102"/>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B3B"/>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2EE5"/>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87EFB"/>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1A61"/>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D11"/>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68"/>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C7ED5"/>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AA7"/>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CAD"/>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4EE"/>
    <w:rsid w:val="00F52576"/>
    <w:rsid w:val="00F52617"/>
    <w:rsid w:val="00F52B1F"/>
    <w:rsid w:val="00F53327"/>
    <w:rsid w:val="00F533CF"/>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C98"/>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6D5"/>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5CD"/>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0DEB"/>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42C"/>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0E38"/>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0">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0"/>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unhideWhenUsed/>
    <w:rsid w:val="00433DCB"/>
    <w:pPr>
      <w:numPr>
        <w:numId w:val="40"/>
      </w:numPr>
      <w:spacing w:beforeLines="0" w:before="0" w:afterLines="0" w:after="180" w:line="259" w:lineRule="auto"/>
      <w:contextualSpacing/>
    </w:pPr>
    <w:rPr>
      <w:rFonts w:eastAsia="宋体"/>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846215F-0B7A-464E-90E5-7C33B9051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22342</TotalTime>
  <Pages>1</Pages>
  <Words>623</Words>
  <Characters>3555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277</cp:revision>
  <cp:lastPrinted>2009-04-22T06:01:00Z</cp:lastPrinted>
  <dcterms:created xsi:type="dcterms:W3CDTF">2023-05-06T02:02:00Z</dcterms:created>
  <dcterms:modified xsi:type="dcterms:W3CDTF">2024-10-07T11:27:00Z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