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86108" w14:textId="297F849E" w:rsidR="00E310D5" w:rsidRPr="00EC534C" w:rsidRDefault="004552D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CN" w:eastAsia="zh-CN"/>
        </w:rPr>
      </w:pPr>
      <w:bookmarkStart w:id="0" w:name="OLE_LINK138"/>
      <w:bookmarkStart w:id="1" w:name="OLE_LINK137"/>
      <w:r w:rsidRPr="001340BE">
        <w:rPr>
          <w:rFonts w:eastAsia="Times New Roman" w:cs="Arial"/>
          <w:sz w:val="24"/>
          <w:szCs w:val="28"/>
          <w:lang w:val="en-US" w:eastAsia="zh-CN"/>
        </w:rPr>
        <w:t>3GPP TSG-RAN WG</w:t>
      </w:r>
      <w:r w:rsidR="00B11653" w:rsidRPr="001340BE">
        <w:rPr>
          <w:rFonts w:eastAsia="Times New Roman" w:cs="Arial"/>
          <w:sz w:val="24"/>
          <w:szCs w:val="28"/>
          <w:lang w:val="en-US" w:eastAsia="zh-CN"/>
        </w:rPr>
        <w:t>4</w:t>
      </w:r>
      <w:r w:rsidRPr="001340BE">
        <w:rPr>
          <w:rFonts w:eastAsia="Times New Roman" w:cs="Arial"/>
          <w:sz w:val="24"/>
          <w:szCs w:val="28"/>
          <w:lang w:val="en-US" w:eastAsia="zh-CN"/>
        </w:rPr>
        <w:t xml:space="preserve"> Meeting #1</w:t>
      </w:r>
      <w:r w:rsidR="00B11653" w:rsidRPr="001340BE">
        <w:rPr>
          <w:rFonts w:eastAsia="Times New Roman" w:cs="Arial"/>
          <w:sz w:val="24"/>
          <w:szCs w:val="28"/>
          <w:lang w:val="en-US" w:eastAsia="zh-CN"/>
        </w:rPr>
        <w:t>12</w:t>
      </w:r>
      <w:r w:rsidR="00647E2C" w:rsidRPr="001340BE">
        <w:rPr>
          <w:rFonts w:eastAsia="Times New Roman" w:cs="Arial"/>
          <w:sz w:val="24"/>
          <w:szCs w:val="28"/>
          <w:lang w:val="en-US" w:eastAsia="zh-CN"/>
        </w:rPr>
        <w:t>bis</w:t>
      </w:r>
      <w:r w:rsidRPr="001340BE">
        <w:rPr>
          <w:rFonts w:eastAsia="Times New Roman" w:cs="Arial"/>
          <w:sz w:val="24"/>
          <w:szCs w:val="28"/>
          <w:lang w:val="en-US" w:eastAsia="zh-CN"/>
        </w:rPr>
        <w:tab/>
      </w:r>
      <w:r w:rsidRPr="001340BE">
        <w:rPr>
          <w:rFonts w:eastAsia="Times New Roman" w:cs="Arial"/>
          <w:sz w:val="24"/>
          <w:szCs w:val="28"/>
          <w:lang w:val="en-US" w:eastAsia="zh-CN"/>
        </w:rPr>
        <w:tab/>
      </w:r>
      <w:r w:rsidR="00EC534C" w:rsidRPr="00EC534C">
        <w:rPr>
          <w:rFonts w:eastAsia="Times New Roman" w:cs="Arial"/>
          <w:sz w:val="24"/>
          <w:szCs w:val="28"/>
          <w:lang w:val="en-CN" w:eastAsia="zh-CN"/>
        </w:rPr>
        <w:t>R4-2415490</w:t>
      </w:r>
    </w:p>
    <w:p w14:paraId="660F664A" w14:textId="33EB1FD9" w:rsidR="00E310D5" w:rsidRPr="001340BE" w:rsidRDefault="00647E2C">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zh-CN"/>
        </w:rPr>
      </w:pPr>
      <w:r w:rsidRPr="001340BE">
        <w:rPr>
          <w:rFonts w:eastAsia="Times New Roman" w:cs="Arial"/>
          <w:sz w:val="24"/>
          <w:szCs w:val="28"/>
          <w:lang w:val="en-US" w:eastAsia="zh-CN"/>
        </w:rPr>
        <w:t>Hefei</w:t>
      </w:r>
      <w:r w:rsidR="004552DD" w:rsidRPr="001340BE">
        <w:rPr>
          <w:rFonts w:eastAsia="Times New Roman" w:cs="Arial"/>
          <w:sz w:val="24"/>
          <w:szCs w:val="28"/>
          <w:lang w:val="en-US" w:eastAsia="zh-CN"/>
        </w:rPr>
        <w:t xml:space="preserve">, </w:t>
      </w:r>
      <w:r w:rsidRPr="001340BE">
        <w:rPr>
          <w:rFonts w:eastAsia="Times New Roman" w:cs="Arial"/>
          <w:sz w:val="24"/>
          <w:szCs w:val="28"/>
          <w:lang w:val="en-US" w:eastAsia="zh-CN"/>
        </w:rPr>
        <w:t>China</w:t>
      </w:r>
      <w:r w:rsidR="00FC08BD" w:rsidRPr="001340BE">
        <w:rPr>
          <w:rFonts w:eastAsia="Times New Roman" w:cs="Arial"/>
          <w:sz w:val="24"/>
          <w:szCs w:val="28"/>
          <w:lang w:val="en-US" w:eastAsia="zh-CN"/>
        </w:rPr>
        <w:t>,</w:t>
      </w:r>
      <w:r w:rsidR="004552DD" w:rsidRPr="001340BE">
        <w:rPr>
          <w:rFonts w:eastAsia="Times New Roman" w:cs="Arial"/>
          <w:sz w:val="24"/>
          <w:szCs w:val="28"/>
          <w:lang w:val="en-US" w:eastAsia="zh-CN"/>
        </w:rPr>
        <w:t xml:space="preserve"> </w:t>
      </w:r>
      <w:r w:rsidRPr="001340BE">
        <w:rPr>
          <w:rFonts w:eastAsia="Times New Roman" w:cs="Arial"/>
          <w:sz w:val="24"/>
          <w:szCs w:val="28"/>
          <w:lang w:val="en-US" w:eastAsia="zh-CN"/>
        </w:rPr>
        <w:t>14</w:t>
      </w:r>
      <w:r w:rsidR="004552DD" w:rsidRPr="001340BE">
        <w:rPr>
          <w:rFonts w:eastAsia="Times New Roman" w:cs="Arial"/>
          <w:sz w:val="24"/>
          <w:szCs w:val="28"/>
          <w:lang w:val="en-US" w:eastAsia="zh-CN"/>
        </w:rPr>
        <w:t xml:space="preserve"> – </w:t>
      </w:r>
      <w:r w:rsidRPr="001340BE">
        <w:rPr>
          <w:rFonts w:eastAsia="Times New Roman" w:cs="Arial"/>
          <w:sz w:val="24"/>
          <w:szCs w:val="28"/>
          <w:lang w:val="en-US" w:eastAsia="zh-CN"/>
        </w:rPr>
        <w:t>18</w:t>
      </w:r>
      <w:r w:rsidR="004552DD" w:rsidRPr="001340BE">
        <w:rPr>
          <w:rFonts w:eastAsia="Times New Roman" w:cs="Arial"/>
          <w:sz w:val="24"/>
          <w:szCs w:val="28"/>
          <w:lang w:val="en-US" w:eastAsia="zh-CN"/>
        </w:rPr>
        <w:t>, 2024</w:t>
      </w:r>
      <w:r w:rsidR="004552DD" w:rsidRPr="001340BE">
        <w:rPr>
          <w:rFonts w:cs="Arial"/>
          <w:szCs w:val="24"/>
          <w:lang w:val="en-US" w:eastAsia="zh-CN"/>
        </w:rPr>
        <w:tab/>
      </w:r>
    </w:p>
    <w:p w14:paraId="77D424C8" w14:textId="77777777" w:rsidR="00E310D5" w:rsidRPr="001340BE" w:rsidRDefault="00E310D5">
      <w:pPr>
        <w:pStyle w:val="3GPPHeader"/>
        <w:rPr>
          <w:rFonts w:ascii="Arial" w:hAnsi="Arial" w:cs="Arial"/>
          <w:color w:val="FF0000"/>
          <w:szCs w:val="24"/>
          <w:lang w:val="en-US" w:eastAsia="zh-TW"/>
        </w:rPr>
      </w:pPr>
    </w:p>
    <w:p w14:paraId="20940F2F" w14:textId="5A0DEFE9" w:rsidR="00E310D5" w:rsidRPr="001340BE" w:rsidRDefault="004552DD">
      <w:pPr>
        <w:pStyle w:val="3GPPHeader"/>
        <w:rPr>
          <w:rFonts w:ascii="Arial" w:hAnsi="Arial" w:cs="Arial"/>
          <w:szCs w:val="24"/>
          <w:lang w:val="en-US" w:eastAsia="zh-TW"/>
        </w:rPr>
      </w:pPr>
      <w:r w:rsidRPr="001340BE">
        <w:rPr>
          <w:rFonts w:ascii="Arial" w:hAnsi="Arial" w:cs="Arial"/>
          <w:szCs w:val="24"/>
          <w:lang w:val="en-US"/>
        </w:rPr>
        <w:t>Agenda Item:</w:t>
      </w:r>
      <w:r w:rsidRPr="001340BE">
        <w:rPr>
          <w:rFonts w:ascii="Arial" w:hAnsi="Arial" w:cs="Arial"/>
          <w:szCs w:val="24"/>
          <w:lang w:val="en-US"/>
        </w:rPr>
        <w:tab/>
      </w:r>
      <w:r w:rsidR="00F954A0" w:rsidRPr="001340BE">
        <w:rPr>
          <w:rFonts w:ascii="Arial" w:hAnsi="Arial" w:cs="Arial"/>
          <w:szCs w:val="24"/>
          <w:lang w:val="en-US"/>
        </w:rPr>
        <w:t>6.22.2.1</w:t>
      </w:r>
    </w:p>
    <w:p w14:paraId="6B1741BB" w14:textId="5EFA0B03" w:rsidR="00E310D5" w:rsidRPr="001340BE" w:rsidRDefault="004552DD">
      <w:pPr>
        <w:pStyle w:val="3GPPHeader"/>
        <w:rPr>
          <w:rFonts w:ascii="Arial" w:hAnsi="Arial" w:cs="Arial"/>
          <w:szCs w:val="24"/>
          <w:lang w:val="en-US"/>
        </w:rPr>
      </w:pPr>
      <w:r w:rsidRPr="001340BE">
        <w:rPr>
          <w:rFonts w:ascii="Arial" w:hAnsi="Arial" w:cs="Arial"/>
          <w:szCs w:val="24"/>
          <w:lang w:val="en-US"/>
        </w:rPr>
        <w:t xml:space="preserve">Source: </w:t>
      </w:r>
      <w:r w:rsidRPr="001340BE">
        <w:rPr>
          <w:rFonts w:ascii="Arial" w:hAnsi="Arial" w:cs="Arial"/>
          <w:szCs w:val="24"/>
          <w:lang w:val="en-US"/>
        </w:rPr>
        <w:tab/>
        <w:t>Apple</w:t>
      </w:r>
    </w:p>
    <w:p w14:paraId="7641A3F5" w14:textId="00381B5F" w:rsidR="00E310D5" w:rsidRPr="00725DC0" w:rsidRDefault="004552DD" w:rsidP="00725DC0">
      <w:pPr>
        <w:pStyle w:val="3GPPHeaderArial"/>
        <w:tabs>
          <w:tab w:val="left" w:pos="1701"/>
        </w:tabs>
        <w:ind w:left="1701" w:hanging="1701"/>
        <w:rPr>
          <w:b/>
          <w:sz w:val="24"/>
          <w:lang w:val="en-CN"/>
        </w:rPr>
      </w:pPr>
      <w:r w:rsidRPr="001340BE">
        <w:rPr>
          <w:b/>
          <w:sz w:val="24"/>
        </w:rPr>
        <w:t>Title:</w:t>
      </w:r>
      <w:r w:rsidRPr="001340BE">
        <w:rPr>
          <w:b/>
          <w:sz w:val="24"/>
        </w:rPr>
        <w:tab/>
      </w:r>
      <w:r w:rsidR="00725DC0" w:rsidRPr="00725DC0">
        <w:rPr>
          <w:b/>
          <w:sz w:val="24"/>
          <w:lang w:val="en-CN"/>
        </w:rPr>
        <w:t>Discussion on adaptation of common signal/channel transmission</w:t>
      </w:r>
    </w:p>
    <w:p w14:paraId="4F3BE61D" w14:textId="77777777" w:rsidR="00E310D5" w:rsidRPr="001340BE" w:rsidRDefault="00E310D5">
      <w:pPr>
        <w:pStyle w:val="3GPPHeaderArial"/>
        <w:tabs>
          <w:tab w:val="left" w:pos="1701"/>
        </w:tabs>
        <w:rPr>
          <w:b/>
          <w:sz w:val="24"/>
          <w:lang w:eastAsia="zh-TW"/>
        </w:rPr>
      </w:pPr>
    </w:p>
    <w:p w14:paraId="47F7C6F8" w14:textId="5C8E7F9E" w:rsidR="00E310D5" w:rsidRPr="001340BE" w:rsidRDefault="004552DD">
      <w:pPr>
        <w:pStyle w:val="3GPPHeader"/>
        <w:rPr>
          <w:rFonts w:ascii="Arial" w:hAnsi="Arial" w:cs="Arial"/>
          <w:szCs w:val="24"/>
          <w:lang w:val="en-US"/>
        </w:rPr>
      </w:pPr>
      <w:r w:rsidRPr="001340BE">
        <w:rPr>
          <w:rFonts w:ascii="Arial" w:hAnsi="Arial" w:cs="Arial"/>
          <w:szCs w:val="24"/>
          <w:lang w:val="en-US"/>
        </w:rPr>
        <w:t>Document for:</w:t>
      </w:r>
      <w:r w:rsidR="00B125DE" w:rsidRPr="001340BE">
        <w:rPr>
          <w:rFonts w:ascii="Arial" w:hAnsi="Arial" w:cs="Arial"/>
          <w:szCs w:val="24"/>
          <w:lang w:val="en-US"/>
        </w:rPr>
        <w:tab/>
        <w:t xml:space="preserve">Approval </w:t>
      </w:r>
    </w:p>
    <w:p w14:paraId="0798E92C" w14:textId="77777777" w:rsidR="00E310D5" w:rsidRPr="001340BE" w:rsidRDefault="004552DD">
      <w:pPr>
        <w:pStyle w:val="Heading1"/>
        <w:overflowPunct w:val="0"/>
        <w:autoSpaceDE w:val="0"/>
        <w:autoSpaceDN w:val="0"/>
        <w:adjustRightInd w:val="0"/>
        <w:rPr>
          <w:rFonts w:eastAsia="PMingLiU" w:cs="Arial"/>
          <w:lang w:val="en-US"/>
        </w:rPr>
      </w:pPr>
      <w:r w:rsidRPr="001340BE">
        <w:rPr>
          <w:rFonts w:eastAsia="PMingLiU" w:cs="Arial"/>
          <w:lang w:val="en-US"/>
        </w:rPr>
        <w:t>Introduction</w:t>
      </w:r>
      <w:bookmarkStart w:id="2" w:name="OLE_LINK39"/>
      <w:bookmarkStart w:id="3" w:name="OLE_LINK37"/>
      <w:bookmarkStart w:id="4" w:name="OLE_LINK38"/>
    </w:p>
    <w:bookmarkEnd w:id="2"/>
    <w:bookmarkEnd w:id="3"/>
    <w:bookmarkEnd w:id="4"/>
    <w:p w14:paraId="2DD9D8F3" w14:textId="71026C5E" w:rsidR="00E56D31" w:rsidRPr="001340BE" w:rsidRDefault="00011DF5">
      <w:pPr>
        <w:spacing w:before="120" w:after="120"/>
        <w:jc w:val="both"/>
      </w:pPr>
      <w:r w:rsidRPr="001340BE">
        <w:t xml:space="preserve">RAN4 requirements for </w:t>
      </w:r>
      <w:r w:rsidR="008C084E" w:rsidRPr="008C084E">
        <w:rPr>
          <w:bCs/>
          <w:lang w:val="en-CN"/>
        </w:rPr>
        <w:t>adaptation of common signal/channel transmission</w:t>
      </w:r>
      <w:r w:rsidR="008C084E" w:rsidRPr="008C084E">
        <w:t xml:space="preserve"> </w:t>
      </w:r>
      <w:r w:rsidRPr="001340BE">
        <w:t>was widely discussed in the previous RAN4 meeting. The latest agreements can be found in [1].</w:t>
      </w:r>
      <w:r w:rsidR="00785FB1" w:rsidRPr="001340BE">
        <w:t xml:space="preserve"> There are quite many open issues as captured in [1].</w:t>
      </w:r>
      <w:r w:rsidR="0073395D" w:rsidRPr="001340BE">
        <w:t xml:space="preserve"> </w:t>
      </w:r>
    </w:p>
    <w:p w14:paraId="7205A8FB" w14:textId="0092E3D5" w:rsidR="00E310D5" w:rsidRPr="001340BE" w:rsidRDefault="00785FB1">
      <w:pPr>
        <w:spacing w:before="120" w:after="120"/>
        <w:jc w:val="both"/>
      </w:pPr>
      <w:r w:rsidRPr="001340BE">
        <w:t>In this contribution, we</w:t>
      </w:r>
      <w:r w:rsidR="00E56D31" w:rsidRPr="001340BE">
        <w:t xml:space="preserve"> will </w:t>
      </w:r>
      <w:r w:rsidR="009614A8">
        <w:t>continue discussion on</w:t>
      </w:r>
      <w:r w:rsidR="00E56D31" w:rsidRPr="001340BE">
        <w:t xml:space="preserve"> all</w:t>
      </w:r>
      <w:r w:rsidRPr="001340BE">
        <w:t xml:space="preserve"> open issues</w:t>
      </w:r>
      <w:r w:rsidR="00E56D31" w:rsidRPr="001340BE">
        <w:t xml:space="preserve"> listed in RAN4 WF [1]</w:t>
      </w:r>
      <w:r w:rsidRPr="001340BE">
        <w:t>. After discussion, corresponding proposals are provided.</w:t>
      </w:r>
    </w:p>
    <w:p w14:paraId="4D0B89A1" w14:textId="77777777" w:rsidR="00DF3439" w:rsidRPr="001340BE" w:rsidRDefault="00DF3439">
      <w:pPr>
        <w:spacing w:before="120" w:after="120"/>
        <w:jc w:val="both"/>
        <w:rPr>
          <w:rFonts w:ascii="Arial" w:eastAsiaTheme="minorEastAsia" w:hAnsi="Arial" w:cs="Arial"/>
          <w:b/>
          <w:bCs/>
        </w:rPr>
      </w:pPr>
    </w:p>
    <w:p w14:paraId="3E25962B" w14:textId="74C3BD48" w:rsidR="00E310D5" w:rsidRPr="001340BE" w:rsidRDefault="00B14301">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Discussion</w:t>
      </w:r>
    </w:p>
    <w:p w14:paraId="495851AD" w14:textId="7A36BA5B" w:rsidR="009D2814" w:rsidRPr="00451DF2" w:rsidRDefault="00451DF2" w:rsidP="00451DF2">
      <w:pPr>
        <w:pStyle w:val="Heading2"/>
      </w:pPr>
      <w:r w:rsidRPr="00451DF2">
        <w:t>SSB Adaptation requirements</w:t>
      </w:r>
    </w:p>
    <w:p w14:paraId="768B5869" w14:textId="77777777" w:rsidR="00D05F24" w:rsidRPr="00D05F24" w:rsidRDefault="00D05F24" w:rsidP="00D05F24">
      <w:pPr>
        <w:rPr>
          <w:lang w:val="en-GB" w:eastAsia="en-US"/>
        </w:rPr>
      </w:pPr>
      <w:r w:rsidRPr="00D05F24">
        <w:rPr>
          <w:b/>
          <w:bCs/>
          <w:u w:val="single"/>
          <w:lang w:val="en-GB" w:eastAsia="en-US"/>
        </w:rPr>
        <w:t>Issue 3-1-1: SSB adaptation in IDLE/CONNECTED mode</w:t>
      </w:r>
    </w:p>
    <w:p w14:paraId="5ACBA12A" w14:textId="77777777" w:rsidR="00D05F24" w:rsidRPr="00D05F24" w:rsidRDefault="00D05F24" w:rsidP="00D05F24">
      <w:pPr>
        <w:numPr>
          <w:ilvl w:val="0"/>
          <w:numId w:val="46"/>
        </w:numPr>
        <w:rPr>
          <w:lang w:eastAsia="en-US"/>
        </w:rPr>
      </w:pPr>
      <w:r w:rsidRPr="00D05F24">
        <w:rPr>
          <w:lang w:eastAsia="en-US"/>
        </w:rPr>
        <w:t>Agreement</w:t>
      </w:r>
    </w:p>
    <w:p w14:paraId="50F2AD2F" w14:textId="77777777" w:rsidR="00D05F24" w:rsidRPr="00D05F24" w:rsidRDefault="00D05F24" w:rsidP="00D05F24">
      <w:pPr>
        <w:numPr>
          <w:ilvl w:val="1"/>
          <w:numId w:val="46"/>
        </w:numPr>
        <w:rPr>
          <w:lang w:eastAsia="en-US"/>
        </w:rPr>
      </w:pPr>
      <w:r w:rsidRPr="00D05F24">
        <w:rPr>
          <w:lang w:eastAsia="en-US"/>
        </w:rPr>
        <w:t>RAN4 to prioritize the SSB adaptation discussion in CONNECTED mode.</w:t>
      </w:r>
    </w:p>
    <w:p w14:paraId="08EAD79E" w14:textId="77777777" w:rsidR="00D05F24" w:rsidRPr="00D05F24" w:rsidRDefault="00D05F24" w:rsidP="00D05F24">
      <w:pPr>
        <w:numPr>
          <w:ilvl w:val="1"/>
          <w:numId w:val="46"/>
        </w:numPr>
        <w:rPr>
          <w:lang w:eastAsia="en-US"/>
        </w:rPr>
      </w:pPr>
      <w:r w:rsidRPr="00D05F24">
        <w:rPr>
          <w:lang w:eastAsia="en-US"/>
        </w:rPr>
        <w:t>Whether to discuss SSB adaptation in IDLE mode depends on RAN1 progress</w:t>
      </w:r>
    </w:p>
    <w:p w14:paraId="4747CD98" w14:textId="3E18447E" w:rsidR="00D05F24" w:rsidRDefault="00EE2245" w:rsidP="0009638C">
      <w:pPr>
        <w:spacing w:before="120" w:after="120"/>
        <w:jc w:val="both"/>
      </w:pPr>
      <w:r>
        <w:t>According to RAN1 progress in RAN1#118, SSB adaptation is not yet confirmed:</w:t>
      </w:r>
    </w:p>
    <w:p w14:paraId="5A78773B" w14:textId="77777777" w:rsidR="00EE2245" w:rsidRPr="00EE2245" w:rsidRDefault="00EE2245" w:rsidP="00EE2245">
      <w:pPr>
        <w:ind w:left="360"/>
        <w:rPr>
          <w:color w:val="0070C0"/>
          <w:lang w:val="en-GB" w:eastAsia="en-US"/>
        </w:rPr>
      </w:pPr>
      <w:r w:rsidRPr="00EE2245">
        <w:rPr>
          <w:color w:val="0070C0"/>
          <w:lang w:val="en-GB" w:eastAsia="en-US"/>
        </w:rPr>
        <w:t>Study further the following for Rel-19 NES-capable UE in idle/inactive mode</w:t>
      </w:r>
    </w:p>
    <w:p w14:paraId="5A82EAC6" w14:textId="77777777" w:rsidR="00EE2245" w:rsidRPr="00EE2245" w:rsidRDefault="00EE2245" w:rsidP="00EE2245">
      <w:pPr>
        <w:numPr>
          <w:ilvl w:val="0"/>
          <w:numId w:val="48"/>
        </w:numPr>
        <w:tabs>
          <w:tab w:val="clear" w:pos="720"/>
          <w:tab w:val="num" w:pos="1080"/>
        </w:tabs>
        <w:ind w:left="1080"/>
        <w:rPr>
          <w:color w:val="0070C0"/>
          <w:lang w:val="en-GB" w:eastAsia="en-US"/>
        </w:rPr>
      </w:pPr>
      <w:r w:rsidRPr="00EE2245">
        <w:rPr>
          <w:color w:val="0070C0"/>
          <w:lang w:val="en-GB" w:eastAsia="en-US"/>
        </w:rPr>
        <w:t xml:space="preserve">[Option 1: Adaptation of CD-SSB] </w:t>
      </w:r>
    </w:p>
    <w:p w14:paraId="6B758DB0" w14:textId="77777777" w:rsidR="00EE2245" w:rsidRPr="00EE2245" w:rsidRDefault="00EE2245" w:rsidP="00EE2245">
      <w:pPr>
        <w:numPr>
          <w:ilvl w:val="0"/>
          <w:numId w:val="48"/>
        </w:numPr>
        <w:tabs>
          <w:tab w:val="clear" w:pos="720"/>
          <w:tab w:val="num" w:pos="1080"/>
        </w:tabs>
        <w:ind w:left="1080"/>
        <w:rPr>
          <w:color w:val="0070C0"/>
          <w:lang w:val="en-GB" w:eastAsia="en-US"/>
        </w:rPr>
      </w:pPr>
      <w:r w:rsidRPr="00EE2245">
        <w:rPr>
          <w:color w:val="0070C0"/>
          <w:lang w:val="en-GB" w:eastAsia="en-US"/>
        </w:rPr>
        <w:t xml:space="preserve">Option 2: Adaptation of CD-SSB at least for a cell not providing initial cell selection </w:t>
      </w:r>
    </w:p>
    <w:p w14:paraId="17C97806" w14:textId="77777777" w:rsidR="00EE2245" w:rsidRPr="00EE2245" w:rsidRDefault="00EE2245" w:rsidP="00EE2245">
      <w:pPr>
        <w:numPr>
          <w:ilvl w:val="1"/>
          <w:numId w:val="48"/>
        </w:numPr>
        <w:tabs>
          <w:tab w:val="clear" w:pos="1440"/>
          <w:tab w:val="num" w:pos="1800"/>
        </w:tabs>
        <w:ind w:left="1800"/>
        <w:rPr>
          <w:color w:val="0070C0"/>
          <w:lang w:val="en-GB" w:eastAsia="en-US"/>
        </w:rPr>
      </w:pPr>
      <w:r w:rsidRPr="00EE2245">
        <w:rPr>
          <w:color w:val="0070C0"/>
          <w:lang w:val="en-GB" w:eastAsia="en-US"/>
        </w:rPr>
        <w:t>FFS: whether R19 NES-capable UE can use the cell for initial cell selection</w:t>
      </w:r>
    </w:p>
    <w:p w14:paraId="270E44FD" w14:textId="77777777" w:rsidR="00EE2245" w:rsidRPr="00EE2245" w:rsidRDefault="00EE2245" w:rsidP="00EE2245">
      <w:pPr>
        <w:numPr>
          <w:ilvl w:val="0"/>
          <w:numId w:val="48"/>
        </w:numPr>
        <w:tabs>
          <w:tab w:val="clear" w:pos="720"/>
          <w:tab w:val="num" w:pos="1080"/>
        </w:tabs>
        <w:ind w:left="1080"/>
        <w:rPr>
          <w:color w:val="0070C0"/>
          <w:lang w:val="en-GB" w:eastAsia="en-US"/>
        </w:rPr>
      </w:pPr>
      <w:r w:rsidRPr="00EE2245">
        <w:rPr>
          <w:color w:val="0070C0"/>
          <w:lang w:val="en-GB" w:eastAsia="en-US"/>
        </w:rPr>
        <w:t>Option 3: Adaptation of SSB that is not CD-SSB at least for a cell that has large periodicity CD-SSB (e.g. periodicity greater than 20 msec)</w:t>
      </w:r>
    </w:p>
    <w:p w14:paraId="69796A56" w14:textId="77777777" w:rsidR="00EE2245" w:rsidRPr="00EE2245" w:rsidRDefault="00EE2245" w:rsidP="00EE2245">
      <w:pPr>
        <w:numPr>
          <w:ilvl w:val="1"/>
          <w:numId w:val="48"/>
        </w:numPr>
        <w:tabs>
          <w:tab w:val="clear" w:pos="1440"/>
          <w:tab w:val="num" w:pos="1800"/>
        </w:tabs>
        <w:ind w:left="1800"/>
        <w:rPr>
          <w:color w:val="0070C0"/>
          <w:lang w:val="en-GB" w:eastAsia="en-US"/>
        </w:rPr>
      </w:pPr>
      <w:r w:rsidRPr="00EE2245">
        <w:rPr>
          <w:color w:val="0070C0"/>
          <w:lang w:val="en-GB" w:eastAsia="en-US"/>
        </w:rPr>
        <w:t>No adaptation on CD-SSB</w:t>
      </w:r>
    </w:p>
    <w:p w14:paraId="71F14992" w14:textId="77777777" w:rsidR="00EE2245" w:rsidRPr="00EE2245" w:rsidRDefault="00EE2245" w:rsidP="00EE2245">
      <w:pPr>
        <w:numPr>
          <w:ilvl w:val="0"/>
          <w:numId w:val="48"/>
        </w:numPr>
        <w:tabs>
          <w:tab w:val="clear" w:pos="720"/>
          <w:tab w:val="num" w:pos="1080"/>
        </w:tabs>
        <w:ind w:left="1080"/>
        <w:rPr>
          <w:lang w:val="en-GB" w:eastAsia="en-US"/>
        </w:rPr>
      </w:pPr>
      <w:r w:rsidRPr="00EE2245">
        <w:rPr>
          <w:color w:val="0070C0"/>
          <w:lang w:val="en-GB" w:eastAsia="en-US"/>
        </w:rPr>
        <w:t>Option 4: No additional SSB adaptation mechanism is specified</w:t>
      </w:r>
    </w:p>
    <w:p w14:paraId="1294E3E1" w14:textId="640C06ED" w:rsidR="00EE2245" w:rsidRPr="0009638C" w:rsidRDefault="00EE2245" w:rsidP="0009638C">
      <w:pPr>
        <w:spacing w:before="120" w:after="120"/>
        <w:jc w:val="both"/>
      </w:pPr>
      <w:r w:rsidRPr="0009638C">
        <w:t xml:space="preserve">Therefore, RAN4 doesn’t need to discuss SSB adaptation in IDLE mode at current stage. </w:t>
      </w:r>
    </w:p>
    <w:p w14:paraId="446192A2" w14:textId="6E1BD954" w:rsidR="0009638C" w:rsidRPr="0009638C" w:rsidRDefault="0009638C" w:rsidP="0009638C">
      <w:pPr>
        <w:pStyle w:val="Caption"/>
        <w:rPr>
          <w:lang w:val="en-US" w:eastAsia="zh-TW"/>
        </w:rPr>
      </w:pPr>
      <w:bookmarkStart w:id="5" w:name="_Ref179219052"/>
      <w:r>
        <w:t xml:space="preserve">Proposal </w:t>
      </w:r>
      <w:r>
        <w:fldChar w:fldCharType="begin"/>
      </w:r>
      <w:r>
        <w:instrText xml:space="preserve"> SEQ Proposal \* ARABIC </w:instrText>
      </w:r>
      <w:r>
        <w:fldChar w:fldCharType="separate"/>
      </w:r>
      <w:r w:rsidR="003F05E0">
        <w:rPr>
          <w:noProof/>
        </w:rPr>
        <w:t>1</w:t>
      </w:r>
      <w:r>
        <w:fldChar w:fldCharType="end"/>
      </w:r>
      <w:r>
        <w:t xml:space="preserve">: </w:t>
      </w:r>
      <w:r w:rsidRPr="0009638C">
        <w:rPr>
          <w:lang w:val="en-US" w:eastAsia="zh-TW"/>
        </w:rPr>
        <w:t>RAN4 doesn’t need to discuss SSB adaptation in IDLE mode at current stage</w:t>
      </w:r>
      <w:r>
        <w:rPr>
          <w:lang w:val="en-US" w:eastAsia="zh-TW"/>
        </w:rPr>
        <w:t>.</w:t>
      </w:r>
      <w:bookmarkEnd w:id="5"/>
    </w:p>
    <w:p w14:paraId="22A5215A" w14:textId="1E8D64B4" w:rsidR="001A49E3" w:rsidRDefault="001A49E3" w:rsidP="0009638C">
      <w:pPr>
        <w:spacing w:before="120" w:after="120"/>
        <w:jc w:val="both"/>
      </w:pPr>
    </w:p>
    <w:p w14:paraId="448EF525" w14:textId="77777777" w:rsidR="00F90291" w:rsidRPr="00F90291" w:rsidRDefault="00F90291" w:rsidP="00F90291">
      <w:pPr>
        <w:spacing w:before="120" w:after="120"/>
        <w:jc w:val="both"/>
        <w:rPr>
          <w:lang w:val="en-GB"/>
        </w:rPr>
      </w:pPr>
      <w:r w:rsidRPr="00F90291">
        <w:rPr>
          <w:b/>
          <w:bCs/>
          <w:u w:val="single"/>
          <w:lang w:val="en-GB"/>
        </w:rPr>
        <w:t>Issue 3-1-2: SSB adaptation impact in RRM requirement</w:t>
      </w:r>
    </w:p>
    <w:p w14:paraId="3B5F65AE" w14:textId="77777777" w:rsidR="00F90291" w:rsidRPr="00F90291" w:rsidRDefault="00F90291" w:rsidP="00F90291">
      <w:pPr>
        <w:numPr>
          <w:ilvl w:val="0"/>
          <w:numId w:val="49"/>
        </w:numPr>
        <w:spacing w:before="120" w:after="120"/>
        <w:jc w:val="both"/>
        <w:rPr>
          <w:lang w:val="en-GB"/>
        </w:rPr>
      </w:pPr>
      <w:r w:rsidRPr="00F90291">
        <w:rPr>
          <w:lang w:val="en-GB"/>
        </w:rPr>
        <w:t>Agreement: SSB adaptation impact in RRM requirement</w:t>
      </w:r>
    </w:p>
    <w:p w14:paraId="55CCAADD" w14:textId="77777777" w:rsidR="00F90291" w:rsidRPr="00F90291" w:rsidRDefault="00F90291" w:rsidP="00F90291">
      <w:pPr>
        <w:numPr>
          <w:ilvl w:val="1"/>
          <w:numId w:val="49"/>
        </w:numPr>
        <w:spacing w:before="120" w:after="120"/>
        <w:jc w:val="both"/>
      </w:pPr>
      <w:r w:rsidRPr="00F90291">
        <w:t>RAN4 to discuss the L1/L3 measurement requirement impact as starting point.</w:t>
      </w:r>
    </w:p>
    <w:p w14:paraId="27C3B448" w14:textId="77777777" w:rsidR="00F90291" w:rsidRPr="00F90291" w:rsidRDefault="00F90291" w:rsidP="00F90291">
      <w:pPr>
        <w:numPr>
          <w:ilvl w:val="0"/>
          <w:numId w:val="49"/>
        </w:numPr>
        <w:spacing w:before="120" w:after="120"/>
        <w:jc w:val="both"/>
        <w:rPr>
          <w:lang w:val="en-GB"/>
        </w:rPr>
      </w:pPr>
      <w:proofErr w:type="spellStart"/>
      <w:r w:rsidRPr="00F90291">
        <w:rPr>
          <w:lang w:val="en-GB"/>
        </w:rPr>
        <w:t>Wayforward</w:t>
      </w:r>
      <w:proofErr w:type="spellEnd"/>
      <w:r w:rsidRPr="00F90291">
        <w:rPr>
          <w:lang w:val="en-GB"/>
        </w:rPr>
        <w:t xml:space="preserve">: </w:t>
      </w:r>
    </w:p>
    <w:p w14:paraId="19E7F963" w14:textId="77777777" w:rsidR="00F90291" w:rsidRPr="00F90291" w:rsidRDefault="00F90291" w:rsidP="00F90291">
      <w:pPr>
        <w:numPr>
          <w:ilvl w:val="1"/>
          <w:numId w:val="49"/>
        </w:numPr>
        <w:spacing w:before="120" w:after="120"/>
        <w:jc w:val="both"/>
      </w:pPr>
      <w:r w:rsidRPr="00F90291">
        <w:t xml:space="preserve">RAN4 to discuss SSB periodicity adaptation in time-domain as starting point. </w:t>
      </w:r>
    </w:p>
    <w:p w14:paraId="73570C86" w14:textId="77777777" w:rsidR="00F90291" w:rsidRPr="00F90291" w:rsidRDefault="00F90291" w:rsidP="00F90291">
      <w:pPr>
        <w:numPr>
          <w:ilvl w:val="2"/>
          <w:numId w:val="49"/>
        </w:numPr>
        <w:spacing w:before="120" w:after="120"/>
        <w:jc w:val="both"/>
      </w:pPr>
      <w:r w:rsidRPr="00F90291">
        <w:t>Other SSB adaptation mechanism (s) and requirements are not precluded depending on RAN1 progress.</w:t>
      </w:r>
    </w:p>
    <w:p w14:paraId="3048E016" w14:textId="78B41DED" w:rsidR="00F90291" w:rsidRDefault="002E3B13" w:rsidP="0009638C">
      <w:pPr>
        <w:spacing w:before="120" w:after="120"/>
        <w:jc w:val="both"/>
      </w:pPr>
      <w:r>
        <w:t xml:space="preserve">It is straightforward to us that if SSB periodicity is updated, corresponding measurement period </w:t>
      </w:r>
      <w:r w:rsidR="00EA7B07">
        <w:t>will be updated, including both L1 and L3 measurement.</w:t>
      </w:r>
      <w:r w:rsidR="00AA54BC">
        <w:t xml:space="preserve"> One thing we would like to point out is that minimum requirements upon SSB periodicity </w:t>
      </w:r>
      <w:r w:rsidR="00AA54BC">
        <w:lastRenderedPageBreak/>
        <w:t>adaptation is needed</w:t>
      </w:r>
      <w:r w:rsidR="0073117E">
        <w:t xml:space="preserve">. Take L3 measurement for example, when SSB periodicity adaptation occurs UE doesn’t have enough samples to complete L3 measurement for target cell, UE needs to follow new SSB periodicity to perform L3 measurement. Note that in practice UE may be configured with CA and multiple carriers to measure, and even with measurement gap. </w:t>
      </w:r>
      <w:r w:rsidR="009757CD">
        <w:t>It would be quite challenging to determine how many samples are needed to complete the measurement</w:t>
      </w:r>
      <w:r w:rsidR="00303B8E">
        <w:t xml:space="preserve"> (d</w:t>
      </w:r>
      <w:r w:rsidR="009757CD">
        <w:t>ifferent UE may have different measurement order</w:t>
      </w:r>
      <w:r w:rsidR="00303B8E">
        <w:t>, thus for the specific target cell different UE may have stored different number of samples upon SSB periodicity adaptation)</w:t>
      </w:r>
    </w:p>
    <w:p w14:paraId="0EEDCE20" w14:textId="0D1801F1" w:rsidR="00303B8E" w:rsidRDefault="003F05E0" w:rsidP="003F05E0">
      <w:pPr>
        <w:pStyle w:val="Caption"/>
      </w:pPr>
      <w:bookmarkStart w:id="6" w:name="_Ref179219054"/>
      <w:r>
        <w:t xml:space="preserve">Proposal </w:t>
      </w:r>
      <w:r>
        <w:fldChar w:fldCharType="begin"/>
      </w:r>
      <w:r>
        <w:instrText xml:space="preserve"> SEQ Proposal \* ARABIC </w:instrText>
      </w:r>
      <w:r>
        <w:fldChar w:fldCharType="separate"/>
      </w:r>
      <w:r>
        <w:rPr>
          <w:noProof/>
        </w:rPr>
        <w:t>2</w:t>
      </w:r>
      <w:r>
        <w:fldChar w:fldCharType="end"/>
      </w:r>
      <w:r>
        <w:t>: minimum requirement</w:t>
      </w:r>
      <w:r w:rsidR="008C1315">
        <w:t xml:space="preserve"> upon SSB periodicity adaptation is needed</w:t>
      </w:r>
      <w:r w:rsidR="00893441">
        <w:t>:</w:t>
      </w:r>
      <w:bookmarkEnd w:id="6"/>
    </w:p>
    <w:p w14:paraId="4CAAE516" w14:textId="03E89006" w:rsidR="00893441" w:rsidRPr="00893441" w:rsidRDefault="00893441" w:rsidP="00893441">
      <w:pPr>
        <w:pStyle w:val="ListParagraph"/>
        <w:numPr>
          <w:ilvl w:val="0"/>
          <w:numId w:val="50"/>
        </w:numPr>
        <w:rPr>
          <w:b/>
          <w:bCs/>
          <w:lang w:eastAsia="en-US"/>
        </w:rPr>
      </w:pPr>
      <w:r w:rsidRPr="00893441">
        <w:rPr>
          <w:b/>
          <w:bCs/>
          <w:lang w:eastAsia="en-US"/>
        </w:rPr>
        <w:t xml:space="preserve">When </w:t>
      </w:r>
      <w:r w:rsidRPr="006C6195">
        <w:rPr>
          <w:b/>
          <w:bCs/>
          <w:lang w:eastAsia="en-US"/>
        </w:rPr>
        <w:t>SSB periodicity</w:t>
      </w:r>
      <w:r w:rsidRPr="00893441">
        <w:rPr>
          <w:b/>
          <w:bCs/>
          <w:lang w:eastAsia="en-US"/>
        </w:rPr>
        <w:t xml:space="preserve"> changes</w:t>
      </w:r>
      <w:r w:rsidRPr="006C6195">
        <w:rPr>
          <w:b/>
          <w:bCs/>
          <w:lang w:eastAsia="en-US"/>
        </w:rPr>
        <w:t xml:space="preserve"> upon SSB periodicity adaptation</w:t>
      </w:r>
      <w:r w:rsidRPr="00893441">
        <w:rPr>
          <w:b/>
          <w:bCs/>
          <w:lang w:eastAsia="en-US"/>
        </w:rPr>
        <w:t>, the cell identification</w:t>
      </w:r>
      <w:r w:rsidR="00271493">
        <w:rPr>
          <w:b/>
          <w:bCs/>
          <w:lang w:eastAsia="en-US"/>
        </w:rPr>
        <w:t xml:space="preserve">, </w:t>
      </w:r>
      <w:r w:rsidRPr="00893441">
        <w:rPr>
          <w:b/>
          <w:bCs/>
          <w:lang w:eastAsia="en-US"/>
        </w:rPr>
        <w:t>measurement period</w:t>
      </w:r>
      <w:r w:rsidR="00271493">
        <w:rPr>
          <w:b/>
          <w:bCs/>
          <w:lang w:eastAsia="en-US"/>
        </w:rPr>
        <w:t xml:space="preserve"> and L1</w:t>
      </w:r>
      <w:r w:rsidRPr="00893441">
        <w:rPr>
          <w:b/>
          <w:bCs/>
          <w:lang w:eastAsia="en-US"/>
        </w:rPr>
        <w:t xml:space="preserve"> requirements apply based on the longer delay before or after the </w:t>
      </w:r>
      <w:r w:rsidRPr="006C6195">
        <w:rPr>
          <w:b/>
          <w:bCs/>
          <w:lang w:eastAsia="en-US"/>
        </w:rPr>
        <w:t>adaptation</w:t>
      </w:r>
      <w:r w:rsidRPr="00893441">
        <w:rPr>
          <w:b/>
          <w:bCs/>
          <w:lang w:eastAsia="en-US"/>
        </w:rPr>
        <w:t>.</w:t>
      </w:r>
    </w:p>
    <w:p w14:paraId="7B42EA41" w14:textId="1E47C497" w:rsidR="00893441" w:rsidRPr="00893441" w:rsidRDefault="00893441" w:rsidP="00893441">
      <w:pPr>
        <w:rPr>
          <w:lang w:eastAsia="en-US"/>
        </w:rPr>
      </w:pPr>
    </w:p>
    <w:p w14:paraId="0706FC08" w14:textId="66DA9421" w:rsidR="00F214FE" w:rsidRPr="00F214FE" w:rsidRDefault="00F214FE" w:rsidP="00F214FE">
      <w:pPr>
        <w:pStyle w:val="Heading2"/>
      </w:pPr>
      <w:r w:rsidRPr="00F214FE">
        <w:t xml:space="preserve">Impact on Paging Adaptation requirements </w:t>
      </w:r>
    </w:p>
    <w:p w14:paraId="31FF844B" w14:textId="77777777" w:rsidR="00F214FE" w:rsidRPr="00F214FE" w:rsidRDefault="00F214FE" w:rsidP="00F214FE">
      <w:pPr>
        <w:spacing w:before="120" w:after="120"/>
        <w:jc w:val="both"/>
        <w:rPr>
          <w:lang w:val="en-GB"/>
        </w:rPr>
      </w:pPr>
      <w:r w:rsidRPr="00F214FE">
        <w:rPr>
          <w:b/>
          <w:bCs/>
          <w:u w:val="single"/>
          <w:lang w:val="en-GB"/>
        </w:rPr>
        <w:t>Issue 3-2-1: Paging adaptation</w:t>
      </w:r>
    </w:p>
    <w:p w14:paraId="3282EC5E" w14:textId="77777777" w:rsidR="00F214FE" w:rsidRPr="00F214FE" w:rsidRDefault="00F214FE" w:rsidP="00F214FE">
      <w:pPr>
        <w:spacing w:before="120" w:after="120"/>
        <w:jc w:val="both"/>
        <w:rPr>
          <w:lang w:val="en-GB"/>
        </w:rPr>
      </w:pPr>
      <w:r w:rsidRPr="00F214FE">
        <w:rPr>
          <w:lang w:val="en-GB"/>
        </w:rPr>
        <w:t>Agreement:</w:t>
      </w:r>
    </w:p>
    <w:p w14:paraId="63B291B0" w14:textId="77777777" w:rsidR="00F214FE" w:rsidRPr="00F214FE" w:rsidRDefault="00F214FE" w:rsidP="00F214FE">
      <w:pPr>
        <w:numPr>
          <w:ilvl w:val="0"/>
          <w:numId w:val="51"/>
        </w:numPr>
        <w:spacing w:before="120" w:after="120"/>
        <w:jc w:val="both"/>
      </w:pPr>
      <w:r w:rsidRPr="00F214FE">
        <w:t>Deprioritize Paging adaptation until the RAN1 concrete conclusion is available.</w:t>
      </w:r>
    </w:p>
    <w:p w14:paraId="2564BEA0" w14:textId="087D3399" w:rsidR="00F214FE" w:rsidRDefault="00F214FE" w:rsidP="00F214FE">
      <w:pPr>
        <w:spacing w:before="120" w:after="120"/>
        <w:jc w:val="both"/>
      </w:pPr>
      <w:r w:rsidRPr="00F214FE">
        <w:t> </w:t>
      </w:r>
      <w:r>
        <w:t>We haven’t identified any RAN4 impact yet.</w:t>
      </w:r>
    </w:p>
    <w:p w14:paraId="68C2FE43" w14:textId="77777777" w:rsidR="00F214FE" w:rsidRPr="00F214FE" w:rsidRDefault="00F214FE" w:rsidP="00F214FE">
      <w:pPr>
        <w:spacing w:before="120" w:after="120"/>
        <w:jc w:val="both"/>
      </w:pPr>
    </w:p>
    <w:p w14:paraId="164F2FE6" w14:textId="0D581344" w:rsidR="00F214FE" w:rsidRPr="00F214FE" w:rsidRDefault="00F214FE" w:rsidP="00F31939">
      <w:pPr>
        <w:pStyle w:val="Heading2"/>
      </w:pPr>
      <w:r w:rsidRPr="00F214FE">
        <w:t>Impact on PRACH Adaptation requirements</w:t>
      </w:r>
    </w:p>
    <w:p w14:paraId="76ED485E" w14:textId="77777777" w:rsidR="00F214FE" w:rsidRPr="00F214FE" w:rsidRDefault="00F214FE" w:rsidP="00F214FE">
      <w:pPr>
        <w:spacing w:before="120" w:after="120"/>
        <w:jc w:val="both"/>
        <w:rPr>
          <w:lang w:val="en-GB"/>
        </w:rPr>
      </w:pPr>
      <w:r w:rsidRPr="00F214FE">
        <w:rPr>
          <w:b/>
          <w:bCs/>
          <w:u w:val="single"/>
          <w:lang w:val="en-GB"/>
        </w:rPr>
        <w:t>Issue 3-3-1: PRACH adaptation</w:t>
      </w:r>
    </w:p>
    <w:p w14:paraId="07FE38BC" w14:textId="77777777" w:rsidR="00F214FE" w:rsidRPr="00F214FE" w:rsidRDefault="00F214FE" w:rsidP="00F214FE">
      <w:pPr>
        <w:spacing w:before="120" w:after="120"/>
        <w:jc w:val="both"/>
        <w:rPr>
          <w:lang w:val="en-GB"/>
        </w:rPr>
      </w:pPr>
      <w:r w:rsidRPr="00F214FE">
        <w:rPr>
          <w:lang w:val="en-GB"/>
        </w:rPr>
        <w:t>Agreement:</w:t>
      </w:r>
    </w:p>
    <w:p w14:paraId="3ED33E11" w14:textId="77777777" w:rsidR="00F214FE" w:rsidRPr="00F214FE" w:rsidRDefault="00F214FE" w:rsidP="00F214FE">
      <w:pPr>
        <w:numPr>
          <w:ilvl w:val="0"/>
          <w:numId w:val="52"/>
        </w:numPr>
        <w:spacing w:before="120" w:after="120"/>
        <w:jc w:val="both"/>
      </w:pPr>
      <w:r w:rsidRPr="00F214FE">
        <w:t>Deprioritize PRACH adaptation until the RAN1 concrete conclusion is available.</w:t>
      </w:r>
    </w:p>
    <w:p w14:paraId="1EAAA077" w14:textId="77777777" w:rsidR="004C181F" w:rsidRDefault="004C181F" w:rsidP="004C181F">
      <w:pPr>
        <w:spacing w:before="120" w:after="120"/>
        <w:jc w:val="both"/>
      </w:pPr>
      <w:r w:rsidRPr="00F214FE">
        <w:t> </w:t>
      </w:r>
      <w:r>
        <w:t>We haven’t identified any RAN4 impact yet.</w:t>
      </w:r>
    </w:p>
    <w:p w14:paraId="1B523ECB" w14:textId="77777777" w:rsidR="00F214FE" w:rsidRPr="001A49E3" w:rsidRDefault="00F214FE" w:rsidP="0009638C">
      <w:pPr>
        <w:spacing w:before="120" w:after="120"/>
        <w:jc w:val="both"/>
      </w:pPr>
    </w:p>
    <w:p w14:paraId="05563966" w14:textId="77777777" w:rsidR="00E310D5" w:rsidRPr="001340BE" w:rsidRDefault="00E310D5" w:rsidP="006D3C2F">
      <w:pPr>
        <w:spacing w:before="120" w:after="120"/>
        <w:jc w:val="both"/>
      </w:pPr>
    </w:p>
    <w:p w14:paraId="57E4C35D"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Conclusion</w:t>
      </w:r>
    </w:p>
    <w:bookmarkEnd w:id="0"/>
    <w:bookmarkEnd w:id="1"/>
    <w:p w14:paraId="6F04A5F5" w14:textId="477D66B2" w:rsidR="0080742C" w:rsidRDefault="0080742C" w:rsidP="00234395">
      <w:pPr>
        <w:spacing w:before="120" w:after="120"/>
        <w:jc w:val="both"/>
      </w:pPr>
      <w:r w:rsidRPr="001340BE">
        <w:t xml:space="preserve">In this contribution, we provide discussion on </w:t>
      </w:r>
      <w:r w:rsidR="0017276E" w:rsidRPr="001340BE">
        <w:t xml:space="preserve">RAN4 requirements for </w:t>
      </w:r>
      <w:r w:rsidR="00023097" w:rsidRPr="008C084E">
        <w:rPr>
          <w:bCs/>
          <w:lang w:val="en-CN"/>
        </w:rPr>
        <w:t>adaptation of common signal/channel transmission</w:t>
      </w:r>
      <w:r w:rsidRPr="001340BE">
        <w:t>. After discussion, the following conclusions are provided:</w:t>
      </w:r>
    </w:p>
    <w:p w14:paraId="594E067B" w14:textId="0FCCF1EB" w:rsidR="00F5487A" w:rsidRPr="00854B9C" w:rsidRDefault="00854B9C" w:rsidP="00234395">
      <w:pPr>
        <w:spacing w:before="120" w:after="120"/>
        <w:jc w:val="both"/>
        <w:rPr>
          <w:b/>
          <w:bCs/>
        </w:rPr>
      </w:pPr>
      <w:r w:rsidRPr="00854B9C">
        <w:rPr>
          <w:b/>
          <w:bCs/>
        </w:rPr>
        <w:fldChar w:fldCharType="begin"/>
      </w:r>
      <w:r w:rsidRPr="00854B9C">
        <w:rPr>
          <w:b/>
          <w:bCs/>
        </w:rPr>
        <w:instrText xml:space="preserve"> REF _Ref179219052 \h </w:instrText>
      </w:r>
      <w:r>
        <w:rPr>
          <w:b/>
          <w:bCs/>
        </w:rPr>
        <w:instrText xml:space="preserve"> \* MERGEFORMAT </w:instrText>
      </w:r>
      <w:r w:rsidRPr="00854B9C">
        <w:rPr>
          <w:b/>
          <w:bCs/>
        </w:rPr>
      </w:r>
      <w:r w:rsidRPr="00854B9C">
        <w:rPr>
          <w:b/>
          <w:bCs/>
        </w:rPr>
        <w:fldChar w:fldCharType="separate"/>
      </w:r>
      <w:r w:rsidRPr="00854B9C">
        <w:rPr>
          <w:b/>
          <w:bCs/>
        </w:rPr>
        <w:t xml:space="preserve">Proposal </w:t>
      </w:r>
      <w:r w:rsidRPr="00854B9C">
        <w:rPr>
          <w:b/>
          <w:bCs/>
          <w:noProof/>
        </w:rPr>
        <w:t>1</w:t>
      </w:r>
      <w:r w:rsidRPr="00854B9C">
        <w:rPr>
          <w:b/>
          <w:bCs/>
        </w:rPr>
        <w:t>: RAN4 doesn’t need to discuss SSB adaptation in IDLE mode at current stage.</w:t>
      </w:r>
      <w:r w:rsidRPr="00854B9C">
        <w:rPr>
          <w:b/>
          <w:bCs/>
        </w:rPr>
        <w:fldChar w:fldCharType="end"/>
      </w:r>
    </w:p>
    <w:p w14:paraId="2E2CAF07" w14:textId="446974B3" w:rsidR="00854B9C" w:rsidRPr="00854B9C" w:rsidRDefault="00854B9C" w:rsidP="00234395">
      <w:pPr>
        <w:spacing w:before="120" w:after="120"/>
        <w:jc w:val="both"/>
        <w:rPr>
          <w:b/>
          <w:bCs/>
        </w:rPr>
      </w:pPr>
      <w:r w:rsidRPr="00854B9C">
        <w:rPr>
          <w:b/>
          <w:bCs/>
        </w:rPr>
        <w:fldChar w:fldCharType="begin"/>
      </w:r>
      <w:r w:rsidRPr="00854B9C">
        <w:rPr>
          <w:b/>
          <w:bCs/>
        </w:rPr>
        <w:instrText xml:space="preserve"> REF _Ref179219054 \h </w:instrText>
      </w:r>
      <w:r>
        <w:rPr>
          <w:b/>
          <w:bCs/>
        </w:rPr>
        <w:instrText xml:space="preserve"> \* MERGEFORMAT </w:instrText>
      </w:r>
      <w:r w:rsidRPr="00854B9C">
        <w:rPr>
          <w:b/>
          <w:bCs/>
        </w:rPr>
      </w:r>
      <w:r w:rsidRPr="00854B9C">
        <w:rPr>
          <w:b/>
          <w:bCs/>
        </w:rPr>
        <w:fldChar w:fldCharType="separate"/>
      </w:r>
      <w:r w:rsidRPr="00854B9C">
        <w:rPr>
          <w:b/>
          <w:bCs/>
        </w:rPr>
        <w:t xml:space="preserve">Proposal </w:t>
      </w:r>
      <w:r w:rsidRPr="00854B9C">
        <w:rPr>
          <w:b/>
          <w:bCs/>
          <w:noProof/>
        </w:rPr>
        <w:t>2</w:t>
      </w:r>
      <w:r w:rsidRPr="00854B9C">
        <w:rPr>
          <w:b/>
          <w:bCs/>
        </w:rPr>
        <w:t>: minimum requirement upon SSB periodicity adaptation is needed:</w:t>
      </w:r>
      <w:r w:rsidRPr="00854B9C">
        <w:rPr>
          <w:b/>
          <w:bCs/>
        </w:rPr>
        <w:fldChar w:fldCharType="end"/>
      </w:r>
    </w:p>
    <w:p w14:paraId="73228ECB" w14:textId="77777777" w:rsidR="00854B9C" w:rsidRPr="00893441" w:rsidRDefault="00854B9C" w:rsidP="00854B9C">
      <w:pPr>
        <w:pStyle w:val="ListParagraph"/>
        <w:numPr>
          <w:ilvl w:val="0"/>
          <w:numId w:val="50"/>
        </w:numPr>
        <w:rPr>
          <w:b/>
          <w:bCs/>
          <w:lang w:eastAsia="en-US"/>
        </w:rPr>
      </w:pPr>
      <w:r w:rsidRPr="00893441">
        <w:rPr>
          <w:b/>
          <w:bCs/>
          <w:lang w:eastAsia="en-US"/>
        </w:rPr>
        <w:t xml:space="preserve">When </w:t>
      </w:r>
      <w:r w:rsidRPr="006C6195">
        <w:rPr>
          <w:b/>
          <w:bCs/>
          <w:lang w:eastAsia="en-US"/>
        </w:rPr>
        <w:t>SSB periodicity</w:t>
      </w:r>
      <w:r w:rsidRPr="00893441">
        <w:rPr>
          <w:b/>
          <w:bCs/>
          <w:lang w:eastAsia="en-US"/>
        </w:rPr>
        <w:t xml:space="preserve"> changes</w:t>
      </w:r>
      <w:r w:rsidRPr="006C6195">
        <w:rPr>
          <w:b/>
          <w:bCs/>
          <w:lang w:eastAsia="en-US"/>
        </w:rPr>
        <w:t xml:space="preserve"> upon SSB periodicity adaptation</w:t>
      </w:r>
      <w:r w:rsidRPr="00893441">
        <w:rPr>
          <w:b/>
          <w:bCs/>
          <w:lang w:eastAsia="en-US"/>
        </w:rPr>
        <w:t>, the cell identification</w:t>
      </w:r>
      <w:r>
        <w:rPr>
          <w:b/>
          <w:bCs/>
          <w:lang w:eastAsia="en-US"/>
        </w:rPr>
        <w:t xml:space="preserve">, </w:t>
      </w:r>
      <w:r w:rsidRPr="00893441">
        <w:rPr>
          <w:b/>
          <w:bCs/>
          <w:lang w:eastAsia="en-US"/>
        </w:rPr>
        <w:t>measurement period</w:t>
      </w:r>
      <w:r>
        <w:rPr>
          <w:b/>
          <w:bCs/>
          <w:lang w:eastAsia="en-US"/>
        </w:rPr>
        <w:t xml:space="preserve"> and L1</w:t>
      </w:r>
      <w:r w:rsidRPr="00893441">
        <w:rPr>
          <w:b/>
          <w:bCs/>
          <w:lang w:eastAsia="en-US"/>
        </w:rPr>
        <w:t xml:space="preserve"> requirements apply based on the longer delay before or after the </w:t>
      </w:r>
      <w:r w:rsidRPr="006C6195">
        <w:rPr>
          <w:b/>
          <w:bCs/>
          <w:lang w:eastAsia="en-US"/>
        </w:rPr>
        <w:t>adaptation</w:t>
      </w:r>
      <w:r w:rsidRPr="00893441">
        <w:rPr>
          <w:b/>
          <w:bCs/>
          <w:lang w:eastAsia="en-US"/>
        </w:rPr>
        <w:t>.</w:t>
      </w:r>
    </w:p>
    <w:p w14:paraId="6C3B88CA" w14:textId="77777777" w:rsidR="002966B9" w:rsidRPr="001340BE" w:rsidRDefault="002966B9" w:rsidP="00234395">
      <w:pPr>
        <w:spacing w:before="120" w:after="120"/>
        <w:jc w:val="both"/>
      </w:pPr>
    </w:p>
    <w:p w14:paraId="32B7C684" w14:textId="77777777" w:rsidR="005C6854" w:rsidRPr="001340BE" w:rsidRDefault="005C6854" w:rsidP="00653A7D">
      <w:pPr>
        <w:rPr>
          <w:b/>
          <w:bCs/>
          <w:lang w:eastAsia="en-US"/>
        </w:rPr>
      </w:pPr>
    </w:p>
    <w:p w14:paraId="5163CAA2"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eastAsia="zh-TW"/>
        </w:rPr>
        <w:t>R</w:t>
      </w:r>
      <w:r w:rsidRPr="001340BE">
        <w:rPr>
          <w:rFonts w:eastAsia="PMingLiU" w:cs="Arial"/>
          <w:lang w:val="en-US"/>
        </w:rPr>
        <w:t>eference</w:t>
      </w:r>
    </w:p>
    <w:p w14:paraId="4F5C48DF" w14:textId="73EB4959" w:rsidR="001402A7" w:rsidRPr="00C57F54" w:rsidRDefault="00093498" w:rsidP="00C57F54">
      <w:pPr>
        <w:pStyle w:val="ListParagraph"/>
        <w:numPr>
          <w:ilvl w:val="0"/>
          <w:numId w:val="21"/>
        </w:numPr>
        <w:spacing w:after="120"/>
        <w:rPr>
          <w:lang w:val="en-US"/>
        </w:rPr>
      </w:pPr>
      <w:r w:rsidRPr="001402A7">
        <w:rPr>
          <w:lang w:val="en-US"/>
        </w:rPr>
        <w:t xml:space="preserve">R4-2413885, WF on </w:t>
      </w:r>
      <w:proofErr w:type="spellStart"/>
      <w:r w:rsidRPr="001402A7">
        <w:rPr>
          <w:lang w:val="en-US"/>
        </w:rPr>
        <w:t>Netw_Energy_NR_enh</w:t>
      </w:r>
      <w:proofErr w:type="spellEnd"/>
      <w:r w:rsidRPr="001402A7">
        <w:rPr>
          <w:lang w:val="en-US"/>
        </w:rPr>
        <w:t>, Ericsson</w:t>
      </w:r>
    </w:p>
    <w:sectPr w:rsidR="001402A7" w:rsidRPr="00C57F54"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C27E0" w14:textId="77777777" w:rsidR="00DE5874" w:rsidRDefault="00DE5874">
      <w:r>
        <w:separator/>
      </w:r>
    </w:p>
  </w:endnote>
  <w:endnote w:type="continuationSeparator" w:id="0">
    <w:p w14:paraId="12828A71" w14:textId="77777777" w:rsidR="00DE5874" w:rsidRDefault="00DE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9AE876" w14:textId="77777777" w:rsidR="00DE5874" w:rsidRDefault="00DE5874">
      <w:r>
        <w:separator/>
      </w:r>
    </w:p>
  </w:footnote>
  <w:footnote w:type="continuationSeparator" w:id="0">
    <w:p w14:paraId="3E4D3283" w14:textId="77777777" w:rsidR="00DE5874" w:rsidRDefault="00DE5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C95329"/>
    <w:multiLevelType w:val="hybridMultilevel"/>
    <w:tmpl w:val="0DEC7352"/>
    <w:lvl w:ilvl="0" w:tplc="CFF201D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BE0AA0"/>
    <w:multiLevelType w:val="multilevel"/>
    <w:tmpl w:val="0B0872B0"/>
    <w:lvl w:ilvl="0">
      <w:start w:val="1"/>
      <w:numFmt w:val="bullet"/>
      <w:lvlText w:val=""/>
      <w:lvlJc w:val="left"/>
      <w:pPr>
        <w:tabs>
          <w:tab w:val="num" w:pos="720"/>
        </w:tabs>
        <w:ind w:left="720" w:hanging="360"/>
      </w:pPr>
      <w:rPr>
        <w:rFonts w:ascii="Symbol" w:hAnsi="Symbol" w:hint="default"/>
        <w:color w:val="0070C0"/>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E03378B"/>
    <w:multiLevelType w:val="multilevel"/>
    <w:tmpl w:val="1B26E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1D0A24"/>
    <w:multiLevelType w:val="hybridMultilevel"/>
    <w:tmpl w:val="8AB25854"/>
    <w:lvl w:ilvl="0" w:tplc="320C786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5"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010914"/>
    <w:multiLevelType w:val="multilevel"/>
    <w:tmpl w:val="FD30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22403D"/>
    <w:multiLevelType w:val="multilevel"/>
    <w:tmpl w:val="46328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3"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D8170D"/>
    <w:multiLevelType w:val="hybridMultilevel"/>
    <w:tmpl w:val="6CAED196"/>
    <w:lvl w:ilvl="0" w:tplc="4E846FE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3"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9"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200F71"/>
    <w:multiLevelType w:val="multilevel"/>
    <w:tmpl w:val="2E0032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46"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32"/>
  </w:num>
  <w:num w:numId="2" w16cid:durableId="1073162039">
    <w:abstractNumId w:val="22"/>
  </w:num>
  <w:num w:numId="3" w16cid:durableId="881670819">
    <w:abstractNumId w:val="49"/>
  </w:num>
  <w:num w:numId="4" w16cid:durableId="303782287">
    <w:abstractNumId w:val="45"/>
  </w:num>
  <w:num w:numId="5" w16cid:durableId="2120685336">
    <w:abstractNumId w:val="7"/>
  </w:num>
  <w:num w:numId="6" w16cid:durableId="84543986">
    <w:abstractNumId w:val="13"/>
  </w:num>
  <w:num w:numId="7" w16cid:durableId="1945187406">
    <w:abstractNumId w:val="37"/>
  </w:num>
  <w:num w:numId="8" w16cid:durableId="735593510">
    <w:abstractNumId w:val="3"/>
  </w:num>
  <w:num w:numId="9" w16cid:durableId="638069988">
    <w:abstractNumId w:val="26"/>
  </w:num>
  <w:num w:numId="10" w16cid:durableId="1396661914">
    <w:abstractNumId w:val="40"/>
  </w:num>
  <w:num w:numId="11" w16cid:durableId="1800757120">
    <w:abstractNumId w:val="41"/>
  </w:num>
  <w:num w:numId="12" w16cid:durableId="2041008354">
    <w:abstractNumId w:val="15"/>
  </w:num>
  <w:num w:numId="13" w16cid:durableId="1250429690">
    <w:abstractNumId w:val="5"/>
  </w:num>
  <w:num w:numId="14" w16cid:durableId="1771386659">
    <w:abstractNumId w:val="17"/>
  </w:num>
  <w:num w:numId="15" w16cid:durableId="1590507970">
    <w:abstractNumId w:val="19"/>
  </w:num>
  <w:num w:numId="16" w16cid:durableId="595597386">
    <w:abstractNumId w:val="34"/>
  </w:num>
  <w:num w:numId="17" w16cid:durableId="562645621">
    <w:abstractNumId w:val="1"/>
  </w:num>
  <w:num w:numId="18" w16cid:durableId="204997492">
    <w:abstractNumId w:val="24"/>
  </w:num>
  <w:num w:numId="19" w16cid:durableId="993946193">
    <w:abstractNumId w:val="48"/>
  </w:num>
  <w:num w:numId="20" w16cid:durableId="2129546323">
    <w:abstractNumId w:val="28"/>
  </w:num>
  <w:num w:numId="21" w16cid:durableId="59064430">
    <w:abstractNumId w:val="9"/>
  </w:num>
  <w:num w:numId="22" w16cid:durableId="545794119">
    <w:abstractNumId w:val="20"/>
  </w:num>
  <w:num w:numId="23" w16cid:durableId="1081871988">
    <w:abstractNumId w:val="6"/>
  </w:num>
  <w:num w:numId="24" w16cid:durableId="753160996">
    <w:abstractNumId w:val="42"/>
  </w:num>
  <w:num w:numId="25" w16cid:durableId="1316371440">
    <w:abstractNumId w:val="36"/>
  </w:num>
  <w:num w:numId="26" w16cid:durableId="853571246">
    <w:abstractNumId w:val="29"/>
  </w:num>
  <w:num w:numId="27" w16cid:durableId="1848057231">
    <w:abstractNumId w:val="39"/>
  </w:num>
  <w:num w:numId="28" w16cid:durableId="1175027039">
    <w:abstractNumId w:val="25"/>
  </w:num>
  <w:num w:numId="29" w16cid:durableId="431121809">
    <w:abstractNumId w:val="14"/>
  </w:num>
  <w:num w:numId="30" w16cid:durableId="1026834126">
    <w:abstractNumId w:val="35"/>
  </w:num>
  <w:num w:numId="31" w16cid:durableId="1958172824">
    <w:abstractNumId w:val="50"/>
  </w:num>
  <w:num w:numId="32" w16cid:durableId="496507410">
    <w:abstractNumId w:val="38"/>
  </w:num>
  <w:num w:numId="33" w16cid:durableId="144126845">
    <w:abstractNumId w:val="30"/>
  </w:num>
  <w:num w:numId="34" w16cid:durableId="1951280964">
    <w:abstractNumId w:val="18"/>
    <w:lvlOverride w:ilvl="0">
      <w:startOverride w:val="1"/>
    </w:lvlOverride>
  </w:num>
  <w:num w:numId="35" w16cid:durableId="1616256735">
    <w:abstractNumId w:val="10"/>
  </w:num>
  <w:num w:numId="36" w16cid:durableId="617027336">
    <w:abstractNumId w:val="47"/>
  </w:num>
  <w:num w:numId="37" w16cid:durableId="409817756">
    <w:abstractNumId w:val="23"/>
  </w:num>
  <w:num w:numId="38" w16cid:durableId="1269969812">
    <w:abstractNumId w:val="46"/>
  </w:num>
  <w:num w:numId="39" w16cid:durableId="1597013109">
    <w:abstractNumId w:val="44"/>
  </w:num>
  <w:num w:numId="40" w16cid:durableId="1104031393">
    <w:abstractNumId w:val="33"/>
  </w:num>
  <w:num w:numId="41" w16cid:durableId="1244996927">
    <w:abstractNumId w:val="0"/>
  </w:num>
  <w:num w:numId="42" w16cid:durableId="694309998">
    <w:abstractNumId w:val="12"/>
  </w:num>
  <w:num w:numId="43" w16cid:durableId="1565338569">
    <w:abstractNumId w:val="2"/>
  </w:num>
  <w:num w:numId="44" w16cid:durableId="821968600">
    <w:abstractNumId w:val="11"/>
  </w:num>
  <w:num w:numId="45" w16cid:durableId="493187879">
    <w:abstractNumId w:val="27"/>
  </w:num>
  <w:num w:numId="46" w16cid:durableId="1716154964">
    <w:abstractNumId w:val="21"/>
  </w:num>
  <w:num w:numId="47" w16cid:durableId="353925625">
    <w:abstractNumId w:val="32"/>
  </w:num>
  <w:num w:numId="48" w16cid:durableId="163208829">
    <w:abstractNumId w:val="4"/>
  </w:num>
  <w:num w:numId="49" w16cid:durableId="1965499870">
    <w:abstractNumId w:val="43"/>
  </w:num>
  <w:num w:numId="50" w16cid:durableId="1056273803">
    <w:abstractNumId w:val="31"/>
  </w:num>
  <w:num w:numId="51" w16cid:durableId="341854273">
    <w:abstractNumId w:val="8"/>
  </w:num>
  <w:num w:numId="52" w16cid:durableId="614748234">
    <w:abstractNumId w:val="16"/>
  </w:num>
  <w:num w:numId="53" w16cid:durableId="522596904">
    <w:abstractNumId w:val="32"/>
  </w:num>
  <w:num w:numId="54" w16cid:durableId="10992540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DF5"/>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097"/>
    <w:rsid w:val="00023418"/>
    <w:rsid w:val="000235B8"/>
    <w:rsid w:val="000235EC"/>
    <w:rsid w:val="0002392F"/>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2D08"/>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98"/>
    <w:rsid w:val="000937D1"/>
    <w:rsid w:val="00093B6F"/>
    <w:rsid w:val="00093D2E"/>
    <w:rsid w:val="000940CF"/>
    <w:rsid w:val="00094F98"/>
    <w:rsid w:val="0009501F"/>
    <w:rsid w:val="000956F2"/>
    <w:rsid w:val="00095C76"/>
    <w:rsid w:val="00095D02"/>
    <w:rsid w:val="00095EA5"/>
    <w:rsid w:val="00096338"/>
    <w:rsid w:val="0009633D"/>
    <w:rsid w:val="0009638C"/>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0BE"/>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2A7"/>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47FCA"/>
    <w:rsid w:val="0015004C"/>
    <w:rsid w:val="00150718"/>
    <w:rsid w:val="001507FA"/>
    <w:rsid w:val="0015153B"/>
    <w:rsid w:val="00151755"/>
    <w:rsid w:val="00151A8B"/>
    <w:rsid w:val="00151A8E"/>
    <w:rsid w:val="00151A98"/>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76E"/>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00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9E3"/>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662"/>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1B6"/>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1D43"/>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52A"/>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0E9"/>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DE7"/>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493"/>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5C"/>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19"/>
    <w:rsid w:val="002D33C5"/>
    <w:rsid w:val="002D3489"/>
    <w:rsid w:val="002D3D60"/>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6D"/>
    <w:rsid w:val="002E14CC"/>
    <w:rsid w:val="002E196A"/>
    <w:rsid w:val="002E1CDD"/>
    <w:rsid w:val="002E1EAB"/>
    <w:rsid w:val="002E1F93"/>
    <w:rsid w:val="002E205E"/>
    <w:rsid w:val="002E21C0"/>
    <w:rsid w:val="002E2343"/>
    <w:rsid w:val="002E236E"/>
    <w:rsid w:val="002E2647"/>
    <w:rsid w:val="002E2F15"/>
    <w:rsid w:val="002E35A2"/>
    <w:rsid w:val="002E3B13"/>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3B8E"/>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2A6"/>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5E0"/>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8E8"/>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1DF2"/>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81F"/>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679"/>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16F90"/>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259"/>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4FB8"/>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3E6"/>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45"/>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59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195"/>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2F5D"/>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DC0"/>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17E"/>
    <w:rsid w:val="00731332"/>
    <w:rsid w:val="007318BE"/>
    <w:rsid w:val="0073198E"/>
    <w:rsid w:val="00731E1A"/>
    <w:rsid w:val="0073254A"/>
    <w:rsid w:val="007329D0"/>
    <w:rsid w:val="00732D7D"/>
    <w:rsid w:val="00732D81"/>
    <w:rsid w:val="00733293"/>
    <w:rsid w:val="00733445"/>
    <w:rsid w:val="00733819"/>
    <w:rsid w:val="0073395D"/>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FB1"/>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716"/>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8C3"/>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4B9C"/>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90F"/>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2E46"/>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41"/>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6A9"/>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84E"/>
    <w:rsid w:val="008C0979"/>
    <w:rsid w:val="008C0E84"/>
    <w:rsid w:val="008C121D"/>
    <w:rsid w:val="008C1269"/>
    <w:rsid w:val="008C1315"/>
    <w:rsid w:val="008C160C"/>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06"/>
    <w:rsid w:val="008E5967"/>
    <w:rsid w:val="008E62EE"/>
    <w:rsid w:val="008E6AF6"/>
    <w:rsid w:val="008E6D6F"/>
    <w:rsid w:val="008E711E"/>
    <w:rsid w:val="008E7264"/>
    <w:rsid w:val="008E742A"/>
    <w:rsid w:val="008E7EE1"/>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45E"/>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B9F"/>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4A8"/>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7CD"/>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88D"/>
    <w:rsid w:val="009D1954"/>
    <w:rsid w:val="009D1D77"/>
    <w:rsid w:val="009D22E5"/>
    <w:rsid w:val="009D2814"/>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9A7"/>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4"/>
    <w:rsid w:val="00A91176"/>
    <w:rsid w:val="00A91609"/>
    <w:rsid w:val="00A91910"/>
    <w:rsid w:val="00A91CF8"/>
    <w:rsid w:val="00A91E1F"/>
    <w:rsid w:val="00A924D0"/>
    <w:rsid w:val="00A92747"/>
    <w:rsid w:val="00A92B4B"/>
    <w:rsid w:val="00A93618"/>
    <w:rsid w:val="00A938A9"/>
    <w:rsid w:val="00A939ED"/>
    <w:rsid w:val="00A93D4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4BC"/>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1D5"/>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4FD7"/>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2C62"/>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38"/>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7"/>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C60"/>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3BE"/>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57F54"/>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23A"/>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5F24"/>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2F12"/>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41D"/>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083"/>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1CD7"/>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A74F0"/>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2F96"/>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5874"/>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5FEC"/>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6500"/>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6D31"/>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7CB"/>
    <w:rsid w:val="00E7693C"/>
    <w:rsid w:val="00E769EC"/>
    <w:rsid w:val="00E76C12"/>
    <w:rsid w:val="00E76D35"/>
    <w:rsid w:val="00E773AD"/>
    <w:rsid w:val="00E779FB"/>
    <w:rsid w:val="00E77DBE"/>
    <w:rsid w:val="00E80D70"/>
    <w:rsid w:val="00E8161B"/>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2B19"/>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B07"/>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34C"/>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245"/>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4FE"/>
    <w:rsid w:val="00F216F8"/>
    <w:rsid w:val="00F2171A"/>
    <w:rsid w:val="00F21D31"/>
    <w:rsid w:val="00F21DBA"/>
    <w:rsid w:val="00F2207E"/>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CFD"/>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939"/>
    <w:rsid w:val="00F31C50"/>
    <w:rsid w:val="00F31D33"/>
    <w:rsid w:val="00F32680"/>
    <w:rsid w:val="00F32E32"/>
    <w:rsid w:val="00F335B3"/>
    <w:rsid w:val="00F3370B"/>
    <w:rsid w:val="00F338EA"/>
    <w:rsid w:val="00F34185"/>
    <w:rsid w:val="00F341B4"/>
    <w:rsid w:val="00F3482C"/>
    <w:rsid w:val="00F349B5"/>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87A"/>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3D7F"/>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291"/>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4A0"/>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BEF"/>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BA9"/>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645"/>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paragraph" w:customStyle="1" w:styleId="ListParagraph1">
    <w:name w:val="List Paragraph1"/>
    <w:qFormat/>
    <w:rsid w:val="00F83D7F"/>
    <w:pPr>
      <w:ind w:leftChars="400" w:left="84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08491003">
      <w:bodyDiv w:val="1"/>
      <w:marLeft w:val="0"/>
      <w:marRight w:val="0"/>
      <w:marTop w:val="0"/>
      <w:marBottom w:val="0"/>
      <w:divBdr>
        <w:top w:val="none" w:sz="0" w:space="0" w:color="auto"/>
        <w:left w:val="none" w:sz="0" w:space="0" w:color="auto"/>
        <w:bottom w:val="none" w:sz="0" w:space="0" w:color="auto"/>
        <w:right w:val="none" w:sz="0" w:space="0" w:color="auto"/>
      </w:divBdr>
    </w:div>
    <w:div w:id="306201835">
      <w:bodyDiv w:val="1"/>
      <w:marLeft w:val="0"/>
      <w:marRight w:val="0"/>
      <w:marTop w:val="0"/>
      <w:marBottom w:val="0"/>
      <w:divBdr>
        <w:top w:val="none" w:sz="0" w:space="0" w:color="auto"/>
        <w:left w:val="none" w:sz="0" w:space="0" w:color="auto"/>
        <w:bottom w:val="none" w:sz="0" w:space="0" w:color="auto"/>
        <w:right w:val="none" w:sz="0" w:space="0" w:color="auto"/>
      </w:divBdr>
    </w:div>
    <w:div w:id="414472351">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55028500">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57890509">
      <w:bodyDiv w:val="1"/>
      <w:marLeft w:val="0"/>
      <w:marRight w:val="0"/>
      <w:marTop w:val="0"/>
      <w:marBottom w:val="0"/>
      <w:divBdr>
        <w:top w:val="none" w:sz="0" w:space="0" w:color="auto"/>
        <w:left w:val="none" w:sz="0" w:space="0" w:color="auto"/>
        <w:bottom w:val="none" w:sz="0" w:space="0" w:color="auto"/>
        <w:right w:val="none" w:sz="0" w:space="0" w:color="auto"/>
      </w:divBdr>
    </w:div>
    <w:div w:id="924648211">
      <w:bodyDiv w:val="1"/>
      <w:marLeft w:val="0"/>
      <w:marRight w:val="0"/>
      <w:marTop w:val="0"/>
      <w:marBottom w:val="0"/>
      <w:divBdr>
        <w:top w:val="none" w:sz="0" w:space="0" w:color="auto"/>
        <w:left w:val="none" w:sz="0" w:space="0" w:color="auto"/>
        <w:bottom w:val="none" w:sz="0" w:space="0" w:color="auto"/>
        <w:right w:val="none" w:sz="0" w:space="0" w:color="auto"/>
      </w:divBdr>
    </w:div>
    <w:div w:id="968052633">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341927634">
      <w:bodyDiv w:val="1"/>
      <w:marLeft w:val="0"/>
      <w:marRight w:val="0"/>
      <w:marTop w:val="0"/>
      <w:marBottom w:val="0"/>
      <w:divBdr>
        <w:top w:val="none" w:sz="0" w:space="0" w:color="auto"/>
        <w:left w:val="none" w:sz="0" w:space="0" w:color="auto"/>
        <w:bottom w:val="none" w:sz="0" w:space="0" w:color="auto"/>
        <w:right w:val="none" w:sz="0" w:space="0" w:color="auto"/>
      </w:divBdr>
    </w:div>
    <w:div w:id="1402168819">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91621768">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2145468">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799762891">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 w:id="2105300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2</Pages>
  <Words>632</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295</cp:revision>
  <cp:lastPrinted>2007-12-21T12:58:00Z</cp:lastPrinted>
  <dcterms:created xsi:type="dcterms:W3CDTF">2024-07-29T05:21:00Z</dcterms:created>
  <dcterms:modified xsi:type="dcterms:W3CDTF">2024-10-07T11:12:00Z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