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656E76" w14:textId="23E8E9CD" w:rsidR="00013900" w:rsidRPr="00576F50" w:rsidRDefault="00000000">
      <w:pPr>
        <w:rPr>
          <w:rFonts w:ascii="Arial" w:hAnsi="Arial" w:cs="Arial"/>
          <w:b/>
          <w:bCs/>
          <w:sz w:val="24"/>
          <w:szCs w:val="24"/>
        </w:rPr>
      </w:pPr>
      <w:bookmarkStart w:id="0" w:name="Title"/>
      <w:bookmarkStart w:id="1" w:name="DocumentFor"/>
      <w:bookmarkEnd w:id="0"/>
      <w:bookmarkEnd w:id="1"/>
      <w:r w:rsidRPr="00576F50">
        <w:rPr>
          <w:rFonts w:ascii="Arial" w:hAnsi="Arial" w:cs="Arial"/>
          <w:b/>
          <w:bCs/>
          <w:sz w:val="24"/>
          <w:szCs w:val="24"/>
        </w:rPr>
        <w:t>3GPP TSG-RAN WG4 Meeting #11</w:t>
      </w:r>
      <w:r w:rsidR="00576F50">
        <w:rPr>
          <w:rFonts w:ascii="Arial" w:hAnsi="Arial" w:cs="Arial" w:hint="eastAsia"/>
          <w:b/>
          <w:bCs/>
          <w:sz w:val="24"/>
          <w:szCs w:val="24"/>
        </w:rPr>
        <w:t>2</w:t>
      </w:r>
      <w:r w:rsidR="005C59B4">
        <w:rPr>
          <w:rFonts w:ascii="Arial" w:hAnsi="Arial" w:cs="Arial" w:hint="eastAsia"/>
          <w:b/>
          <w:bCs/>
          <w:sz w:val="24"/>
          <w:szCs w:val="24"/>
        </w:rPr>
        <w:t>bis</w:t>
      </w:r>
      <w:r w:rsidRPr="00576F50">
        <w:rPr>
          <w:rFonts w:ascii="Arial" w:hAnsi="Arial" w:cs="Arial"/>
          <w:b/>
          <w:bCs/>
          <w:sz w:val="24"/>
          <w:szCs w:val="24"/>
        </w:rPr>
        <w:tab/>
      </w:r>
      <w:r w:rsidRPr="00576F50">
        <w:rPr>
          <w:rFonts w:ascii="Arial" w:hAnsi="Arial" w:cs="Arial"/>
          <w:b/>
          <w:bCs/>
          <w:sz w:val="24"/>
          <w:szCs w:val="24"/>
        </w:rPr>
        <w:tab/>
      </w:r>
      <w:r w:rsidRPr="00576F50">
        <w:rPr>
          <w:rFonts w:ascii="Arial" w:hAnsi="Arial" w:cs="Arial"/>
          <w:b/>
          <w:bCs/>
          <w:sz w:val="24"/>
          <w:szCs w:val="24"/>
        </w:rPr>
        <w:tab/>
      </w:r>
      <w:r w:rsidRPr="00576F50">
        <w:rPr>
          <w:rFonts w:ascii="Arial" w:hAnsi="Arial" w:cs="Arial"/>
          <w:b/>
          <w:bCs/>
          <w:sz w:val="24"/>
          <w:szCs w:val="24"/>
        </w:rPr>
        <w:tab/>
      </w:r>
      <w:r w:rsidRPr="00576F50">
        <w:rPr>
          <w:rFonts w:ascii="Arial" w:hAnsi="Arial" w:cs="Arial" w:hint="eastAsia"/>
          <w:b/>
          <w:bCs/>
          <w:sz w:val="24"/>
          <w:szCs w:val="24"/>
        </w:rPr>
        <w:tab/>
      </w:r>
      <w:r w:rsidRPr="00576F50">
        <w:rPr>
          <w:rFonts w:ascii="Arial" w:hAnsi="Arial" w:cs="Arial" w:hint="eastAsia"/>
          <w:b/>
          <w:bCs/>
          <w:sz w:val="24"/>
          <w:szCs w:val="24"/>
        </w:rPr>
        <w:tab/>
      </w:r>
      <w:r w:rsidRPr="00576F50">
        <w:rPr>
          <w:rFonts w:ascii="Arial" w:hAnsi="Arial" w:cs="Arial" w:hint="eastAsia"/>
          <w:b/>
          <w:bCs/>
          <w:sz w:val="24"/>
          <w:szCs w:val="24"/>
        </w:rPr>
        <w:tab/>
      </w:r>
      <w:r w:rsidRPr="00576F50">
        <w:rPr>
          <w:rFonts w:ascii="Arial" w:hAnsi="Arial" w:cs="Arial" w:hint="eastAsia"/>
          <w:b/>
          <w:bCs/>
          <w:sz w:val="24"/>
          <w:szCs w:val="24"/>
        </w:rPr>
        <w:tab/>
      </w:r>
      <w:r w:rsidRPr="00576F50">
        <w:rPr>
          <w:rFonts w:ascii="Arial" w:hAnsi="Arial" w:cs="Arial" w:hint="eastAsia"/>
          <w:b/>
          <w:bCs/>
          <w:sz w:val="24"/>
          <w:szCs w:val="24"/>
        </w:rPr>
        <w:tab/>
      </w:r>
      <w:r w:rsidRPr="00576F50">
        <w:rPr>
          <w:rFonts w:ascii="Arial" w:hAnsi="Arial" w:cs="Arial" w:hint="eastAsia"/>
          <w:b/>
          <w:bCs/>
          <w:sz w:val="24"/>
          <w:szCs w:val="24"/>
        </w:rPr>
        <w:tab/>
      </w:r>
      <w:r w:rsidR="00F173F4" w:rsidRPr="00F173F4">
        <w:rPr>
          <w:rFonts w:ascii="Arial" w:hAnsi="Arial" w:cs="Arial"/>
          <w:b/>
          <w:bCs/>
          <w:sz w:val="24"/>
          <w:szCs w:val="24"/>
        </w:rPr>
        <w:t>R4-2415023</w:t>
      </w:r>
    </w:p>
    <w:p w14:paraId="2C4B8933" w14:textId="237D8F37" w:rsidR="00013900" w:rsidRPr="00576F50" w:rsidRDefault="005C59B4">
      <w:pPr>
        <w:rPr>
          <w:rFonts w:ascii="Arial" w:hAnsi="Arial" w:cs="Arial"/>
          <w:b/>
          <w:bCs/>
          <w:sz w:val="24"/>
          <w:szCs w:val="24"/>
        </w:rPr>
      </w:pPr>
      <w:r w:rsidRPr="005C59B4">
        <w:rPr>
          <w:rFonts w:ascii="Arial" w:hAnsi="Arial" w:cs="Arial"/>
          <w:b/>
          <w:bCs/>
          <w:sz w:val="24"/>
          <w:szCs w:val="24"/>
        </w:rPr>
        <w:t>Hefei, China, 1</w:t>
      </w:r>
      <w:r>
        <w:rPr>
          <w:rFonts w:ascii="Arial" w:hAnsi="Arial" w:cs="Arial" w:hint="eastAsia"/>
          <w:b/>
          <w:bCs/>
          <w:sz w:val="24"/>
          <w:szCs w:val="24"/>
        </w:rPr>
        <w:t>4</w:t>
      </w:r>
      <w:r w:rsidRPr="005C59B4">
        <w:rPr>
          <w:rFonts w:ascii="Arial" w:hAnsi="Arial" w:cs="Arial"/>
          <w:b/>
          <w:bCs/>
          <w:sz w:val="24"/>
          <w:szCs w:val="24"/>
        </w:rPr>
        <w:t xml:space="preserve">th – </w:t>
      </w:r>
      <w:r>
        <w:rPr>
          <w:rFonts w:ascii="Arial" w:hAnsi="Arial" w:cs="Arial" w:hint="eastAsia"/>
          <w:b/>
          <w:bCs/>
          <w:sz w:val="24"/>
          <w:szCs w:val="24"/>
        </w:rPr>
        <w:t>18</w:t>
      </w:r>
      <w:r w:rsidR="000600CC">
        <w:rPr>
          <w:rFonts w:ascii="Arial" w:hAnsi="Arial" w:cs="Arial" w:hint="eastAsia"/>
          <w:b/>
          <w:bCs/>
          <w:sz w:val="24"/>
          <w:szCs w:val="24"/>
        </w:rPr>
        <w:t>th</w:t>
      </w:r>
      <w:r w:rsidRPr="005C59B4">
        <w:rPr>
          <w:rFonts w:ascii="Arial" w:hAnsi="Arial" w:cs="Arial"/>
          <w:b/>
          <w:bCs/>
          <w:sz w:val="24"/>
          <w:szCs w:val="24"/>
        </w:rPr>
        <w:t xml:space="preserve"> </w:t>
      </w:r>
      <w:r>
        <w:rPr>
          <w:rFonts w:ascii="Arial" w:hAnsi="Arial" w:cs="Arial" w:hint="eastAsia"/>
          <w:b/>
          <w:bCs/>
          <w:sz w:val="24"/>
          <w:szCs w:val="24"/>
        </w:rPr>
        <w:t>October</w:t>
      </w:r>
      <w:r w:rsidRPr="005C59B4">
        <w:rPr>
          <w:rFonts w:ascii="Arial" w:hAnsi="Arial" w:cs="Arial"/>
          <w:b/>
          <w:bCs/>
          <w:sz w:val="24"/>
          <w:szCs w:val="24"/>
        </w:rPr>
        <w:t>, 2024</w:t>
      </w:r>
    </w:p>
    <w:p w14:paraId="68DB2565" w14:textId="1048BE2E" w:rsidR="00013900" w:rsidRPr="005C59B4" w:rsidRDefault="003D6849">
      <w:r>
        <w:rPr>
          <w:rFonts w:hint="eastAsia"/>
        </w:rPr>
        <w:t xml:space="preserve"> </w:t>
      </w:r>
    </w:p>
    <w:p w14:paraId="3A36728D" w14:textId="11D85691" w:rsidR="00013900" w:rsidRPr="000600CC" w:rsidRDefault="00000000">
      <w:pPr>
        <w:tabs>
          <w:tab w:val="left" w:pos="1980"/>
        </w:tabs>
        <w:spacing w:after="180"/>
        <w:ind w:left="1980" w:hanging="1980"/>
        <w:rPr>
          <w:rFonts w:ascii="Arial" w:eastAsiaTheme="minorEastAsia" w:hAnsi="Arial" w:cs="Arial"/>
          <w:b/>
          <w:sz w:val="24"/>
          <w:szCs w:val="24"/>
        </w:rPr>
      </w:pPr>
      <w:r w:rsidRPr="00576F50">
        <w:rPr>
          <w:rFonts w:ascii="Arial" w:eastAsia="MS Mincho" w:hAnsi="Arial" w:cs="Arial"/>
          <w:b/>
          <w:sz w:val="24"/>
          <w:szCs w:val="24"/>
          <w:lang w:eastAsia="en-US"/>
        </w:rPr>
        <w:t>Agenda item:</w:t>
      </w:r>
      <w:r w:rsidRPr="00576F50">
        <w:rPr>
          <w:rFonts w:ascii="Arial" w:eastAsia="MS Mincho" w:hAnsi="Arial" w:cs="Arial"/>
          <w:b/>
          <w:sz w:val="24"/>
          <w:szCs w:val="24"/>
          <w:lang w:eastAsia="en-US"/>
        </w:rPr>
        <w:tab/>
      </w:r>
      <w:r w:rsidR="000600CC">
        <w:rPr>
          <w:rFonts w:ascii="Arial" w:eastAsiaTheme="minorEastAsia" w:hAnsi="Arial" w:cs="Arial" w:hint="eastAsia"/>
          <w:b/>
          <w:sz w:val="24"/>
          <w:szCs w:val="24"/>
        </w:rPr>
        <w:t>6.20.2.2</w:t>
      </w:r>
    </w:p>
    <w:p w14:paraId="55D5636A" w14:textId="77777777" w:rsidR="00013900"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7653AB54" w14:textId="1D9B9C34" w:rsidR="00013900"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 xml:space="preserve">Discussion on existing </w:t>
      </w:r>
      <w:r w:rsidR="0015733E" w:rsidRPr="0015733E">
        <w:rPr>
          <w:rFonts w:ascii="Arial" w:hAnsi="Arial" w:cs="Arial"/>
          <w:b/>
          <w:sz w:val="24"/>
          <w:szCs w:val="24"/>
        </w:rPr>
        <w:t xml:space="preserve">Tx requirements </w:t>
      </w:r>
      <w:r>
        <w:rPr>
          <w:rFonts w:ascii="Arial" w:hAnsi="Arial" w:cs="Arial" w:hint="eastAsia"/>
          <w:b/>
          <w:sz w:val="24"/>
          <w:szCs w:val="24"/>
        </w:rPr>
        <w:t>for SBFD</w:t>
      </w:r>
    </w:p>
    <w:p w14:paraId="02E09CD9" w14:textId="77777777" w:rsidR="00013900"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7DEDD086" w14:textId="77777777" w:rsidR="00013900"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27659E84" w14:textId="77777777" w:rsidR="00013900" w:rsidRDefault="00000000">
      <w:pPr>
        <w:spacing w:after="180"/>
        <w:rPr>
          <w:rFonts w:ascii="Times New Roman" w:hAnsi="Times New Roman"/>
          <w:sz w:val="20"/>
        </w:rPr>
      </w:pPr>
      <w:r>
        <w:rPr>
          <w:rFonts w:ascii="Times New Roman" w:hAnsi="Times New Roman" w:hint="eastAsia"/>
          <w:sz w:val="20"/>
        </w:rPr>
        <w:t>In TR 38.858, the impacts on SBFD requirements have been analyzed</w:t>
      </w:r>
      <w:r>
        <w:rPr>
          <w:rFonts w:ascii="Times New Roman" w:hAnsi="Times New Roman"/>
          <w:sz w:val="20"/>
        </w:rPr>
        <w:t>.</w:t>
      </w:r>
      <w:r>
        <w:rPr>
          <w:rFonts w:ascii="Times New Roman" w:hAnsi="Times New Roman" w:hint="eastAsia"/>
          <w:sz w:val="20"/>
        </w:rPr>
        <w:t xml:space="preserve"> RAN4 has identified which </w:t>
      </w:r>
      <w:r>
        <w:rPr>
          <w:rFonts w:ascii="Times New Roman" w:hAnsi="Times New Roman" w:hint="eastAsia"/>
          <w:sz w:val="20"/>
          <w:szCs w:val="20"/>
        </w:rPr>
        <w:t>legacy requirements are still applicable, which legacy requirements are not applicable and which new requirements are needed</w:t>
      </w:r>
      <w:r>
        <w:rPr>
          <w:rFonts w:ascii="Times New Roman" w:hAnsi="Times New Roman" w:hint="eastAsia"/>
          <w:sz w:val="20"/>
        </w:rPr>
        <w:t xml:space="preserve">. </w:t>
      </w:r>
    </w:p>
    <w:p w14:paraId="007F05D9" w14:textId="51B4A95A" w:rsidR="00013900" w:rsidRDefault="00000000">
      <w:pPr>
        <w:spacing w:after="180"/>
        <w:rPr>
          <w:rFonts w:ascii="Times New Roman" w:hAnsi="Times New Roman"/>
          <w:sz w:val="20"/>
        </w:rPr>
      </w:pPr>
      <w:r>
        <w:rPr>
          <w:rFonts w:ascii="Times New Roman" w:hAnsi="Times New Roman" w:hint="eastAsia"/>
          <w:sz w:val="20"/>
        </w:rPr>
        <w:t>In last meeting, WF on SBFD BS requirement is approved with several agreements.[1]</w:t>
      </w:r>
    </w:p>
    <w:p w14:paraId="24100BC8" w14:textId="77777777" w:rsidR="00013900" w:rsidRDefault="00000000">
      <w:pPr>
        <w:spacing w:after="180"/>
        <w:rPr>
          <w:rFonts w:ascii="Times New Roman" w:hAnsi="Times New Roman"/>
          <w:sz w:val="20"/>
        </w:rPr>
      </w:pPr>
      <w:r>
        <w:rPr>
          <w:rFonts w:ascii="Times New Roman" w:hAnsi="Times New Roman" w:hint="eastAsia"/>
          <w:sz w:val="20"/>
        </w:rPr>
        <w:t>In this contribution, we continue the RF requirements discussion based on the output of study item phase.</w:t>
      </w:r>
    </w:p>
    <w:p w14:paraId="16A0C91B" w14:textId="77777777" w:rsidR="00013900" w:rsidRDefault="00000000">
      <w:pPr>
        <w:keepNext/>
        <w:keepLines/>
        <w:widowControl/>
        <w:numPr>
          <w:ilvl w:val="0"/>
          <w:numId w:val="1"/>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E54670D" w14:textId="3AF73B27" w:rsidR="00013900" w:rsidRDefault="00000000">
      <w:pPr>
        <w:pStyle w:val="3"/>
        <w:spacing w:before="156" w:after="156"/>
      </w:pPr>
      <w:r>
        <w:rPr>
          <w:rFonts w:hint="eastAsia"/>
        </w:rPr>
        <w:t>2.</w:t>
      </w:r>
      <w:r w:rsidR="00B77FA0">
        <w:rPr>
          <w:rFonts w:hint="eastAsia"/>
        </w:rPr>
        <w:t xml:space="preserve">1 </w:t>
      </w:r>
      <w:r>
        <w:rPr>
          <w:rFonts w:hint="eastAsia"/>
        </w:rPr>
        <w:t xml:space="preserve">ACLR </w:t>
      </w:r>
      <w:r w:rsidR="00B77FA0">
        <w:rPr>
          <w:rFonts w:hint="eastAsia"/>
        </w:rPr>
        <w:t>and OBUE</w:t>
      </w:r>
    </w:p>
    <w:p w14:paraId="37025FB9" w14:textId="53D91FDF" w:rsidR="00013900" w:rsidRDefault="00000000">
      <w:pPr>
        <w:rPr>
          <w:rFonts w:ascii="Times New Roman" w:hAnsi="Times New Roman"/>
          <w:sz w:val="20"/>
          <w:szCs w:val="20"/>
        </w:rPr>
      </w:pPr>
      <w:r>
        <w:rPr>
          <w:rFonts w:ascii="Times New Roman" w:hAnsi="Times New Roman"/>
          <w:sz w:val="20"/>
          <w:szCs w:val="20"/>
        </w:rPr>
        <w:t xml:space="preserve">Following </w:t>
      </w:r>
      <w:proofErr w:type="gramStart"/>
      <w:r>
        <w:rPr>
          <w:rFonts w:ascii="Times New Roman" w:hAnsi="Times New Roman"/>
          <w:sz w:val="20"/>
          <w:szCs w:val="20"/>
        </w:rPr>
        <w:t>capture</w:t>
      </w:r>
      <w:proofErr w:type="gramEnd"/>
      <w:r>
        <w:rPr>
          <w:rFonts w:ascii="Times New Roman" w:hAnsi="Times New Roman"/>
          <w:sz w:val="20"/>
          <w:szCs w:val="20"/>
        </w:rPr>
        <w:t xml:space="preserve"> </w:t>
      </w:r>
      <w:r>
        <w:rPr>
          <w:rFonts w:ascii="Times New Roman" w:hAnsi="Times New Roman" w:hint="eastAsia"/>
          <w:sz w:val="20"/>
          <w:szCs w:val="20"/>
        </w:rPr>
        <w:t>the agreements from TR 38.858 for ACLR requirements</w:t>
      </w:r>
      <w:r>
        <w:rPr>
          <w:rFonts w:ascii="Times New Roman" w:hAnsi="Times New Roman"/>
          <w:sz w:val="20"/>
          <w:szCs w:val="20"/>
        </w:rPr>
        <w:t>:</w:t>
      </w:r>
    </w:p>
    <w:tbl>
      <w:tblPr>
        <w:tblStyle w:val="af3"/>
        <w:tblW w:w="0" w:type="auto"/>
        <w:tblLook w:val="04A0" w:firstRow="1" w:lastRow="0" w:firstColumn="1" w:lastColumn="0" w:noHBand="0" w:noVBand="1"/>
      </w:tblPr>
      <w:tblGrid>
        <w:gridCol w:w="9736"/>
      </w:tblGrid>
      <w:tr w:rsidR="00013900" w14:paraId="3860E652" w14:textId="77777777">
        <w:tc>
          <w:tcPr>
            <w:tcW w:w="9962" w:type="dxa"/>
          </w:tcPr>
          <w:p w14:paraId="1604F36B" w14:textId="77777777" w:rsidR="00013900" w:rsidRDefault="00000000" w:rsidP="00E44E34">
            <w:pPr>
              <w:pStyle w:val="af6"/>
              <w:ind w:firstLineChars="0" w:firstLine="0"/>
              <w:rPr>
                <w:rFonts w:ascii="Times New Roman" w:hAnsi="Times New Roman"/>
                <w:sz w:val="20"/>
                <w:szCs w:val="20"/>
              </w:rPr>
            </w:pPr>
            <w:r>
              <w:rPr>
                <w:rFonts w:ascii="Times New Roman" w:hAnsi="Times New Roman"/>
                <w:sz w:val="20"/>
                <w:szCs w:val="20"/>
              </w:rPr>
              <w:t xml:space="preserve">For ACLR requirement, it shall be defined outside of the whole carrier instead of sub-band for SBFD DL symbols/slots and ACLR requirement is still defined as the ratio of sum of TX power within the whole carrier to the adjacent carrier. </w:t>
            </w:r>
          </w:p>
          <w:p w14:paraId="0B9398FD" w14:textId="2DCE61B4" w:rsidR="00E44E34" w:rsidRPr="00E44E34" w:rsidRDefault="00E44E34" w:rsidP="00E44E34">
            <w:pPr>
              <w:pStyle w:val="af6"/>
              <w:ind w:firstLineChars="0" w:firstLine="0"/>
              <w:rPr>
                <w:rFonts w:ascii="Times New Roman" w:hAnsi="Times New Roman"/>
                <w:sz w:val="20"/>
                <w:szCs w:val="20"/>
              </w:rPr>
            </w:pPr>
          </w:p>
        </w:tc>
      </w:tr>
    </w:tbl>
    <w:p w14:paraId="7870AB68" w14:textId="39270F54" w:rsidR="00013900" w:rsidRDefault="003B5E0F" w:rsidP="003B5E0F">
      <w:pPr>
        <w:spacing w:after="180"/>
        <w:rPr>
          <w:rFonts w:ascii="Times New Roman" w:hAnsi="Times New Roman"/>
          <w:sz w:val="20"/>
          <w:szCs w:val="20"/>
        </w:rPr>
      </w:pPr>
      <w:r w:rsidRPr="003B5E0F">
        <w:rPr>
          <w:rFonts w:ascii="Times New Roman" w:hAnsi="Times New Roman" w:hint="eastAsia"/>
          <w:sz w:val="20"/>
          <w:szCs w:val="20"/>
        </w:rPr>
        <w:t xml:space="preserve">And during last meeting, we have reached the following </w:t>
      </w:r>
      <w:r>
        <w:rPr>
          <w:rFonts w:ascii="Times New Roman" w:hAnsi="Times New Roman" w:hint="eastAsia"/>
          <w:sz w:val="20"/>
          <w:szCs w:val="20"/>
        </w:rPr>
        <w:t>agreement:</w:t>
      </w:r>
    </w:p>
    <w:tbl>
      <w:tblPr>
        <w:tblStyle w:val="af3"/>
        <w:tblW w:w="0" w:type="auto"/>
        <w:tblLook w:val="04A0" w:firstRow="1" w:lastRow="0" w:firstColumn="1" w:lastColumn="0" w:noHBand="0" w:noVBand="1"/>
      </w:tblPr>
      <w:tblGrid>
        <w:gridCol w:w="9736"/>
      </w:tblGrid>
      <w:tr w:rsidR="003B5E0F" w14:paraId="67F15C7C" w14:textId="77777777" w:rsidTr="003B5E0F">
        <w:tc>
          <w:tcPr>
            <w:tcW w:w="9736" w:type="dxa"/>
          </w:tcPr>
          <w:p w14:paraId="563FFDE6" w14:textId="77777777" w:rsidR="00B77FA0" w:rsidRPr="00B77FA0" w:rsidRDefault="00B77FA0" w:rsidP="00B77FA0">
            <w:pPr>
              <w:spacing w:after="120"/>
              <w:rPr>
                <w:rFonts w:ascii="Times New Roman" w:hAnsi="Times New Roman"/>
                <w:color w:val="0070C0"/>
                <w:sz w:val="20"/>
                <w:szCs w:val="20"/>
                <w:lang w:eastAsia="zh-CN"/>
              </w:rPr>
            </w:pPr>
            <w:r w:rsidRPr="00B77FA0">
              <w:rPr>
                <w:rFonts w:ascii="Times New Roman" w:hAnsi="Times New Roman"/>
                <w:b/>
                <w:sz w:val="20"/>
                <w:szCs w:val="20"/>
                <w:lang w:eastAsia="zh-CN"/>
              </w:rPr>
              <w:t>Agreement:</w:t>
            </w:r>
            <w:r w:rsidRPr="00B77FA0">
              <w:rPr>
                <w:rFonts w:ascii="Times New Roman" w:hAnsi="Times New Roman"/>
                <w:color w:val="0070C0"/>
                <w:sz w:val="20"/>
                <w:szCs w:val="20"/>
                <w:lang w:eastAsia="zh-CN"/>
              </w:rPr>
              <w:t xml:space="preserve"> </w:t>
            </w:r>
          </w:p>
          <w:p w14:paraId="6FFC3C0A" w14:textId="77777777" w:rsidR="00B77FA0" w:rsidRPr="00B77FA0" w:rsidRDefault="00B77FA0" w:rsidP="00B77FA0">
            <w:pPr>
              <w:pStyle w:val="af6"/>
              <w:widowControl/>
              <w:numPr>
                <w:ilvl w:val="0"/>
                <w:numId w:val="2"/>
              </w:numPr>
              <w:overflowPunct w:val="0"/>
              <w:autoSpaceDE w:val="0"/>
              <w:autoSpaceDN w:val="0"/>
              <w:adjustRightInd w:val="0"/>
              <w:spacing w:after="180"/>
              <w:ind w:firstLineChars="0"/>
              <w:jc w:val="left"/>
              <w:textAlignment w:val="baseline"/>
              <w:rPr>
                <w:rFonts w:ascii="Times New Roman" w:eastAsiaTheme="minorEastAsia" w:hAnsi="Times New Roman"/>
                <w:sz w:val="20"/>
                <w:szCs w:val="20"/>
                <w:lang w:eastAsia="zh-CN"/>
              </w:rPr>
            </w:pPr>
            <w:r w:rsidRPr="00B77FA0">
              <w:rPr>
                <w:rFonts w:ascii="Times New Roman" w:hAnsi="Times New Roman"/>
                <w:sz w:val="20"/>
                <w:szCs w:val="20"/>
                <w:lang w:eastAsia="zh-CN"/>
              </w:rPr>
              <w:t>When coexisting with legacy TDD system in adjacent channel, RAN4 shall apply the legacy ACLR and OBUE requirement for SBFD-capable BS</w:t>
            </w:r>
            <w:r w:rsidRPr="00B77FA0">
              <w:rPr>
                <w:rFonts w:ascii="Times New Roman" w:eastAsiaTheme="minorEastAsia" w:hAnsi="Times New Roman"/>
                <w:sz w:val="20"/>
                <w:szCs w:val="20"/>
                <w:lang w:eastAsia="zh-CN"/>
              </w:rPr>
              <w:t>.</w:t>
            </w:r>
          </w:p>
          <w:p w14:paraId="3A984385" w14:textId="77777777" w:rsidR="00B77FA0" w:rsidRPr="00B77FA0" w:rsidRDefault="00B77FA0" w:rsidP="00B77FA0">
            <w:pPr>
              <w:spacing w:after="120"/>
              <w:rPr>
                <w:rFonts w:ascii="Times New Roman" w:hAnsi="Times New Roman"/>
                <w:color w:val="0070C0"/>
                <w:sz w:val="20"/>
                <w:szCs w:val="20"/>
                <w:lang w:eastAsia="zh-CN"/>
              </w:rPr>
            </w:pPr>
            <w:r w:rsidRPr="00B77FA0">
              <w:rPr>
                <w:rFonts w:ascii="Times New Roman" w:hAnsi="Times New Roman"/>
                <w:b/>
                <w:sz w:val="20"/>
                <w:szCs w:val="20"/>
                <w:lang w:eastAsia="zh-CN"/>
              </w:rPr>
              <w:t>WF:</w:t>
            </w:r>
            <w:r w:rsidRPr="00B77FA0">
              <w:rPr>
                <w:rFonts w:ascii="Times New Roman" w:hAnsi="Times New Roman"/>
                <w:color w:val="0070C0"/>
                <w:sz w:val="20"/>
                <w:szCs w:val="20"/>
                <w:lang w:eastAsia="zh-CN"/>
              </w:rPr>
              <w:t xml:space="preserve"> </w:t>
            </w:r>
          </w:p>
          <w:p w14:paraId="7E6310C4" w14:textId="77777777" w:rsidR="00B77FA0" w:rsidRPr="00B77FA0" w:rsidRDefault="00B77FA0" w:rsidP="00B77FA0">
            <w:pPr>
              <w:pStyle w:val="af6"/>
              <w:widowControl/>
              <w:numPr>
                <w:ilvl w:val="0"/>
                <w:numId w:val="2"/>
              </w:numPr>
              <w:overflowPunct w:val="0"/>
              <w:autoSpaceDE w:val="0"/>
              <w:autoSpaceDN w:val="0"/>
              <w:adjustRightInd w:val="0"/>
              <w:spacing w:after="180"/>
              <w:ind w:firstLineChars="0"/>
              <w:jc w:val="left"/>
              <w:textAlignment w:val="baseline"/>
              <w:rPr>
                <w:rFonts w:ascii="Times New Roman" w:eastAsiaTheme="minorEastAsia" w:hAnsi="Times New Roman"/>
                <w:sz w:val="20"/>
                <w:szCs w:val="20"/>
                <w:lang w:eastAsia="zh-CN"/>
              </w:rPr>
            </w:pPr>
            <w:r w:rsidRPr="00B77FA0">
              <w:rPr>
                <w:rFonts w:ascii="Times New Roman" w:eastAsiaTheme="minorEastAsia" w:hAnsi="Times New Roman"/>
                <w:sz w:val="20"/>
                <w:szCs w:val="20"/>
                <w:lang w:eastAsia="zh-CN"/>
              </w:rPr>
              <w:t>FFS on the followings:</w:t>
            </w:r>
          </w:p>
          <w:p w14:paraId="25E54769" w14:textId="32BC0980" w:rsidR="003B5E0F" w:rsidRPr="00B77FA0" w:rsidRDefault="00B77FA0" w:rsidP="00B77FA0">
            <w:pPr>
              <w:pStyle w:val="af6"/>
              <w:widowControl/>
              <w:numPr>
                <w:ilvl w:val="1"/>
                <w:numId w:val="2"/>
              </w:numPr>
              <w:overflowPunct w:val="0"/>
              <w:autoSpaceDE w:val="0"/>
              <w:autoSpaceDN w:val="0"/>
              <w:adjustRightInd w:val="0"/>
              <w:spacing w:after="180"/>
              <w:ind w:firstLineChars="0"/>
              <w:jc w:val="left"/>
              <w:textAlignment w:val="baseline"/>
              <w:rPr>
                <w:rFonts w:ascii="Times New Roman" w:eastAsiaTheme="minorEastAsia" w:hAnsi="Times New Roman"/>
                <w:sz w:val="20"/>
                <w:szCs w:val="20"/>
                <w:lang w:eastAsia="zh-CN"/>
              </w:rPr>
            </w:pPr>
            <w:r w:rsidRPr="00B77FA0">
              <w:rPr>
                <w:rFonts w:ascii="Times New Roman" w:hAnsi="Times New Roman"/>
                <w:color w:val="000000" w:themeColor="text1"/>
                <w:sz w:val="20"/>
                <w:szCs w:val="20"/>
              </w:rPr>
              <w:t>For FR1 macro deployments, when coexisting with new SBFD system in adjacent channel, RAN4 to define additional ACLR and/or OBUE requirement to ensure feasible coexistence with SBFD-capable gNB. The assumption for the victim BS DESENS and CL of BS2BS is FFS.</w:t>
            </w:r>
          </w:p>
        </w:tc>
      </w:tr>
    </w:tbl>
    <w:p w14:paraId="73C0DDB5" w14:textId="77777777" w:rsidR="003B5E0F" w:rsidRPr="003B5E0F" w:rsidRDefault="003B5E0F" w:rsidP="003B5E0F">
      <w:pPr>
        <w:spacing w:after="180"/>
        <w:rPr>
          <w:rFonts w:ascii="Times New Roman" w:hAnsi="Times New Roman"/>
          <w:sz w:val="20"/>
          <w:szCs w:val="20"/>
        </w:rPr>
      </w:pPr>
    </w:p>
    <w:p w14:paraId="23B38108" w14:textId="2F90755C" w:rsidR="00A202C7" w:rsidRDefault="00000000">
      <w:pPr>
        <w:spacing w:after="180"/>
        <w:rPr>
          <w:rFonts w:ascii="Times New Roman" w:hAnsi="Times New Roman"/>
          <w:sz w:val="20"/>
          <w:szCs w:val="20"/>
        </w:rPr>
      </w:pPr>
      <w:r>
        <w:rPr>
          <w:rFonts w:ascii="Times New Roman" w:hAnsi="Times New Roman" w:hint="eastAsia"/>
          <w:sz w:val="20"/>
          <w:szCs w:val="20"/>
        </w:rPr>
        <w:t>For</w:t>
      </w:r>
      <w:r w:rsidR="00576F50">
        <w:rPr>
          <w:rFonts w:ascii="Times New Roman" w:hAnsi="Times New Roman" w:hint="eastAsia"/>
          <w:sz w:val="20"/>
          <w:szCs w:val="20"/>
        </w:rPr>
        <w:t xml:space="preserve"> the</w:t>
      </w:r>
      <w:r>
        <w:rPr>
          <w:rFonts w:ascii="Times New Roman" w:hAnsi="Times New Roman" w:hint="eastAsia"/>
          <w:sz w:val="20"/>
          <w:szCs w:val="20"/>
        </w:rPr>
        <w:t xml:space="preserve"> SBFD network, adjacent-channel co-existence simulation only focus</w:t>
      </w:r>
      <w:r w:rsidR="00576F50">
        <w:rPr>
          <w:rFonts w:ascii="Times New Roman" w:hAnsi="Times New Roman" w:hint="eastAsia"/>
          <w:sz w:val="20"/>
          <w:szCs w:val="20"/>
        </w:rPr>
        <w:t>es</w:t>
      </w:r>
      <w:r>
        <w:rPr>
          <w:rFonts w:ascii="Times New Roman" w:hAnsi="Times New Roman" w:hint="eastAsia"/>
          <w:sz w:val="20"/>
          <w:szCs w:val="20"/>
        </w:rPr>
        <w:t xml:space="preserve"> on not less than 10% grid shift values</w:t>
      </w:r>
      <w:r w:rsidR="00576F50">
        <w:rPr>
          <w:rFonts w:ascii="Times New Roman" w:hAnsi="Times New Roman" w:hint="eastAsia"/>
          <w:sz w:val="20"/>
          <w:szCs w:val="20"/>
        </w:rPr>
        <w:t>,</w:t>
      </w:r>
      <w:r>
        <w:rPr>
          <w:rFonts w:ascii="Times New Roman" w:hAnsi="Times New Roman" w:hint="eastAsia"/>
          <w:sz w:val="20"/>
          <w:szCs w:val="20"/>
        </w:rPr>
        <w:t xml:space="preserve"> and 0% grid shift is avoided. But 0% grid</w:t>
      </w:r>
      <w:r w:rsidR="00BA58C4">
        <w:rPr>
          <w:rFonts w:ascii="Times New Roman" w:hAnsi="Times New Roman" w:hint="eastAsia"/>
          <w:sz w:val="20"/>
          <w:szCs w:val="20"/>
        </w:rPr>
        <w:t xml:space="preserve"> </w:t>
      </w:r>
      <w:r w:rsidR="00C64A5D">
        <w:rPr>
          <w:rFonts w:ascii="Times New Roman" w:hAnsi="Times New Roman" w:hint="eastAsia"/>
          <w:sz w:val="20"/>
          <w:szCs w:val="20"/>
        </w:rPr>
        <w:t>6</w:t>
      </w:r>
      <w:r>
        <w:rPr>
          <w:rFonts w:ascii="Times New Roman" w:hAnsi="Times New Roman" w:hint="eastAsia"/>
          <w:sz w:val="20"/>
          <w:szCs w:val="20"/>
        </w:rPr>
        <w:t xml:space="preserve"> shift is the worst case. </w:t>
      </w:r>
      <w:proofErr w:type="gramStart"/>
      <w:r>
        <w:rPr>
          <w:rFonts w:ascii="Times New Roman" w:hAnsi="Times New Roman" w:hint="eastAsia"/>
          <w:sz w:val="20"/>
          <w:szCs w:val="20"/>
        </w:rPr>
        <w:t>So</w:t>
      </w:r>
      <w:proofErr w:type="gramEnd"/>
      <w:r>
        <w:rPr>
          <w:rFonts w:ascii="Times New Roman" w:hAnsi="Times New Roman" w:hint="eastAsia"/>
          <w:sz w:val="20"/>
          <w:szCs w:val="20"/>
        </w:rPr>
        <w:t xml:space="preserve"> it seems co-location ACLR requirements or equivalent </w:t>
      </w:r>
      <w:r>
        <w:rPr>
          <w:rFonts w:ascii="Times New Roman" w:hAnsi="Times New Roman" w:hint="eastAsia"/>
          <w:sz w:val="20"/>
          <w:szCs w:val="20"/>
        </w:rPr>
        <w:lastRenderedPageBreak/>
        <w:t>requirements are needed.</w:t>
      </w:r>
      <w:r w:rsidR="00D921B9">
        <w:rPr>
          <w:rFonts w:ascii="Times New Roman" w:hAnsi="Times New Roman" w:hint="eastAsia"/>
          <w:sz w:val="20"/>
          <w:szCs w:val="20"/>
        </w:rPr>
        <w:t xml:space="preserve"> We list two options</w:t>
      </w:r>
      <w:r w:rsidR="005960A4">
        <w:rPr>
          <w:rFonts w:ascii="Times New Roman" w:hAnsi="Times New Roman" w:hint="eastAsia"/>
          <w:sz w:val="20"/>
          <w:szCs w:val="20"/>
        </w:rPr>
        <w:t>:</w:t>
      </w:r>
    </w:p>
    <w:p w14:paraId="302FA0C8" w14:textId="036DAA13" w:rsidR="005960A4" w:rsidRPr="005960A4" w:rsidRDefault="005960A4">
      <w:pPr>
        <w:spacing w:after="180"/>
        <w:rPr>
          <w:rFonts w:ascii="Times New Roman" w:hAnsi="Times New Roman"/>
          <w:sz w:val="20"/>
          <w:szCs w:val="20"/>
        </w:rPr>
      </w:pPr>
      <w:r>
        <w:rPr>
          <w:rFonts w:ascii="Times New Roman" w:hAnsi="Times New Roman" w:hint="eastAsia"/>
          <w:sz w:val="20"/>
          <w:szCs w:val="20"/>
        </w:rPr>
        <w:t xml:space="preserve">Option 1: Not define co-location ACLR requirement. Add the note in the spec that the ACLR requirement is not applied to the co-location </w:t>
      </w:r>
      <w:r>
        <w:rPr>
          <w:rFonts w:ascii="Times New Roman" w:hAnsi="Times New Roman"/>
          <w:sz w:val="20"/>
          <w:szCs w:val="20"/>
        </w:rPr>
        <w:t>scenario</w:t>
      </w:r>
      <w:r>
        <w:rPr>
          <w:rFonts w:ascii="Times New Roman" w:hAnsi="Times New Roman" w:hint="eastAsia"/>
          <w:sz w:val="20"/>
          <w:szCs w:val="20"/>
        </w:rPr>
        <w:t>.</w:t>
      </w:r>
    </w:p>
    <w:p w14:paraId="04BE8C70" w14:textId="3FD39437" w:rsidR="00013900" w:rsidRDefault="005960A4">
      <w:pPr>
        <w:spacing w:after="180"/>
        <w:rPr>
          <w:rFonts w:ascii="Times New Roman" w:hAnsi="Times New Roman"/>
          <w:sz w:val="20"/>
          <w:szCs w:val="20"/>
        </w:rPr>
      </w:pPr>
      <w:r>
        <w:rPr>
          <w:rFonts w:ascii="Times New Roman" w:hAnsi="Times New Roman" w:hint="eastAsia"/>
          <w:sz w:val="20"/>
          <w:szCs w:val="20"/>
        </w:rPr>
        <w:t xml:space="preserve">Option 2: Define the co-location ACLR requirement. </w:t>
      </w:r>
      <w:bookmarkStart w:id="2" w:name="OLE_LINK8"/>
      <w:r w:rsidR="00C47513" w:rsidRPr="00C47513">
        <w:rPr>
          <w:rFonts w:ascii="Times New Roman" w:hAnsi="Times New Roman"/>
          <w:sz w:val="20"/>
          <w:szCs w:val="20"/>
        </w:rPr>
        <w:t xml:space="preserve">If </w:t>
      </w:r>
      <w:r w:rsidR="00C47513">
        <w:rPr>
          <w:rFonts w:ascii="Times New Roman" w:hAnsi="Times New Roman" w:hint="eastAsia"/>
          <w:sz w:val="20"/>
          <w:szCs w:val="20"/>
        </w:rPr>
        <w:t xml:space="preserve">co-location </w:t>
      </w:r>
      <w:r w:rsidR="00C47513" w:rsidRPr="00C47513">
        <w:rPr>
          <w:rFonts w:ascii="Times New Roman" w:hAnsi="Times New Roman"/>
          <w:sz w:val="20"/>
          <w:szCs w:val="20"/>
        </w:rPr>
        <w:t xml:space="preserve">ACLR is defined, it is necessary to ensure that the receiver of the </w:t>
      </w:r>
      <w:r w:rsidR="00C47513">
        <w:rPr>
          <w:rFonts w:ascii="Times New Roman" w:hAnsi="Times New Roman" w:hint="eastAsia"/>
          <w:sz w:val="20"/>
          <w:szCs w:val="20"/>
        </w:rPr>
        <w:t>BS</w:t>
      </w:r>
      <w:r w:rsidR="00C47513" w:rsidRPr="00C47513">
        <w:rPr>
          <w:rFonts w:ascii="Times New Roman" w:hAnsi="Times New Roman"/>
          <w:sz w:val="20"/>
          <w:szCs w:val="20"/>
        </w:rPr>
        <w:t xml:space="preserve"> is not blocked</w:t>
      </w:r>
      <w:bookmarkEnd w:id="2"/>
      <w:r w:rsidR="00FB4775">
        <w:rPr>
          <w:rFonts w:ascii="Times New Roman" w:hAnsi="Times New Roman" w:hint="eastAsia"/>
          <w:sz w:val="20"/>
          <w:szCs w:val="20"/>
        </w:rPr>
        <w:t>.</w:t>
      </w:r>
    </w:p>
    <w:p w14:paraId="1D1E5ACA" w14:textId="0B32E678" w:rsidR="00013900" w:rsidRDefault="00000000">
      <w:pPr>
        <w:spacing w:after="180"/>
        <w:rPr>
          <w:rFonts w:ascii="Times New Roman" w:hAnsi="Times New Roman"/>
          <w:b/>
          <w:bCs/>
          <w:sz w:val="20"/>
          <w:szCs w:val="20"/>
        </w:rPr>
      </w:pPr>
      <w:r>
        <w:rPr>
          <w:rFonts w:ascii="Times New Roman" w:hAnsi="Times New Roman" w:hint="eastAsia"/>
          <w:b/>
          <w:bCs/>
          <w:sz w:val="20"/>
          <w:szCs w:val="20"/>
        </w:rPr>
        <w:t xml:space="preserve">Proposal </w:t>
      </w:r>
      <w:r w:rsidR="00B77FA0">
        <w:rPr>
          <w:rFonts w:ascii="Times New Roman" w:hAnsi="Times New Roman" w:hint="eastAsia"/>
          <w:b/>
          <w:bCs/>
          <w:sz w:val="20"/>
          <w:szCs w:val="20"/>
        </w:rPr>
        <w:t>1</w:t>
      </w:r>
      <w:r>
        <w:rPr>
          <w:rFonts w:ascii="Times New Roman" w:hAnsi="Times New Roman" w:hint="eastAsia"/>
          <w:b/>
          <w:bCs/>
          <w:sz w:val="20"/>
          <w:szCs w:val="20"/>
        </w:rPr>
        <w:t xml:space="preserve">: </w:t>
      </w:r>
      <w:r w:rsidR="00C47513" w:rsidRPr="00C47513">
        <w:rPr>
          <w:rFonts w:ascii="Times New Roman" w:hAnsi="Times New Roman"/>
          <w:b/>
          <w:bCs/>
          <w:sz w:val="20"/>
          <w:szCs w:val="20"/>
        </w:rPr>
        <w:t>If co-location ACLR is defined, then it is necessary to ensure that the receiver of the BS is not blocked, otherwise the note in the spec that the ACLR requirement is not applied to the co-location scenario</w:t>
      </w:r>
      <w:r w:rsidR="00C47513">
        <w:rPr>
          <w:rFonts w:ascii="Times New Roman" w:hAnsi="Times New Roman" w:hint="eastAsia"/>
          <w:b/>
          <w:bCs/>
          <w:sz w:val="20"/>
          <w:szCs w:val="20"/>
        </w:rPr>
        <w:t xml:space="preserve"> is needed.</w:t>
      </w:r>
    </w:p>
    <w:p w14:paraId="308DB068" w14:textId="77777777" w:rsidR="00013900"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46B54206" w14:textId="77777777" w:rsidR="00013900"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SBFD RF requirements are discussed with following observations and proposals.</w:t>
      </w:r>
    </w:p>
    <w:p w14:paraId="451409C1" w14:textId="3EEB0256" w:rsidR="00013900" w:rsidRDefault="00C47513">
      <w:pPr>
        <w:spacing w:after="180"/>
        <w:rPr>
          <w:rFonts w:ascii="Times New Roman" w:hAnsi="Times New Roman"/>
          <w:b/>
          <w:bCs/>
          <w:sz w:val="20"/>
          <w:szCs w:val="20"/>
        </w:rPr>
      </w:pPr>
      <w:r w:rsidRPr="00C47513">
        <w:rPr>
          <w:rFonts w:ascii="Times New Roman" w:hAnsi="Times New Roman"/>
          <w:b/>
          <w:bCs/>
          <w:sz w:val="20"/>
          <w:szCs w:val="20"/>
        </w:rPr>
        <w:t xml:space="preserve">Proposal </w:t>
      </w:r>
      <w:r w:rsidR="0029257E">
        <w:rPr>
          <w:rFonts w:ascii="Times New Roman" w:hAnsi="Times New Roman" w:hint="eastAsia"/>
          <w:b/>
          <w:bCs/>
          <w:sz w:val="20"/>
          <w:szCs w:val="20"/>
        </w:rPr>
        <w:t>1</w:t>
      </w:r>
      <w:r w:rsidRPr="00C47513">
        <w:rPr>
          <w:rFonts w:ascii="Times New Roman" w:hAnsi="Times New Roman"/>
          <w:b/>
          <w:bCs/>
          <w:sz w:val="20"/>
          <w:szCs w:val="20"/>
        </w:rPr>
        <w:t>: If co-location ACLR is defined, then it is necessary to ensure that the receiver of the BS is not blocked, otherwise the note in the spec that the ACLR requirement is not applied to the co-location scenario is needed</w:t>
      </w:r>
    </w:p>
    <w:p w14:paraId="2CC70329" w14:textId="77777777" w:rsidR="00013900"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14A345D3" w14:textId="0143C769" w:rsidR="00013900" w:rsidRDefault="00000000">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sidR="00576F50">
        <w:rPr>
          <w:rFonts w:ascii="Times New Roman" w:hAnsi="Times New Roman" w:hint="eastAsia"/>
          <w:sz w:val="20"/>
          <w:szCs w:val="20"/>
        </w:rPr>
        <w:t>1</w:t>
      </w:r>
      <w:r>
        <w:rPr>
          <w:rFonts w:ascii="Times New Roman" w:hAnsi="Times New Roman" w:hint="eastAsia"/>
          <w:sz w:val="20"/>
          <w:szCs w:val="20"/>
        </w:rPr>
        <w:t xml:space="preserve">] </w:t>
      </w:r>
      <w:r w:rsidR="0029257E" w:rsidRPr="0029257E">
        <w:rPr>
          <w:rFonts w:ascii="Times New Roman" w:hAnsi="Times New Roman"/>
          <w:sz w:val="20"/>
          <w:szCs w:val="20"/>
        </w:rPr>
        <w:t>R4-2413515</w:t>
      </w:r>
      <w:r>
        <w:rPr>
          <w:rFonts w:ascii="Times New Roman" w:hAnsi="Times New Roman" w:hint="eastAsia"/>
          <w:sz w:val="20"/>
          <w:szCs w:val="20"/>
        </w:rPr>
        <w:t xml:space="preserve">, </w:t>
      </w:r>
      <w:r w:rsidR="0029257E" w:rsidRPr="0029257E">
        <w:rPr>
          <w:rFonts w:ascii="Times New Roman" w:hAnsi="Times New Roman"/>
          <w:sz w:val="20"/>
          <w:szCs w:val="20"/>
        </w:rPr>
        <w:t>Way Forward for [112][308] NR_duplex_evo_BSRF</w:t>
      </w:r>
    </w:p>
    <w:sectPr w:rsidR="00013900">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47769A" w14:textId="77777777" w:rsidR="000A7887" w:rsidRDefault="000A7887">
      <w:r>
        <w:separator/>
      </w:r>
    </w:p>
  </w:endnote>
  <w:endnote w:type="continuationSeparator" w:id="0">
    <w:p w14:paraId="498093A5" w14:textId="77777777" w:rsidR="000A7887" w:rsidRDefault="000A7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HP Simplified Han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309FF8" w14:textId="77777777" w:rsidR="000A7887" w:rsidRDefault="000A7887">
      <w:r>
        <w:separator/>
      </w:r>
    </w:p>
  </w:footnote>
  <w:footnote w:type="continuationSeparator" w:id="0">
    <w:p w14:paraId="56D6F91A" w14:textId="77777777" w:rsidR="000A7887" w:rsidRDefault="000A7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4550D" w14:textId="77777777" w:rsidR="00013900" w:rsidRDefault="00013900">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B69AF7C"/>
    <w:multiLevelType w:val="multilevel"/>
    <w:tmpl w:val="BB69AF7C"/>
    <w:lvl w:ilvl="0">
      <w:start w:val="2"/>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C305225F"/>
    <w:multiLevelType w:val="multilevel"/>
    <w:tmpl w:val="C30522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58B73482"/>
    <w:multiLevelType w:val="multilevel"/>
    <w:tmpl w:val="58B73482"/>
    <w:lvl w:ilvl="0">
      <w:start w:val="1"/>
      <w:numFmt w:val="bullet"/>
      <w:lvlText w:val=""/>
      <w:lvlJc w:val="left"/>
      <w:pPr>
        <w:tabs>
          <w:tab w:val="left" w:pos="-420"/>
        </w:tabs>
        <w:ind w:left="508" w:hanging="360"/>
      </w:pPr>
      <w:rPr>
        <w:rFonts w:ascii="Symbol" w:hAnsi="Symbol" w:hint="default"/>
      </w:rPr>
    </w:lvl>
    <w:lvl w:ilvl="1">
      <w:start w:val="1"/>
      <w:numFmt w:val="bullet"/>
      <w:lvlText w:val="o"/>
      <w:lvlJc w:val="left"/>
      <w:pPr>
        <w:tabs>
          <w:tab w:val="left" w:pos="-420"/>
        </w:tabs>
        <w:ind w:left="1228" w:hanging="360"/>
      </w:pPr>
      <w:rPr>
        <w:rFonts w:ascii="Courier New" w:hAnsi="Courier New" w:cs="Courier New" w:hint="default"/>
      </w:rPr>
    </w:lvl>
    <w:lvl w:ilvl="2">
      <w:start w:val="1"/>
      <w:numFmt w:val="bullet"/>
      <w:lvlText w:val=""/>
      <w:lvlJc w:val="left"/>
      <w:pPr>
        <w:tabs>
          <w:tab w:val="left" w:pos="-420"/>
        </w:tabs>
        <w:ind w:left="1948" w:hanging="360"/>
      </w:pPr>
      <w:rPr>
        <w:rFonts w:ascii="Wingdings" w:hAnsi="Wingdings" w:hint="default"/>
      </w:rPr>
    </w:lvl>
    <w:lvl w:ilvl="3">
      <w:start w:val="1"/>
      <w:numFmt w:val="bullet"/>
      <w:lvlText w:val=""/>
      <w:lvlJc w:val="left"/>
      <w:pPr>
        <w:tabs>
          <w:tab w:val="left" w:pos="-420"/>
        </w:tabs>
        <w:ind w:left="2668" w:hanging="360"/>
      </w:pPr>
      <w:rPr>
        <w:rFonts w:ascii="Symbol" w:hAnsi="Symbol" w:hint="default"/>
      </w:rPr>
    </w:lvl>
    <w:lvl w:ilvl="4">
      <w:start w:val="1"/>
      <w:numFmt w:val="bullet"/>
      <w:lvlText w:val="o"/>
      <w:lvlJc w:val="left"/>
      <w:pPr>
        <w:tabs>
          <w:tab w:val="left" w:pos="-420"/>
        </w:tabs>
        <w:ind w:left="3388" w:hanging="360"/>
      </w:pPr>
      <w:rPr>
        <w:rFonts w:ascii="Courier New" w:hAnsi="Courier New" w:cs="Courier New" w:hint="default"/>
      </w:rPr>
    </w:lvl>
    <w:lvl w:ilvl="5">
      <w:start w:val="1"/>
      <w:numFmt w:val="bullet"/>
      <w:lvlText w:val=""/>
      <w:lvlJc w:val="left"/>
      <w:pPr>
        <w:tabs>
          <w:tab w:val="left" w:pos="-420"/>
        </w:tabs>
        <w:ind w:left="4108" w:hanging="360"/>
      </w:pPr>
      <w:rPr>
        <w:rFonts w:ascii="Wingdings" w:hAnsi="Wingdings" w:hint="default"/>
      </w:rPr>
    </w:lvl>
    <w:lvl w:ilvl="6">
      <w:start w:val="1"/>
      <w:numFmt w:val="bullet"/>
      <w:lvlText w:val=""/>
      <w:lvlJc w:val="left"/>
      <w:pPr>
        <w:tabs>
          <w:tab w:val="left" w:pos="-420"/>
        </w:tabs>
        <w:ind w:left="4828" w:hanging="360"/>
      </w:pPr>
      <w:rPr>
        <w:rFonts w:ascii="Symbol" w:hAnsi="Symbol" w:hint="default"/>
      </w:rPr>
    </w:lvl>
    <w:lvl w:ilvl="7">
      <w:start w:val="1"/>
      <w:numFmt w:val="bullet"/>
      <w:lvlText w:val="o"/>
      <w:lvlJc w:val="left"/>
      <w:pPr>
        <w:tabs>
          <w:tab w:val="left" w:pos="-420"/>
        </w:tabs>
        <w:ind w:left="5548" w:hanging="360"/>
      </w:pPr>
      <w:rPr>
        <w:rFonts w:ascii="Courier New" w:hAnsi="Courier New" w:cs="Courier New" w:hint="default"/>
      </w:rPr>
    </w:lvl>
    <w:lvl w:ilvl="8">
      <w:start w:val="1"/>
      <w:numFmt w:val="bullet"/>
      <w:lvlText w:val=""/>
      <w:lvlJc w:val="left"/>
      <w:pPr>
        <w:tabs>
          <w:tab w:val="left" w:pos="-420"/>
        </w:tabs>
        <w:ind w:left="6268" w:hanging="360"/>
      </w:pPr>
      <w:rPr>
        <w:rFonts w:ascii="Wingdings" w:hAnsi="Wingdings" w:hint="default"/>
      </w:rPr>
    </w:lvl>
  </w:abstractNum>
  <w:abstractNum w:abstractNumId="3"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45960387">
    <w:abstractNumId w:val="0"/>
  </w:num>
  <w:num w:numId="2" w16cid:durableId="234095458">
    <w:abstractNumId w:val="2"/>
  </w:num>
  <w:num w:numId="3" w16cid:durableId="722945284">
    <w:abstractNumId w:val="1"/>
  </w:num>
  <w:num w:numId="4" w16cid:durableId="2727896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900"/>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0CC"/>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1AEB"/>
    <w:rsid w:val="000A2385"/>
    <w:rsid w:val="000A2EF0"/>
    <w:rsid w:val="000A3424"/>
    <w:rsid w:val="000A3F70"/>
    <w:rsid w:val="000A49BA"/>
    <w:rsid w:val="000A57C5"/>
    <w:rsid w:val="000A6969"/>
    <w:rsid w:val="000A760C"/>
    <w:rsid w:val="000A7887"/>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33E"/>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CA"/>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57E"/>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07F45"/>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0F"/>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0E3D"/>
    <w:rsid w:val="003D2ADD"/>
    <w:rsid w:val="003D38C7"/>
    <w:rsid w:val="003D3A57"/>
    <w:rsid w:val="003D3A7F"/>
    <w:rsid w:val="003D6849"/>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82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80"/>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6F50"/>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0A4"/>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59B4"/>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026"/>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2113"/>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966"/>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0B8"/>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02C7"/>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3EF"/>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41EF"/>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AF4EEE"/>
    <w:rsid w:val="00B01224"/>
    <w:rsid w:val="00B01F4E"/>
    <w:rsid w:val="00B025A1"/>
    <w:rsid w:val="00B02AC8"/>
    <w:rsid w:val="00B02E1E"/>
    <w:rsid w:val="00B03AE4"/>
    <w:rsid w:val="00B040A1"/>
    <w:rsid w:val="00B0421D"/>
    <w:rsid w:val="00B058A5"/>
    <w:rsid w:val="00B05EB4"/>
    <w:rsid w:val="00B073BC"/>
    <w:rsid w:val="00B07442"/>
    <w:rsid w:val="00B07EEA"/>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2C9"/>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77FA0"/>
    <w:rsid w:val="00B8012C"/>
    <w:rsid w:val="00B80673"/>
    <w:rsid w:val="00B80BF7"/>
    <w:rsid w:val="00B81D56"/>
    <w:rsid w:val="00B82048"/>
    <w:rsid w:val="00B828DB"/>
    <w:rsid w:val="00B8314E"/>
    <w:rsid w:val="00B83F58"/>
    <w:rsid w:val="00B84918"/>
    <w:rsid w:val="00B85C8A"/>
    <w:rsid w:val="00B85EE0"/>
    <w:rsid w:val="00B868F0"/>
    <w:rsid w:val="00B869E4"/>
    <w:rsid w:val="00B90711"/>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8C4"/>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502"/>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2AE6"/>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47513"/>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A5D"/>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4F86"/>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4B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0A43"/>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21B9"/>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4E34"/>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173F4"/>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4775"/>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C365C1"/>
    <w:rsid w:val="01DE089D"/>
    <w:rsid w:val="020970CA"/>
    <w:rsid w:val="028E1852"/>
    <w:rsid w:val="032640B7"/>
    <w:rsid w:val="035D4591"/>
    <w:rsid w:val="03BE6BB4"/>
    <w:rsid w:val="03E26584"/>
    <w:rsid w:val="04492C16"/>
    <w:rsid w:val="04B527F1"/>
    <w:rsid w:val="04B73549"/>
    <w:rsid w:val="053C405B"/>
    <w:rsid w:val="056F5AD7"/>
    <w:rsid w:val="059E10D1"/>
    <w:rsid w:val="05BA78F4"/>
    <w:rsid w:val="06305334"/>
    <w:rsid w:val="06434355"/>
    <w:rsid w:val="06B66892"/>
    <w:rsid w:val="06CC0A35"/>
    <w:rsid w:val="06EC6D6C"/>
    <w:rsid w:val="0769686A"/>
    <w:rsid w:val="076E27BD"/>
    <w:rsid w:val="0770402F"/>
    <w:rsid w:val="07BA06BE"/>
    <w:rsid w:val="07CA6B66"/>
    <w:rsid w:val="08973524"/>
    <w:rsid w:val="08A65D3D"/>
    <w:rsid w:val="0900762B"/>
    <w:rsid w:val="09626007"/>
    <w:rsid w:val="09993AB5"/>
    <w:rsid w:val="09F66D51"/>
    <w:rsid w:val="0ABA1F25"/>
    <w:rsid w:val="0ADD2F10"/>
    <w:rsid w:val="0AE962F7"/>
    <w:rsid w:val="0AF159BB"/>
    <w:rsid w:val="0B0758A7"/>
    <w:rsid w:val="0B1B4548"/>
    <w:rsid w:val="0B98539E"/>
    <w:rsid w:val="0BB17964"/>
    <w:rsid w:val="0BE65845"/>
    <w:rsid w:val="0BF0521B"/>
    <w:rsid w:val="0BFE4B3A"/>
    <w:rsid w:val="0C8D3125"/>
    <w:rsid w:val="0CCF7411"/>
    <w:rsid w:val="0D545798"/>
    <w:rsid w:val="0D624402"/>
    <w:rsid w:val="0DB4420C"/>
    <w:rsid w:val="0E037D57"/>
    <w:rsid w:val="0E1D4B35"/>
    <w:rsid w:val="0E5F68A3"/>
    <w:rsid w:val="0E7813A9"/>
    <w:rsid w:val="0EBE690E"/>
    <w:rsid w:val="0F1A117A"/>
    <w:rsid w:val="0F5116AE"/>
    <w:rsid w:val="0F596ABB"/>
    <w:rsid w:val="0F5F4247"/>
    <w:rsid w:val="0F6273CA"/>
    <w:rsid w:val="0F7D4B34"/>
    <w:rsid w:val="0FB134BC"/>
    <w:rsid w:val="0FB26250"/>
    <w:rsid w:val="0FD9288C"/>
    <w:rsid w:val="0FEB4654"/>
    <w:rsid w:val="0FF20B73"/>
    <w:rsid w:val="10003991"/>
    <w:rsid w:val="10604C4D"/>
    <w:rsid w:val="10EF7E56"/>
    <w:rsid w:val="11233DF6"/>
    <w:rsid w:val="1132423A"/>
    <w:rsid w:val="1155307D"/>
    <w:rsid w:val="117C38F8"/>
    <w:rsid w:val="122946DB"/>
    <w:rsid w:val="122D0B62"/>
    <w:rsid w:val="12930507"/>
    <w:rsid w:val="12967861"/>
    <w:rsid w:val="12E83AF4"/>
    <w:rsid w:val="130466FB"/>
    <w:rsid w:val="13771DFE"/>
    <w:rsid w:val="14013F61"/>
    <w:rsid w:val="14020773"/>
    <w:rsid w:val="14245767"/>
    <w:rsid w:val="14687188"/>
    <w:rsid w:val="152F114F"/>
    <w:rsid w:val="15350710"/>
    <w:rsid w:val="156354FD"/>
    <w:rsid w:val="15724A4B"/>
    <w:rsid w:val="157A51BC"/>
    <w:rsid w:val="15BB0D33"/>
    <w:rsid w:val="15CD7D54"/>
    <w:rsid w:val="16371982"/>
    <w:rsid w:val="164B4D9F"/>
    <w:rsid w:val="168B5B89"/>
    <w:rsid w:val="16B91C11"/>
    <w:rsid w:val="16EF50D6"/>
    <w:rsid w:val="17133C9A"/>
    <w:rsid w:val="175862BF"/>
    <w:rsid w:val="17A04468"/>
    <w:rsid w:val="18135A10"/>
    <w:rsid w:val="18642373"/>
    <w:rsid w:val="18834ED9"/>
    <w:rsid w:val="18E26C79"/>
    <w:rsid w:val="18F54B5F"/>
    <w:rsid w:val="19030A66"/>
    <w:rsid w:val="19501B94"/>
    <w:rsid w:val="19813C3F"/>
    <w:rsid w:val="19B263B5"/>
    <w:rsid w:val="19DF2D99"/>
    <w:rsid w:val="1A37660E"/>
    <w:rsid w:val="1A8670A6"/>
    <w:rsid w:val="1AAD03C0"/>
    <w:rsid w:val="1AFD11C6"/>
    <w:rsid w:val="1B00542F"/>
    <w:rsid w:val="1B3F3E40"/>
    <w:rsid w:val="1B965141"/>
    <w:rsid w:val="1BF509C2"/>
    <w:rsid w:val="1BF95FEE"/>
    <w:rsid w:val="1C700838"/>
    <w:rsid w:val="1CB65729"/>
    <w:rsid w:val="1CB82E2A"/>
    <w:rsid w:val="1CFC261A"/>
    <w:rsid w:val="1D0432AA"/>
    <w:rsid w:val="1D0A4412"/>
    <w:rsid w:val="1D1D5776"/>
    <w:rsid w:val="1D2753AE"/>
    <w:rsid w:val="1D3E218A"/>
    <w:rsid w:val="1D6B06CF"/>
    <w:rsid w:val="1D7879E5"/>
    <w:rsid w:val="1D867707"/>
    <w:rsid w:val="1E3D0B9B"/>
    <w:rsid w:val="1E76570A"/>
    <w:rsid w:val="1E884DB6"/>
    <w:rsid w:val="1EAC2B52"/>
    <w:rsid w:val="1EC47A07"/>
    <w:rsid w:val="1F1F489E"/>
    <w:rsid w:val="1F2F076D"/>
    <w:rsid w:val="1F383249"/>
    <w:rsid w:val="1FCA4D36"/>
    <w:rsid w:val="1FEF4A96"/>
    <w:rsid w:val="200A7D1E"/>
    <w:rsid w:val="201828B7"/>
    <w:rsid w:val="203D39F0"/>
    <w:rsid w:val="20817033"/>
    <w:rsid w:val="20990887"/>
    <w:rsid w:val="20EA2C10"/>
    <w:rsid w:val="21D70408"/>
    <w:rsid w:val="221E7789"/>
    <w:rsid w:val="22302F27"/>
    <w:rsid w:val="228B3B2E"/>
    <w:rsid w:val="22D8243B"/>
    <w:rsid w:val="23037E47"/>
    <w:rsid w:val="23197958"/>
    <w:rsid w:val="235E2230"/>
    <w:rsid w:val="2370600B"/>
    <w:rsid w:val="24082B2D"/>
    <w:rsid w:val="241B0EB4"/>
    <w:rsid w:val="24513BF6"/>
    <w:rsid w:val="24683E4B"/>
    <w:rsid w:val="246C2851"/>
    <w:rsid w:val="24841763"/>
    <w:rsid w:val="2488042D"/>
    <w:rsid w:val="24BA7A63"/>
    <w:rsid w:val="250207C6"/>
    <w:rsid w:val="250F7ADC"/>
    <w:rsid w:val="254E0ABD"/>
    <w:rsid w:val="25A10883"/>
    <w:rsid w:val="25AB3CB1"/>
    <w:rsid w:val="25D729E7"/>
    <w:rsid w:val="25FF2C68"/>
    <w:rsid w:val="264B509C"/>
    <w:rsid w:val="26644B8A"/>
    <w:rsid w:val="268A1547"/>
    <w:rsid w:val="268B3CAF"/>
    <w:rsid w:val="26CE67B8"/>
    <w:rsid w:val="26F853FE"/>
    <w:rsid w:val="273803E6"/>
    <w:rsid w:val="274B1605"/>
    <w:rsid w:val="278B3C06"/>
    <w:rsid w:val="27E33F9B"/>
    <w:rsid w:val="27E60792"/>
    <w:rsid w:val="27F15616"/>
    <w:rsid w:val="2805016B"/>
    <w:rsid w:val="282A4CAC"/>
    <w:rsid w:val="286036CB"/>
    <w:rsid w:val="289870A9"/>
    <w:rsid w:val="28A3319E"/>
    <w:rsid w:val="28AA4C8A"/>
    <w:rsid w:val="28D25F89"/>
    <w:rsid w:val="294A494E"/>
    <w:rsid w:val="29560760"/>
    <w:rsid w:val="298B7A47"/>
    <w:rsid w:val="29C71D19"/>
    <w:rsid w:val="2A144016"/>
    <w:rsid w:val="2A24682F"/>
    <w:rsid w:val="2A2C74BF"/>
    <w:rsid w:val="2A53737E"/>
    <w:rsid w:val="2AC70C94"/>
    <w:rsid w:val="2ADF54D0"/>
    <w:rsid w:val="2B2A3B5F"/>
    <w:rsid w:val="2BB3020A"/>
    <w:rsid w:val="2BE1588C"/>
    <w:rsid w:val="2C0547C6"/>
    <w:rsid w:val="2C8A2F49"/>
    <w:rsid w:val="2C9F3BCE"/>
    <w:rsid w:val="2CA64350"/>
    <w:rsid w:val="2CF4664D"/>
    <w:rsid w:val="2D4D79AC"/>
    <w:rsid w:val="2DC0289E"/>
    <w:rsid w:val="2E9C0F87"/>
    <w:rsid w:val="2EB8044F"/>
    <w:rsid w:val="2EC16B9C"/>
    <w:rsid w:val="2EC451CF"/>
    <w:rsid w:val="2EDF426C"/>
    <w:rsid w:val="2EEC4E92"/>
    <w:rsid w:val="2F1C0982"/>
    <w:rsid w:val="2F283914"/>
    <w:rsid w:val="2F747966"/>
    <w:rsid w:val="2FCB6344"/>
    <w:rsid w:val="2FEC1523"/>
    <w:rsid w:val="30524DF2"/>
    <w:rsid w:val="306308F3"/>
    <w:rsid w:val="306B7868"/>
    <w:rsid w:val="309641D1"/>
    <w:rsid w:val="3099089E"/>
    <w:rsid w:val="31490DA5"/>
    <w:rsid w:val="315F5D75"/>
    <w:rsid w:val="317D1F9D"/>
    <w:rsid w:val="31E91E87"/>
    <w:rsid w:val="3243059C"/>
    <w:rsid w:val="325B51AB"/>
    <w:rsid w:val="32697D44"/>
    <w:rsid w:val="326D0948"/>
    <w:rsid w:val="328A5CFA"/>
    <w:rsid w:val="32C835E0"/>
    <w:rsid w:val="32DF7982"/>
    <w:rsid w:val="336E17F0"/>
    <w:rsid w:val="33A22F43"/>
    <w:rsid w:val="33D1180E"/>
    <w:rsid w:val="33E2230D"/>
    <w:rsid w:val="33FB26D9"/>
    <w:rsid w:val="351D0231"/>
    <w:rsid w:val="35962F2D"/>
    <w:rsid w:val="35B71496"/>
    <w:rsid w:val="35CC12CF"/>
    <w:rsid w:val="35D319E6"/>
    <w:rsid w:val="35E768F5"/>
    <w:rsid w:val="35F4081D"/>
    <w:rsid w:val="36075C31"/>
    <w:rsid w:val="36510879"/>
    <w:rsid w:val="372F46A7"/>
    <w:rsid w:val="37726C9D"/>
    <w:rsid w:val="379344BE"/>
    <w:rsid w:val="37BD6848"/>
    <w:rsid w:val="37CC6816"/>
    <w:rsid w:val="38964FE5"/>
    <w:rsid w:val="38A9437C"/>
    <w:rsid w:val="38D16127"/>
    <w:rsid w:val="393C0FF6"/>
    <w:rsid w:val="39A97A4B"/>
    <w:rsid w:val="39B62EBE"/>
    <w:rsid w:val="39DA0AB6"/>
    <w:rsid w:val="3A3645BE"/>
    <w:rsid w:val="3A436689"/>
    <w:rsid w:val="3A675260"/>
    <w:rsid w:val="3AAC45FF"/>
    <w:rsid w:val="3AB3405B"/>
    <w:rsid w:val="3AC37B79"/>
    <w:rsid w:val="3AE070A1"/>
    <w:rsid w:val="3AF90411"/>
    <w:rsid w:val="3B227B92"/>
    <w:rsid w:val="3B617677"/>
    <w:rsid w:val="3B757B5E"/>
    <w:rsid w:val="3B8D7241"/>
    <w:rsid w:val="3BA65BED"/>
    <w:rsid w:val="3C09240E"/>
    <w:rsid w:val="3C146221"/>
    <w:rsid w:val="3C742F2F"/>
    <w:rsid w:val="3CC365B8"/>
    <w:rsid w:val="3CD51844"/>
    <w:rsid w:val="3D08452F"/>
    <w:rsid w:val="3D4C17A1"/>
    <w:rsid w:val="3D5001A7"/>
    <w:rsid w:val="3D55441E"/>
    <w:rsid w:val="3D5A2CB5"/>
    <w:rsid w:val="3D741DEE"/>
    <w:rsid w:val="3D9C3FFF"/>
    <w:rsid w:val="3E0B0DB0"/>
    <w:rsid w:val="3E116F60"/>
    <w:rsid w:val="3E4C0DCD"/>
    <w:rsid w:val="3E572F58"/>
    <w:rsid w:val="3E857DFB"/>
    <w:rsid w:val="3E872DEF"/>
    <w:rsid w:val="3F1D2CEE"/>
    <w:rsid w:val="3F721126"/>
    <w:rsid w:val="3F8B424E"/>
    <w:rsid w:val="3F934EDE"/>
    <w:rsid w:val="403501D5"/>
    <w:rsid w:val="40516596"/>
    <w:rsid w:val="405C4927"/>
    <w:rsid w:val="40C60753"/>
    <w:rsid w:val="410113A2"/>
    <w:rsid w:val="41880811"/>
    <w:rsid w:val="41C60C56"/>
    <w:rsid w:val="41E9727E"/>
    <w:rsid w:val="41F50509"/>
    <w:rsid w:val="42375131"/>
    <w:rsid w:val="42500259"/>
    <w:rsid w:val="426339F7"/>
    <w:rsid w:val="42733C91"/>
    <w:rsid w:val="42916AC5"/>
    <w:rsid w:val="42EB4612"/>
    <w:rsid w:val="431A5724"/>
    <w:rsid w:val="436807A8"/>
    <w:rsid w:val="439901E8"/>
    <w:rsid w:val="43EC12FF"/>
    <w:rsid w:val="43F11B33"/>
    <w:rsid w:val="43F17986"/>
    <w:rsid w:val="444678CE"/>
    <w:rsid w:val="44565A46"/>
    <w:rsid w:val="447E086E"/>
    <w:rsid w:val="44B23957"/>
    <w:rsid w:val="44B37A44"/>
    <w:rsid w:val="44B454C5"/>
    <w:rsid w:val="44C125DD"/>
    <w:rsid w:val="44DD6689"/>
    <w:rsid w:val="44E7774D"/>
    <w:rsid w:val="45127C50"/>
    <w:rsid w:val="4524487F"/>
    <w:rsid w:val="45395456"/>
    <w:rsid w:val="45830A1B"/>
    <w:rsid w:val="458D51A8"/>
    <w:rsid w:val="459B4244"/>
    <w:rsid w:val="45A33E4B"/>
    <w:rsid w:val="45A94422"/>
    <w:rsid w:val="45CC5F92"/>
    <w:rsid w:val="465C2D4B"/>
    <w:rsid w:val="465C457C"/>
    <w:rsid w:val="46E67A01"/>
    <w:rsid w:val="47262D4B"/>
    <w:rsid w:val="47C75BB9"/>
    <w:rsid w:val="47E2567D"/>
    <w:rsid w:val="47F00216"/>
    <w:rsid w:val="48FF25D1"/>
    <w:rsid w:val="49061F5C"/>
    <w:rsid w:val="49281A93"/>
    <w:rsid w:val="492F313E"/>
    <w:rsid w:val="495010D7"/>
    <w:rsid w:val="4955555E"/>
    <w:rsid w:val="49570A61"/>
    <w:rsid w:val="49E453DD"/>
    <w:rsid w:val="49EE4458"/>
    <w:rsid w:val="4A521971"/>
    <w:rsid w:val="4A772194"/>
    <w:rsid w:val="4A9C4E28"/>
    <w:rsid w:val="4AFF7B18"/>
    <w:rsid w:val="4B2941E0"/>
    <w:rsid w:val="4B73351F"/>
    <w:rsid w:val="4B80136B"/>
    <w:rsid w:val="4BB927CA"/>
    <w:rsid w:val="4BFF2F3E"/>
    <w:rsid w:val="4C261BDE"/>
    <w:rsid w:val="4C4F319B"/>
    <w:rsid w:val="4C596AD0"/>
    <w:rsid w:val="4C660668"/>
    <w:rsid w:val="4C816990"/>
    <w:rsid w:val="4D2079EB"/>
    <w:rsid w:val="4D570F71"/>
    <w:rsid w:val="4DF036EE"/>
    <w:rsid w:val="4DF30DF0"/>
    <w:rsid w:val="4DFC16FF"/>
    <w:rsid w:val="4E03108A"/>
    <w:rsid w:val="4E2822B5"/>
    <w:rsid w:val="4E5A1A99"/>
    <w:rsid w:val="4E723844"/>
    <w:rsid w:val="4EB95335"/>
    <w:rsid w:val="4F01352B"/>
    <w:rsid w:val="4F13254C"/>
    <w:rsid w:val="4F2E1FB8"/>
    <w:rsid w:val="4F6F15E1"/>
    <w:rsid w:val="4FBF6DE2"/>
    <w:rsid w:val="4FC27D66"/>
    <w:rsid w:val="502D7993"/>
    <w:rsid w:val="504273BB"/>
    <w:rsid w:val="505605DA"/>
    <w:rsid w:val="50941CF8"/>
    <w:rsid w:val="509636E2"/>
    <w:rsid w:val="50B13272"/>
    <w:rsid w:val="50B6710F"/>
    <w:rsid w:val="50BC2F96"/>
    <w:rsid w:val="50DE7239"/>
    <w:rsid w:val="51797438"/>
    <w:rsid w:val="51A57002"/>
    <w:rsid w:val="51EF789D"/>
    <w:rsid w:val="527D30E7"/>
    <w:rsid w:val="52D41C73"/>
    <w:rsid w:val="52FC46EA"/>
    <w:rsid w:val="5350703E"/>
    <w:rsid w:val="53645CDE"/>
    <w:rsid w:val="538C361F"/>
    <w:rsid w:val="53A46AC8"/>
    <w:rsid w:val="53A54549"/>
    <w:rsid w:val="53F47B4C"/>
    <w:rsid w:val="5403314B"/>
    <w:rsid w:val="544A4CD7"/>
    <w:rsid w:val="545309AA"/>
    <w:rsid w:val="54DE26CA"/>
    <w:rsid w:val="552827AD"/>
    <w:rsid w:val="55584783"/>
    <w:rsid w:val="55835CD9"/>
    <w:rsid w:val="558E2FA7"/>
    <w:rsid w:val="55B464A8"/>
    <w:rsid w:val="55BD2802"/>
    <w:rsid w:val="55F969E7"/>
    <w:rsid w:val="56024028"/>
    <w:rsid w:val="5616190A"/>
    <w:rsid w:val="567E13F4"/>
    <w:rsid w:val="56941399"/>
    <w:rsid w:val="569F71AC"/>
    <w:rsid w:val="56F83407"/>
    <w:rsid w:val="571F34FB"/>
    <w:rsid w:val="572210F5"/>
    <w:rsid w:val="572A730E"/>
    <w:rsid w:val="576146B9"/>
    <w:rsid w:val="577865C9"/>
    <w:rsid w:val="578F7CCE"/>
    <w:rsid w:val="57E1103B"/>
    <w:rsid w:val="58467715"/>
    <w:rsid w:val="587B1239"/>
    <w:rsid w:val="58B65B9B"/>
    <w:rsid w:val="593309E8"/>
    <w:rsid w:val="59BC0B47"/>
    <w:rsid w:val="59FB712C"/>
    <w:rsid w:val="5A050D40"/>
    <w:rsid w:val="5A8A0BF0"/>
    <w:rsid w:val="5AA83DCD"/>
    <w:rsid w:val="5B2F7529"/>
    <w:rsid w:val="5BBA168B"/>
    <w:rsid w:val="5BBD01B3"/>
    <w:rsid w:val="5C0F7805"/>
    <w:rsid w:val="5CAC7D1A"/>
    <w:rsid w:val="5CCF11D3"/>
    <w:rsid w:val="5D1154C0"/>
    <w:rsid w:val="5D4A309B"/>
    <w:rsid w:val="5D7F7CF2"/>
    <w:rsid w:val="5D851C35"/>
    <w:rsid w:val="5E1A7EF1"/>
    <w:rsid w:val="5E2A018B"/>
    <w:rsid w:val="5EA04BEE"/>
    <w:rsid w:val="5F187E14"/>
    <w:rsid w:val="5F2C4F82"/>
    <w:rsid w:val="5F51216C"/>
    <w:rsid w:val="5F62370B"/>
    <w:rsid w:val="5FC324AB"/>
    <w:rsid w:val="5FDA5B33"/>
    <w:rsid w:val="5FDC7E75"/>
    <w:rsid w:val="5FF120B4"/>
    <w:rsid w:val="607B393B"/>
    <w:rsid w:val="60952803"/>
    <w:rsid w:val="609B470C"/>
    <w:rsid w:val="60AC4695"/>
    <w:rsid w:val="60BA2331"/>
    <w:rsid w:val="614B6539"/>
    <w:rsid w:val="61FE0917"/>
    <w:rsid w:val="623E513D"/>
    <w:rsid w:val="62563CE5"/>
    <w:rsid w:val="62E47AC9"/>
    <w:rsid w:val="632F7F49"/>
    <w:rsid w:val="6350047D"/>
    <w:rsid w:val="63B41D56"/>
    <w:rsid w:val="640E1B35"/>
    <w:rsid w:val="6412053C"/>
    <w:rsid w:val="64430D0B"/>
    <w:rsid w:val="644E6752"/>
    <w:rsid w:val="648065F1"/>
    <w:rsid w:val="65046BCA"/>
    <w:rsid w:val="650A2CD2"/>
    <w:rsid w:val="651D6610"/>
    <w:rsid w:val="6566621E"/>
    <w:rsid w:val="65821697"/>
    <w:rsid w:val="66495BDD"/>
    <w:rsid w:val="6670131F"/>
    <w:rsid w:val="669E696B"/>
    <w:rsid w:val="66C60005"/>
    <w:rsid w:val="66ED66EB"/>
    <w:rsid w:val="67763396"/>
    <w:rsid w:val="679F070D"/>
    <w:rsid w:val="67A9335C"/>
    <w:rsid w:val="67D44D17"/>
    <w:rsid w:val="680C4CB4"/>
    <w:rsid w:val="680E2045"/>
    <w:rsid w:val="6831190F"/>
    <w:rsid w:val="69156EBB"/>
    <w:rsid w:val="691B0EFE"/>
    <w:rsid w:val="698A6FB3"/>
    <w:rsid w:val="69DD483F"/>
    <w:rsid w:val="6A0568FD"/>
    <w:rsid w:val="6A2B6B3C"/>
    <w:rsid w:val="6A312D76"/>
    <w:rsid w:val="6B483A91"/>
    <w:rsid w:val="6B6320BC"/>
    <w:rsid w:val="6B9F60AC"/>
    <w:rsid w:val="6C0A3B4F"/>
    <w:rsid w:val="6C254067"/>
    <w:rsid w:val="6C3426E1"/>
    <w:rsid w:val="6C7A1884"/>
    <w:rsid w:val="6D031B69"/>
    <w:rsid w:val="6D172A07"/>
    <w:rsid w:val="6D2E4BAB"/>
    <w:rsid w:val="6D63623C"/>
    <w:rsid w:val="6D70388A"/>
    <w:rsid w:val="6D853006"/>
    <w:rsid w:val="6E123F24"/>
    <w:rsid w:val="6E3B72E7"/>
    <w:rsid w:val="6E680DA5"/>
    <w:rsid w:val="6EA0288E"/>
    <w:rsid w:val="6EBD43BD"/>
    <w:rsid w:val="6EE509F4"/>
    <w:rsid w:val="6F023405"/>
    <w:rsid w:val="6F25039A"/>
    <w:rsid w:val="6F2F13D2"/>
    <w:rsid w:val="6F5C614F"/>
    <w:rsid w:val="6F9E36AB"/>
    <w:rsid w:val="6FBC2EB1"/>
    <w:rsid w:val="70623166"/>
    <w:rsid w:val="709C35CE"/>
    <w:rsid w:val="70B30FF5"/>
    <w:rsid w:val="70F86AD9"/>
    <w:rsid w:val="71032079"/>
    <w:rsid w:val="71B61B1C"/>
    <w:rsid w:val="72100F31"/>
    <w:rsid w:val="72304FDF"/>
    <w:rsid w:val="7247717D"/>
    <w:rsid w:val="72823AF4"/>
    <w:rsid w:val="729926C8"/>
    <w:rsid w:val="729E58AD"/>
    <w:rsid w:val="73096F4B"/>
    <w:rsid w:val="73131A58"/>
    <w:rsid w:val="7317045F"/>
    <w:rsid w:val="732D5E85"/>
    <w:rsid w:val="734844B1"/>
    <w:rsid w:val="73854316"/>
    <w:rsid w:val="73A57DF9"/>
    <w:rsid w:val="73A744CA"/>
    <w:rsid w:val="73CC19D5"/>
    <w:rsid w:val="73F310C6"/>
    <w:rsid w:val="741A7D2C"/>
    <w:rsid w:val="741D578E"/>
    <w:rsid w:val="74AF2AFE"/>
    <w:rsid w:val="74F86B15"/>
    <w:rsid w:val="751F24CC"/>
    <w:rsid w:val="756A3232"/>
    <w:rsid w:val="75895CE5"/>
    <w:rsid w:val="759901A2"/>
    <w:rsid w:val="75D02BD6"/>
    <w:rsid w:val="75E15270"/>
    <w:rsid w:val="75E45951"/>
    <w:rsid w:val="76325B80"/>
    <w:rsid w:val="76484E1E"/>
    <w:rsid w:val="76F00D88"/>
    <w:rsid w:val="771928DB"/>
    <w:rsid w:val="771C067A"/>
    <w:rsid w:val="772A6AEC"/>
    <w:rsid w:val="77693C0F"/>
    <w:rsid w:val="776C5E7A"/>
    <w:rsid w:val="77C2468B"/>
    <w:rsid w:val="77C86594"/>
    <w:rsid w:val="787E6FBC"/>
    <w:rsid w:val="788F055B"/>
    <w:rsid w:val="78A92755"/>
    <w:rsid w:val="78B9366E"/>
    <w:rsid w:val="78BC17CD"/>
    <w:rsid w:val="78D366C6"/>
    <w:rsid w:val="796C47DC"/>
    <w:rsid w:val="798E6DF9"/>
    <w:rsid w:val="79BC1EC7"/>
    <w:rsid w:val="79C350D5"/>
    <w:rsid w:val="79DF2C7C"/>
    <w:rsid w:val="79E47779"/>
    <w:rsid w:val="79F57AA2"/>
    <w:rsid w:val="7A1A2260"/>
    <w:rsid w:val="7A1F66E8"/>
    <w:rsid w:val="7AE67D87"/>
    <w:rsid w:val="7B193095"/>
    <w:rsid w:val="7B1D7C08"/>
    <w:rsid w:val="7B6E2211"/>
    <w:rsid w:val="7BC80470"/>
    <w:rsid w:val="7BE0484E"/>
    <w:rsid w:val="7C081A8C"/>
    <w:rsid w:val="7C0F40E4"/>
    <w:rsid w:val="7C7507BE"/>
    <w:rsid w:val="7C92278E"/>
    <w:rsid w:val="7C970076"/>
    <w:rsid w:val="7C9924B8"/>
    <w:rsid w:val="7CA4714D"/>
    <w:rsid w:val="7CF22D0E"/>
    <w:rsid w:val="7D0C0035"/>
    <w:rsid w:val="7D9E7791"/>
    <w:rsid w:val="7DA911B8"/>
    <w:rsid w:val="7DC43985"/>
    <w:rsid w:val="7DCE3976"/>
    <w:rsid w:val="7E4C3A0F"/>
    <w:rsid w:val="7E4C3A98"/>
    <w:rsid w:val="7E9A0203"/>
    <w:rsid w:val="7E9E07CB"/>
    <w:rsid w:val="7EA426D4"/>
    <w:rsid w:val="7EDD5D31"/>
    <w:rsid w:val="7F23352A"/>
    <w:rsid w:val="7F7D33DC"/>
    <w:rsid w:val="7FAA1790"/>
    <w:rsid w:val="7FBD539F"/>
    <w:rsid w:val="7FC13DA6"/>
    <w:rsid w:val="7FD3213E"/>
    <w:rsid w:val="7FED5957"/>
    <w:rsid w:val="7FFF7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C7C494"/>
  <w15:docId w15:val="{F138EE97-D604-4D5C-B004-A5A0A6FAD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rsid w:val="003B5E0F"/>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목록 단락"/>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f"/>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a">
    <w:name w:val="批注框文本 字符"/>
    <w:basedOn w:val="a0"/>
    <w:link w:val="a9"/>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style>
  <w:style w:type="character" w:customStyle="1" w:styleId="40">
    <w:name w:val="标题 4 字符"/>
    <w:basedOn w:val="a0"/>
    <w:link w:val="4"/>
    <w:uiPriority w:val="9"/>
    <w:semiHidden/>
    <w:rsid w:val="003B5E0F"/>
    <w:rPr>
      <w:rFonts w:asciiTheme="majorHAnsi" w:eastAsiaTheme="majorEastAsia" w:hAnsiTheme="majorHAnsi" w:cstheme="majorBidi"/>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2</Pages>
  <Words>404</Words>
  <Characters>2309</Characters>
  <Application>Microsoft Office Word</Application>
  <DocSecurity>0</DocSecurity>
  <Lines>19</Lines>
  <Paragraphs>5</Paragraphs>
  <ScaleCrop>false</ScaleCrop>
  <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192</cp:revision>
  <dcterms:created xsi:type="dcterms:W3CDTF">2022-04-25T02:55:00Z</dcterms:created>
  <dcterms:modified xsi:type="dcterms:W3CDTF">2024-10-07T09:01:00Z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CA90B9AED58849E3893EF315D0988948</vt:lpwstr>
  </property>
</Properties>
</file>