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DC35" w14:textId="755AC8E7" w:rsidR="006A2D4D" w:rsidRPr="001C2D88" w:rsidRDefault="006A2D4D" w:rsidP="006A2D4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R4-2</w:t>
      </w:r>
      <w:r w:rsidR="00A80715">
        <w:rPr>
          <w:rFonts w:ascii="Arial" w:eastAsiaTheme="minorEastAsia" w:hAnsi="Arial" w:cs="Arial"/>
          <w:b/>
        </w:rPr>
        <w:t>413366</w:t>
      </w:r>
    </w:p>
    <w:p w14:paraId="18F3CE8C" w14:textId="77777777" w:rsidR="006A2D4D" w:rsidRPr="001C2D88" w:rsidRDefault="006A2D4D" w:rsidP="006A2D4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Maastricht,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Netherlands, August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2709059E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5027A6">
        <w:rPr>
          <w:rFonts w:ascii="Arial" w:eastAsiaTheme="minorEastAsia" w:hAnsi="Arial" w:cs="Arial"/>
          <w:color w:val="000000"/>
          <w:sz w:val="22"/>
        </w:rPr>
        <w:t>2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057C41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6A9B8B51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057C41">
        <w:rPr>
          <w:rFonts w:ascii="Arial" w:eastAsia="MS Mincho" w:hAnsi="Arial" w:cs="Arial"/>
          <w:sz w:val="22"/>
        </w:rPr>
        <w:t>R</w:t>
      </w:r>
      <w:r w:rsidR="005027A6">
        <w:rPr>
          <w:rFonts w:ascii="Arial" w:eastAsia="MS Mincho" w:hAnsi="Arial" w:cs="Arial"/>
          <w:sz w:val="22"/>
        </w:rPr>
        <w:t xml:space="preserve">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>for 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11423174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6A2D4D">
        <w:rPr>
          <w:sz w:val="21"/>
          <w:szCs w:val="21"/>
        </w:rPr>
        <w:t>4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5027A6" w:rsidRPr="005027A6">
        <w:rPr>
          <w:sz w:val="21"/>
          <w:szCs w:val="21"/>
        </w:rPr>
        <w:t>High power UE (HPUE) for NTN</w:t>
      </w:r>
      <w:r w:rsidR="005027A6">
        <w:rPr>
          <w:sz w:val="21"/>
          <w:szCs w:val="21"/>
        </w:rPr>
        <w:t xml:space="preserve"> </w:t>
      </w:r>
      <w:r>
        <w:rPr>
          <w:sz w:val="21"/>
          <w:szCs w:val="21"/>
        </w:rPr>
        <w:t>with the following objectives:</w:t>
      </w:r>
    </w:p>
    <w:p w14:paraId="69BDE1E5" w14:textId="77777777" w:rsidR="005027A6" w:rsidRPr="005027A6" w:rsidRDefault="005027A6" w:rsidP="005027A6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Conduct the coexistence analysis based on TR 38.863 for the above example bands and corresponding power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classes</w:t>
      </w:r>
      <w:proofErr w:type="gramEnd"/>
    </w:p>
    <w:p w14:paraId="348FFB23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Evaluate the impact on the uplink performance of TN (Terrestrial network)</w:t>
      </w:r>
    </w:p>
    <w:p w14:paraId="12A24B9A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Example bands include bands n256 and 256, n255 and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255</w:t>
      </w:r>
      <w:proofErr w:type="gramEnd"/>
    </w:p>
    <w:p w14:paraId="773B1D45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PC2, PC1.5 (for NR-NTN only) and PC1 will be evaluated for ACLR and ACS</w:t>
      </w:r>
    </w:p>
    <w:p w14:paraId="31DEE777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For NR-NTN and IoT-NTN: coexistence studies shall be carried out under the same conditions, including geographical separation between NTN UE and Terrestrial Networks (TN), as the co-existence studies in Rel-17 and Rel-18</w:t>
      </w:r>
    </w:p>
    <w:p w14:paraId="4F627C66" w14:textId="77777777" w:rsidR="005027A6" w:rsidRPr="005027A6" w:rsidRDefault="005027A6" w:rsidP="005027A6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high power UE (HPUE) for NR-NTN (Non-Terrestrial Networks) and IoT-NTN (NB-IoT and eMTC based NTN) in FR1-NTN bands and the corresponding LTE NTN bands for the single uplink (UL) carrier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scenario</w:t>
      </w:r>
      <w:proofErr w:type="gramEnd"/>
    </w:p>
    <w:p w14:paraId="104B296D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2E81024E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Support other power classes based on the co-existence and feasibility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study</w:t>
      </w:r>
      <w:proofErr w:type="gramEnd"/>
    </w:p>
    <w:p w14:paraId="26423DA8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</w:t>
      </w:r>
      <w:proofErr w:type="gramStart"/>
      <w:r w:rsidRPr="005027A6">
        <w:rPr>
          <w:rFonts w:eastAsia="MS Mincho"/>
          <w:i/>
          <w:iCs/>
          <w:sz w:val="21"/>
          <w:szCs w:val="21"/>
        </w:rPr>
        <w:t>hand held</w:t>
      </w:r>
      <w:proofErr w:type="gramEnd"/>
      <w:r w:rsidRPr="005027A6">
        <w:rPr>
          <w:rFonts w:eastAsia="MS Mincho"/>
          <w:i/>
          <w:iCs/>
          <w:sz w:val="21"/>
          <w:szCs w:val="21"/>
        </w:rPr>
        <w:t xml:space="preserve"> UE is prioritized</w:t>
      </w:r>
    </w:p>
    <w:p w14:paraId="56442F45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RF requirements for all considered power classes for NR-NTN and IoT-NTN in FR1-NTN bands and the corresponding LTE NTN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10D650B9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Necessary Tx requirements, at least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including</w:t>
      </w:r>
      <w:proofErr w:type="gramEnd"/>
    </w:p>
    <w:p w14:paraId="08E376D8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Investigate and if necessary, specify the solution to address potential SAR (Specific Absorption Rate restriction) requirements for handheld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UE</w:t>
      </w:r>
      <w:proofErr w:type="gramEnd"/>
    </w:p>
    <w:p w14:paraId="1952E156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1B9B61CF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Necessary Rx requirements, at least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including</w:t>
      </w:r>
      <w:proofErr w:type="gramEnd"/>
    </w:p>
    <w:p w14:paraId="3303F334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3995E3CA" w14:textId="77777777" w:rsidR="005027A6" w:rsidRPr="005027A6" w:rsidRDefault="005027A6" w:rsidP="005027A6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2E5C1AAC" w14:textId="327DF52D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</w:t>
      </w:r>
      <w:r w:rsidR="00E07EA8">
        <w:rPr>
          <w:sz w:val="21"/>
          <w:szCs w:val="21"/>
        </w:rPr>
        <w:t xml:space="preserve">provide our initial </w:t>
      </w:r>
      <w:r w:rsidR="00BA78AB">
        <w:rPr>
          <w:sz w:val="21"/>
          <w:szCs w:val="21"/>
        </w:rPr>
        <w:t>analysis</w:t>
      </w:r>
      <w:r>
        <w:rPr>
          <w:sz w:val="21"/>
          <w:szCs w:val="21"/>
        </w:rPr>
        <w:t xml:space="preserve"> on the</w:t>
      </w:r>
      <w:r w:rsidR="00BA78AB">
        <w:rPr>
          <w:sz w:val="21"/>
          <w:szCs w:val="21"/>
        </w:rPr>
        <w:t xml:space="preserve"> impact of</w:t>
      </w:r>
      <w:r>
        <w:rPr>
          <w:sz w:val="21"/>
          <w:szCs w:val="21"/>
        </w:rPr>
        <w:t xml:space="preserve"> </w:t>
      </w:r>
      <w:r w:rsidR="00BA78AB">
        <w:rPr>
          <w:sz w:val="21"/>
          <w:szCs w:val="21"/>
        </w:rPr>
        <w:t>the introduction of higher</w:t>
      </w:r>
      <w:r w:rsidR="00C76494">
        <w:rPr>
          <w:sz w:val="21"/>
          <w:szCs w:val="21"/>
        </w:rPr>
        <w:t xml:space="preserve"> power classes </w:t>
      </w:r>
      <w:r w:rsidR="00BA78AB">
        <w:rPr>
          <w:sz w:val="21"/>
          <w:szCs w:val="21"/>
        </w:rPr>
        <w:t xml:space="preserve">for FR1-NTN and IoT-NTN </w:t>
      </w:r>
      <w:r w:rsidR="00C76494">
        <w:rPr>
          <w:sz w:val="21"/>
          <w:szCs w:val="21"/>
        </w:rPr>
        <w:t xml:space="preserve">in this WI </w:t>
      </w:r>
      <w:r w:rsidR="00E07EA8">
        <w:rPr>
          <w:sz w:val="21"/>
          <w:szCs w:val="21"/>
        </w:rPr>
        <w:t xml:space="preserve">on </w:t>
      </w:r>
      <w:r w:rsidR="005F3F20">
        <w:rPr>
          <w:sz w:val="21"/>
          <w:szCs w:val="21"/>
        </w:rPr>
        <w:t>R</w:t>
      </w:r>
      <w:r w:rsidR="005027A6">
        <w:rPr>
          <w:sz w:val="21"/>
          <w:szCs w:val="21"/>
        </w:rPr>
        <w:t>x</w:t>
      </w:r>
      <w:r w:rsidR="00895C20">
        <w:rPr>
          <w:sz w:val="21"/>
          <w:szCs w:val="21"/>
        </w:rPr>
        <w:t xml:space="preserve"> requirements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3F1BF08B" w14:textId="77582DC8" w:rsidR="00BA78AB" w:rsidRDefault="00BA78AB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>For FR1</w:t>
      </w:r>
      <w:r w:rsidR="001544FD">
        <w:rPr>
          <w:sz w:val="21"/>
          <w:szCs w:val="21"/>
          <w:lang w:eastAsia="en-GB"/>
        </w:rPr>
        <w:t>-NTN, t</w:t>
      </w:r>
      <w:r>
        <w:rPr>
          <w:sz w:val="21"/>
          <w:szCs w:val="21"/>
          <w:lang w:eastAsia="en-GB"/>
        </w:rPr>
        <w:t xml:space="preserve">he only </w:t>
      </w:r>
      <w:r w:rsidR="001544FD">
        <w:rPr>
          <w:sz w:val="21"/>
          <w:szCs w:val="21"/>
          <w:lang w:eastAsia="en-GB"/>
        </w:rPr>
        <w:t>identified</w:t>
      </w:r>
      <w:r>
        <w:rPr>
          <w:sz w:val="21"/>
          <w:szCs w:val="21"/>
          <w:lang w:eastAsia="en-GB"/>
        </w:rPr>
        <w:t xml:space="preserve"> </w:t>
      </w:r>
      <w:r w:rsidR="001544FD">
        <w:rPr>
          <w:sz w:val="21"/>
          <w:szCs w:val="21"/>
          <w:lang w:eastAsia="en-GB"/>
        </w:rPr>
        <w:t xml:space="preserve">potential </w:t>
      </w:r>
      <w:r>
        <w:rPr>
          <w:sz w:val="21"/>
          <w:szCs w:val="21"/>
          <w:lang w:eastAsia="en-GB"/>
        </w:rPr>
        <w:t xml:space="preserve">impact </w:t>
      </w:r>
      <w:r w:rsidR="001544FD">
        <w:rPr>
          <w:sz w:val="21"/>
          <w:szCs w:val="21"/>
          <w:lang w:eastAsia="en-GB"/>
        </w:rPr>
        <w:t>on Rx requirements by introducing PC2 is on a reference sensitivity. In TS38.101-1[2], in clause 7.3.2 there is a Table 7.3.2-1c on “</w:t>
      </w:r>
      <w:r w:rsidR="001544FD" w:rsidRPr="001544FD">
        <w:rPr>
          <w:sz w:val="21"/>
          <w:szCs w:val="21"/>
          <w:lang w:eastAsia="en-GB"/>
        </w:rPr>
        <w:t xml:space="preserve">Reference Sensitivity Degradation from </w:t>
      </w:r>
      <w:r w:rsidR="001544FD" w:rsidRPr="001544FD">
        <w:rPr>
          <w:sz w:val="21"/>
          <w:szCs w:val="21"/>
          <w:lang w:eastAsia="en-GB"/>
        </w:rPr>
        <w:lastRenderedPageBreak/>
        <w:t>PC3 to PC2 for FDD bands for UE not supporting Tx Diversity</w:t>
      </w:r>
      <w:r w:rsidR="001544FD">
        <w:rPr>
          <w:sz w:val="21"/>
          <w:szCs w:val="21"/>
          <w:lang w:eastAsia="en-GB"/>
        </w:rPr>
        <w:t>”, where the allowed reference sensitivity degradation is specified for FDD bands. Since in FR1-NTN all specified bands are FDD (n256, n255 and n254), the similar</w:t>
      </w:r>
      <w:r w:rsidR="00BC040D">
        <w:rPr>
          <w:sz w:val="21"/>
          <w:szCs w:val="21"/>
          <w:lang w:eastAsia="en-GB"/>
        </w:rPr>
        <w:t xml:space="preserve"> table</w:t>
      </w:r>
      <w:r w:rsidR="001544FD">
        <w:rPr>
          <w:sz w:val="21"/>
          <w:szCs w:val="21"/>
          <w:lang w:eastAsia="en-GB"/>
        </w:rPr>
        <w:t xml:space="preserve"> should be studied to be introduced to clause 7.3.2</w:t>
      </w:r>
      <w:r w:rsidR="00BC040D">
        <w:rPr>
          <w:sz w:val="21"/>
          <w:szCs w:val="21"/>
          <w:lang w:eastAsia="en-GB"/>
        </w:rPr>
        <w:t xml:space="preserve"> on “Reference sensitivity power level”</w:t>
      </w:r>
      <w:r w:rsidR="001544FD">
        <w:rPr>
          <w:sz w:val="21"/>
          <w:szCs w:val="21"/>
          <w:lang w:eastAsia="en-GB"/>
        </w:rPr>
        <w:t xml:space="preserve"> of TS38.101-5 specifications. </w:t>
      </w:r>
    </w:p>
    <w:p w14:paraId="495FF98E" w14:textId="77777777" w:rsidR="001544FD" w:rsidRDefault="001544FD" w:rsidP="009F35FA">
      <w:pPr>
        <w:rPr>
          <w:sz w:val="21"/>
          <w:szCs w:val="21"/>
          <w:lang w:eastAsia="en-GB"/>
        </w:rPr>
      </w:pPr>
    </w:p>
    <w:p w14:paraId="48C357CD" w14:textId="1166E0EB" w:rsidR="001544FD" w:rsidRPr="001544FD" w:rsidRDefault="001544FD" w:rsidP="009F35FA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1: Study the introduction of a table on </w:t>
      </w:r>
      <w:r w:rsidR="00BC040D">
        <w:rPr>
          <w:b/>
          <w:bCs/>
          <w:sz w:val="21"/>
          <w:szCs w:val="21"/>
          <w:lang w:eastAsia="en-GB"/>
        </w:rPr>
        <w:t>r</w:t>
      </w:r>
      <w:r w:rsidRPr="001544FD">
        <w:rPr>
          <w:b/>
          <w:bCs/>
          <w:sz w:val="21"/>
          <w:szCs w:val="21"/>
          <w:lang w:eastAsia="en-GB"/>
        </w:rPr>
        <w:t xml:space="preserve">eference </w:t>
      </w:r>
      <w:r w:rsidR="00BC040D">
        <w:rPr>
          <w:b/>
          <w:bCs/>
          <w:sz w:val="21"/>
          <w:szCs w:val="21"/>
          <w:lang w:eastAsia="en-GB"/>
        </w:rPr>
        <w:t>s</w:t>
      </w:r>
      <w:r w:rsidRPr="001544FD">
        <w:rPr>
          <w:b/>
          <w:bCs/>
          <w:sz w:val="21"/>
          <w:szCs w:val="21"/>
          <w:lang w:eastAsia="en-GB"/>
        </w:rPr>
        <w:t xml:space="preserve">ensitivity </w:t>
      </w:r>
      <w:r w:rsidR="00BC040D">
        <w:rPr>
          <w:b/>
          <w:bCs/>
          <w:sz w:val="21"/>
          <w:szCs w:val="21"/>
          <w:lang w:eastAsia="en-GB"/>
        </w:rPr>
        <w:t>d</w:t>
      </w:r>
      <w:r w:rsidRPr="001544FD">
        <w:rPr>
          <w:b/>
          <w:bCs/>
          <w:sz w:val="21"/>
          <w:szCs w:val="21"/>
          <w:lang w:eastAsia="en-GB"/>
        </w:rPr>
        <w:t>egradation from PC3 to PC2 in clause 7.3.2 of TS38.101-5.</w:t>
      </w:r>
    </w:p>
    <w:p w14:paraId="722BF0BB" w14:textId="77777777" w:rsidR="001544FD" w:rsidRDefault="001544FD" w:rsidP="009F35FA">
      <w:pPr>
        <w:rPr>
          <w:sz w:val="21"/>
          <w:szCs w:val="21"/>
          <w:lang w:eastAsia="en-GB"/>
        </w:rPr>
      </w:pPr>
    </w:p>
    <w:p w14:paraId="492D71BA" w14:textId="1C799D55" w:rsidR="001544FD" w:rsidRDefault="001544FD" w:rsidP="001544FD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>For IoT-NTN, the only identified potential impact on Rx requirements by introducing PC2 is also on a reference sensitivity. In TS36.101[3], in clause 7.3.1 there is Table 7.31-1 on “</w:t>
      </w:r>
      <w:r w:rsidRPr="001544FD">
        <w:rPr>
          <w:sz w:val="21"/>
          <w:szCs w:val="21"/>
          <w:lang w:eastAsia="en-GB"/>
        </w:rPr>
        <w:t>Reference sensitivity QPSK P</w:t>
      </w:r>
      <w:r w:rsidRPr="001544FD">
        <w:rPr>
          <w:sz w:val="21"/>
          <w:szCs w:val="21"/>
          <w:vertAlign w:val="subscript"/>
          <w:lang w:eastAsia="en-GB"/>
        </w:rPr>
        <w:t>REFSENS</w:t>
      </w:r>
      <w:r>
        <w:rPr>
          <w:sz w:val="21"/>
          <w:szCs w:val="21"/>
          <w:lang w:eastAsia="en-GB"/>
        </w:rPr>
        <w:t xml:space="preserve">”, where a separate value for the reference sensitivity for PC2 is specified for n14 FDD band. </w:t>
      </w:r>
      <w:r w:rsidR="00BC040D">
        <w:rPr>
          <w:sz w:val="21"/>
          <w:szCs w:val="21"/>
          <w:lang w:eastAsia="en-GB"/>
        </w:rPr>
        <w:t>For bands 253, 254, 255 and 256, it should be studied whether to introduce separate tables or to add additional rows in the existing tables “</w:t>
      </w:r>
      <w:r w:rsidR="00BC040D" w:rsidRPr="00BC040D">
        <w:rPr>
          <w:sz w:val="21"/>
          <w:szCs w:val="21"/>
          <w:lang w:eastAsia="en-GB"/>
        </w:rPr>
        <w:t>Table 7.3A-1: Reference sensitivity for FDD UE category M1 QPSK P</w:t>
      </w:r>
      <w:r w:rsidR="00BC040D" w:rsidRPr="00BC040D">
        <w:rPr>
          <w:sz w:val="21"/>
          <w:szCs w:val="21"/>
          <w:vertAlign w:val="subscript"/>
          <w:lang w:eastAsia="en-GB"/>
        </w:rPr>
        <w:t>REFSENS</w:t>
      </w:r>
      <w:r w:rsidR="00BC040D">
        <w:rPr>
          <w:sz w:val="21"/>
          <w:szCs w:val="21"/>
          <w:lang w:eastAsia="en-GB"/>
        </w:rPr>
        <w:t>” and “</w:t>
      </w:r>
      <w:r w:rsidR="00BC040D" w:rsidRPr="00BC040D">
        <w:rPr>
          <w:sz w:val="21"/>
          <w:szCs w:val="21"/>
          <w:lang w:eastAsia="en-GB"/>
        </w:rPr>
        <w:t>Table 7.3A-2: Reference sensitivity for HD-FDD UE category M1 QPSK P</w:t>
      </w:r>
      <w:r w:rsidR="00BC040D" w:rsidRPr="00BC040D">
        <w:rPr>
          <w:sz w:val="21"/>
          <w:szCs w:val="21"/>
          <w:vertAlign w:val="subscript"/>
          <w:lang w:eastAsia="en-GB"/>
        </w:rPr>
        <w:t>REFSENS</w:t>
      </w:r>
      <w:r w:rsidR="00BC040D">
        <w:rPr>
          <w:sz w:val="21"/>
          <w:szCs w:val="21"/>
          <w:lang w:eastAsia="en-GB"/>
        </w:rPr>
        <w:t>” in clause 7.3A and “</w:t>
      </w:r>
      <w:r w:rsidR="00BC040D" w:rsidRPr="00BC040D">
        <w:rPr>
          <w:sz w:val="21"/>
          <w:szCs w:val="21"/>
          <w:lang w:eastAsia="en-GB"/>
        </w:rPr>
        <w:t>Table 7.3B-1: Reference sensitivity for UE category NB1 and NB2</w:t>
      </w:r>
      <w:r w:rsidR="00BC040D">
        <w:rPr>
          <w:sz w:val="21"/>
          <w:szCs w:val="21"/>
          <w:lang w:eastAsia="en-GB"/>
        </w:rPr>
        <w:t>” in clause 7.3B</w:t>
      </w:r>
      <w:r>
        <w:rPr>
          <w:sz w:val="21"/>
          <w:szCs w:val="21"/>
          <w:lang w:eastAsia="en-GB"/>
        </w:rPr>
        <w:t xml:space="preserve">. </w:t>
      </w:r>
    </w:p>
    <w:p w14:paraId="6F70C2CF" w14:textId="77777777" w:rsidR="001544FD" w:rsidRDefault="001544FD" w:rsidP="001544FD">
      <w:pPr>
        <w:rPr>
          <w:sz w:val="21"/>
          <w:szCs w:val="21"/>
          <w:lang w:eastAsia="en-GB"/>
        </w:rPr>
      </w:pPr>
    </w:p>
    <w:p w14:paraId="53EE8206" w14:textId="32CF5A48" w:rsidR="001544FD" w:rsidRPr="001544FD" w:rsidRDefault="001544FD" w:rsidP="001544FD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</w:t>
      </w:r>
      <w:r>
        <w:rPr>
          <w:b/>
          <w:bCs/>
          <w:sz w:val="21"/>
          <w:szCs w:val="21"/>
          <w:lang w:eastAsia="en-GB"/>
        </w:rPr>
        <w:t>2</w:t>
      </w:r>
      <w:r w:rsidRPr="001544FD">
        <w:rPr>
          <w:b/>
          <w:bCs/>
          <w:sz w:val="21"/>
          <w:szCs w:val="21"/>
          <w:lang w:eastAsia="en-GB"/>
        </w:rPr>
        <w:t>: Study the introduction of table</w:t>
      </w:r>
      <w:r w:rsidR="00BC040D">
        <w:rPr>
          <w:b/>
          <w:bCs/>
          <w:sz w:val="21"/>
          <w:szCs w:val="21"/>
          <w:lang w:eastAsia="en-GB"/>
        </w:rPr>
        <w:t>s/adding additional rows in the existing tables</w:t>
      </w:r>
      <w:r w:rsidRPr="001544FD">
        <w:rPr>
          <w:b/>
          <w:bCs/>
          <w:sz w:val="21"/>
          <w:szCs w:val="21"/>
          <w:lang w:eastAsia="en-GB"/>
        </w:rPr>
        <w:t xml:space="preserve"> on </w:t>
      </w:r>
      <w:r w:rsidR="00BC040D">
        <w:rPr>
          <w:b/>
          <w:bCs/>
          <w:sz w:val="21"/>
          <w:szCs w:val="21"/>
          <w:lang w:eastAsia="en-GB"/>
        </w:rPr>
        <w:t>r</w:t>
      </w:r>
      <w:r w:rsidRPr="001544FD">
        <w:rPr>
          <w:b/>
          <w:bCs/>
          <w:sz w:val="21"/>
          <w:szCs w:val="21"/>
          <w:lang w:eastAsia="en-GB"/>
        </w:rPr>
        <w:t xml:space="preserve">eference </w:t>
      </w:r>
      <w:r w:rsidR="00BC040D">
        <w:rPr>
          <w:b/>
          <w:bCs/>
          <w:sz w:val="21"/>
          <w:szCs w:val="21"/>
          <w:lang w:eastAsia="en-GB"/>
        </w:rPr>
        <w:t>s</w:t>
      </w:r>
      <w:r w:rsidRPr="001544FD">
        <w:rPr>
          <w:b/>
          <w:bCs/>
          <w:sz w:val="21"/>
          <w:szCs w:val="21"/>
          <w:lang w:eastAsia="en-GB"/>
        </w:rPr>
        <w:t xml:space="preserve">ensitivity </w:t>
      </w:r>
      <w:r w:rsidR="00BC040D">
        <w:rPr>
          <w:b/>
          <w:bCs/>
          <w:sz w:val="21"/>
          <w:szCs w:val="21"/>
          <w:lang w:eastAsia="en-GB"/>
        </w:rPr>
        <w:t>d</w:t>
      </w:r>
      <w:r w:rsidRPr="001544FD">
        <w:rPr>
          <w:b/>
          <w:bCs/>
          <w:sz w:val="21"/>
          <w:szCs w:val="21"/>
          <w:lang w:eastAsia="en-GB"/>
        </w:rPr>
        <w:t>egradation from PC3 to PC2 in clause</w:t>
      </w:r>
      <w:r w:rsidR="00BC040D">
        <w:rPr>
          <w:b/>
          <w:bCs/>
          <w:sz w:val="21"/>
          <w:szCs w:val="21"/>
          <w:lang w:eastAsia="en-GB"/>
        </w:rPr>
        <w:t>s</w:t>
      </w:r>
      <w:r w:rsidRPr="001544FD">
        <w:rPr>
          <w:b/>
          <w:bCs/>
          <w:sz w:val="21"/>
          <w:szCs w:val="21"/>
          <w:lang w:eastAsia="en-GB"/>
        </w:rPr>
        <w:t xml:space="preserve"> 7.3</w:t>
      </w:r>
      <w:r w:rsidR="00BC040D">
        <w:rPr>
          <w:b/>
          <w:bCs/>
          <w:sz w:val="21"/>
          <w:szCs w:val="21"/>
          <w:lang w:eastAsia="en-GB"/>
        </w:rPr>
        <w:t>A and 7.3B</w:t>
      </w:r>
      <w:r w:rsidRPr="001544FD">
        <w:rPr>
          <w:b/>
          <w:bCs/>
          <w:sz w:val="21"/>
          <w:szCs w:val="21"/>
          <w:lang w:eastAsia="en-GB"/>
        </w:rPr>
        <w:t xml:space="preserve"> of TS3</w:t>
      </w:r>
      <w:r w:rsidR="00BC040D">
        <w:rPr>
          <w:b/>
          <w:bCs/>
          <w:sz w:val="21"/>
          <w:szCs w:val="21"/>
          <w:lang w:eastAsia="en-GB"/>
        </w:rPr>
        <w:t>6</w:t>
      </w:r>
      <w:r w:rsidRPr="001544FD">
        <w:rPr>
          <w:b/>
          <w:bCs/>
          <w:sz w:val="21"/>
          <w:szCs w:val="21"/>
          <w:lang w:eastAsia="en-GB"/>
        </w:rPr>
        <w:t>.10</w:t>
      </w:r>
      <w:r w:rsidR="00BC040D">
        <w:rPr>
          <w:b/>
          <w:bCs/>
          <w:sz w:val="21"/>
          <w:szCs w:val="21"/>
          <w:lang w:eastAsia="en-GB"/>
        </w:rPr>
        <w:t>2</w:t>
      </w:r>
      <w:r w:rsidRPr="001544FD">
        <w:rPr>
          <w:b/>
          <w:bCs/>
          <w:sz w:val="21"/>
          <w:szCs w:val="21"/>
          <w:lang w:eastAsia="en-GB"/>
        </w:rPr>
        <w:t>.</w:t>
      </w:r>
    </w:p>
    <w:p w14:paraId="0BD09203" w14:textId="77777777" w:rsidR="009716D1" w:rsidRPr="00C23869" w:rsidRDefault="009716D1" w:rsidP="00C23869">
      <w:pPr>
        <w:rPr>
          <w:lang w:eastAsia="en-GB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1F1D891B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6F3CDA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07286B3C" w14:textId="1668BBBB" w:rsidR="00BC040D" w:rsidRPr="001544FD" w:rsidRDefault="00BC040D" w:rsidP="00BC040D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1: Study the introduction of a table on </w:t>
      </w:r>
      <w:r>
        <w:rPr>
          <w:b/>
          <w:bCs/>
          <w:sz w:val="21"/>
          <w:szCs w:val="21"/>
          <w:lang w:eastAsia="en-GB"/>
        </w:rPr>
        <w:t>r</w:t>
      </w:r>
      <w:r w:rsidRPr="001544FD">
        <w:rPr>
          <w:b/>
          <w:bCs/>
          <w:sz w:val="21"/>
          <w:szCs w:val="21"/>
          <w:lang w:eastAsia="en-GB"/>
        </w:rPr>
        <w:t xml:space="preserve">eference </w:t>
      </w:r>
      <w:r>
        <w:rPr>
          <w:b/>
          <w:bCs/>
          <w:sz w:val="21"/>
          <w:szCs w:val="21"/>
          <w:lang w:eastAsia="en-GB"/>
        </w:rPr>
        <w:t>s</w:t>
      </w:r>
      <w:r w:rsidRPr="001544FD">
        <w:rPr>
          <w:b/>
          <w:bCs/>
          <w:sz w:val="21"/>
          <w:szCs w:val="21"/>
          <w:lang w:eastAsia="en-GB"/>
        </w:rPr>
        <w:t xml:space="preserve">ensitivity </w:t>
      </w:r>
      <w:r>
        <w:rPr>
          <w:b/>
          <w:bCs/>
          <w:sz w:val="21"/>
          <w:szCs w:val="21"/>
          <w:lang w:eastAsia="en-GB"/>
        </w:rPr>
        <w:t>d</w:t>
      </w:r>
      <w:r w:rsidRPr="001544FD">
        <w:rPr>
          <w:b/>
          <w:bCs/>
          <w:sz w:val="21"/>
          <w:szCs w:val="21"/>
          <w:lang w:eastAsia="en-GB"/>
        </w:rPr>
        <w:t>egradation from PC3 to PC2 in clause 7.3.2 of TS38.101-5.</w:t>
      </w:r>
    </w:p>
    <w:p w14:paraId="1B6199A3" w14:textId="77777777" w:rsidR="006F3CDA" w:rsidRDefault="006F3CDA" w:rsidP="00EA22B6">
      <w:pPr>
        <w:rPr>
          <w:b/>
          <w:bCs/>
          <w:sz w:val="21"/>
          <w:szCs w:val="21"/>
          <w:lang w:eastAsia="ja-JP"/>
        </w:rPr>
      </w:pPr>
    </w:p>
    <w:p w14:paraId="0EFB148C" w14:textId="57C75DDD" w:rsidR="00BC040D" w:rsidRPr="001544FD" w:rsidRDefault="00BC040D" w:rsidP="00BC040D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</w:t>
      </w:r>
      <w:r>
        <w:rPr>
          <w:b/>
          <w:bCs/>
          <w:sz w:val="21"/>
          <w:szCs w:val="21"/>
          <w:lang w:eastAsia="en-GB"/>
        </w:rPr>
        <w:t>2</w:t>
      </w:r>
      <w:r w:rsidRPr="001544FD">
        <w:rPr>
          <w:b/>
          <w:bCs/>
          <w:sz w:val="21"/>
          <w:szCs w:val="21"/>
          <w:lang w:eastAsia="en-GB"/>
        </w:rPr>
        <w:t>: Study the introduction of table</w:t>
      </w:r>
      <w:r>
        <w:rPr>
          <w:b/>
          <w:bCs/>
          <w:sz w:val="21"/>
          <w:szCs w:val="21"/>
          <w:lang w:eastAsia="en-GB"/>
        </w:rPr>
        <w:t>s/adding additional rows in the existing tables</w:t>
      </w:r>
      <w:r w:rsidRPr="001544FD">
        <w:rPr>
          <w:b/>
          <w:bCs/>
          <w:sz w:val="21"/>
          <w:szCs w:val="21"/>
          <w:lang w:eastAsia="en-GB"/>
        </w:rPr>
        <w:t xml:space="preserve"> on </w:t>
      </w:r>
      <w:r>
        <w:rPr>
          <w:b/>
          <w:bCs/>
          <w:sz w:val="21"/>
          <w:szCs w:val="21"/>
          <w:lang w:eastAsia="en-GB"/>
        </w:rPr>
        <w:t>r</w:t>
      </w:r>
      <w:r w:rsidRPr="001544FD">
        <w:rPr>
          <w:b/>
          <w:bCs/>
          <w:sz w:val="21"/>
          <w:szCs w:val="21"/>
          <w:lang w:eastAsia="en-GB"/>
        </w:rPr>
        <w:t xml:space="preserve">eference </w:t>
      </w:r>
      <w:r>
        <w:rPr>
          <w:b/>
          <w:bCs/>
          <w:sz w:val="21"/>
          <w:szCs w:val="21"/>
          <w:lang w:eastAsia="en-GB"/>
        </w:rPr>
        <w:t>s</w:t>
      </w:r>
      <w:r w:rsidRPr="001544FD">
        <w:rPr>
          <w:b/>
          <w:bCs/>
          <w:sz w:val="21"/>
          <w:szCs w:val="21"/>
          <w:lang w:eastAsia="en-GB"/>
        </w:rPr>
        <w:t xml:space="preserve">ensitivity </w:t>
      </w:r>
      <w:r>
        <w:rPr>
          <w:b/>
          <w:bCs/>
          <w:sz w:val="21"/>
          <w:szCs w:val="21"/>
          <w:lang w:eastAsia="en-GB"/>
        </w:rPr>
        <w:t>d</w:t>
      </w:r>
      <w:r w:rsidRPr="001544FD">
        <w:rPr>
          <w:b/>
          <w:bCs/>
          <w:sz w:val="21"/>
          <w:szCs w:val="21"/>
          <w:lang w:eastAsia="en-GB"/>
        </w:rPr>
        <w:t>egradation from PC3 to PC2 in clause</w:t>
      </w:r>
      <w:r>
        <w:rPr>
          <w:b/>
          <w:bCs/>
          <w:sz w:val="21"/>
          <w:szCs w:val="21"/>
          <w:lang w:eastAsia="en-GB"/>
        </w:rPr>
        <w:t>s</w:t>
      </w:r>
      <w:r w:rsidRPr="001544FD">
        <w:rPr>
          <w:b/>
          <w:bCs/>
          <w:sz w:val="21"/>
          <w:szCs w:val="21"/>
          <w:lang w:eastAsia="en-GB"/>
        </w:rPr>
        <w:t xml:space="preserve"> 7.3</w:t>
      </w:r>
      <w:r>
        <w:rPr>
          <w:b/>
          <w:bCs/>
          <w:sz w:val="21"/>
          <w:szCs w:val="21"/>
          <w:lang w:eastAsia="en-GB"/>
        </w:rPr>
        <w:t>A and 7.3B</w:t>
      </w:r>
      <w:r w:rsidRPr="001544FD">
        <w:rPr>
          <w:b/>
          <w:bCs/>
          <w:sz w:val="21"/>
          <w:szCs w:val="21"/>
          <w:lang w:eastAsia="en-GB"/>
        </w:rPr>
        <w:t xml:space="preserve"> of TS3</w:t>
      </w:r>
      <w:r>
        <w:rPr>
          <w:b/>
          <w:bCs/>
          <w:sz w:val="21"/>
          <w:szCs w:val="21"/>
          <w:lang w:eastAsia="en-GB"/>
        </w:rPr>
        <w:t>6</w:t>
      </w:r>
      <w:r w:rsidRPr="001544FD">
        <w:rPr>
          <w:b/>
          <w:bCs/>
          <w:sz w:val="21"/>
          <w:szCs w:val="21"/>
          <w:lang w:eastAsia="en-GB"/>
        </w:rPr>
        <w:t>.10</w:t>
      </w:r>
      <w:r>
        <w:rPr>
          <w:b/>
          <w:bCs/>
          <w:sz w:val="21"/>
          <w:szCs w:val="21"/>
          <w:lang w:eastAsia="en-GB"/>
        </w:rPr>
        <w:t>2</w:t>
      </w:r>
      <w:r w:rsidRPr="001544FD">
        <w:rPr>
          <w:b/>
          <w:bCs/>
          <w:sz w:val="21"/>
          <w:szCs w:val="21"/>
          <w:lang w:eastAsia="en-GB"/>
        </w:rPr>
        <w:t>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CCB89E7" w14:textId="705DBC22" w:rsidR="00F649CE" w:rsidRPr="00E84D58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 w:rsidR="006A2D4D">
        <w:rPr>
          <w:sz w:val="22"/>
          <w:szCs w:val="22"/>
          <w:lang w:val="en-GB"/>
        </w:rPr>
        <w:t>1</w:t>
      </w:r>
      <w:r w:rsidR="00755DC2">
        <w:rPr>
          <w:sz w:val="22"/>
          <w:szCs w:val="22"/>
          <w:lang w:val="en-GB"/>
        </w:rPr>
        <w:t>281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="00755DC2" w:rsidRPr="00755DC2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</w:t>
      </w:r>
      <w:r w:rsidR="006A2D4D"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</w:rPr>
        <w:t>.</w:t>
      </w:r>
      <w:bookmarkEnd w:id="0"/>
    </w:p>
    <w:p w14:paraId="7DFB4B6A" w14:textId="5CFC4212" w:rsidR="00713173" w:rsidRPr="009F35FA" w:rsidRDefault="00F649CE" w:rsidP="00CF2487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C23869">
        <w:rPr>
          <w:sz w:val="22"/>
          <w:szCs w:val="22"/>
        </w:rPr>
        <w:t>3GPP TS 38.101-</w:t>
      </w:r>
      <w:r w:rsidR="00C23869" w:rsidRPr="00C23869">
        <w:rPr>
          <w:sz w:val="22"/>
          <w:szCs w:val="22"/>
        </w:rPr>
        <w:t>1</w:t>
      </w:r>
      <w:r w:rsidRPr="00C23869">
        <w:rPr>
          <w:sz w:val="22"/>
          <w:szCs w:val="22"/>
        </w:rPr>
        <w:t xml:space="preserve"> V18.</w:t>
      </w:r>
      <w:r w:rsidR="003D73DC" w:rsidRPr="00C23869">
        <w:rPr>
          <w:sz w:val="22"/>
          <w:szCs w:val="22"/>
        </w:rPr>
        <w:t>6</w:t>
      </w:r>
      <w:r w:rsidRPr="00C23869">
        <w:rPr>
          <w:sz w:val="22"/>
          <w:szCs w:val="22"/>
        </w:rPr>
        <w:t xml:space="preserve">.0, “NR; </w:t>
      </w:r>
      <w:r w:rsidR="00C23869" w:rsidRPr="00C23869">
        <w:rPr>
          <w:sz w:val="22"/>
          <w:szCs w:val="22"/>
        </w:rPr>
        <w:t>User Equipment (UE) radio transmission and reception;</w:t>
      </w:r>
      <w:r w:rsidR="00C23869">
        <w:rPr>
          <w:sz w:val="22"/>
          <w:szCs w:val="22"/>
        </w:rPr>
        <w:t xml:space="preserve"> </w:t>
      </w:r>
      <w:r w:rsidR="00C23869" w:rsidRPr="00C23869">
        <w:rPr>
          <w:sz w:val="22"/>
          <w:szCs w:val="22"/>
        </w:rPr>
        <w:t>Part 1: Range 1 Standalone</w:t>
      </w:r>
      <w:r w:rsidRPr="00C23869">
        <w:rPr>
          <w:sz w:val="22"/>
          <w:szCs w:val="22"/>
        </w:rPr>
        <w:t>”</w:t>
      </w:r>
    </w:p>
    <w:p w14:paraId="14262697" w14:textId="21E1D946" w:rsidR="009F35FA" w:rsidRPr="009F35FA" w:rsidRDefault="009F35FA" w:rsidP="009F35FA">
      <w:pPr>
        <w:pStyle w:val="ListParagraph"/>
        <w:numPr>
          <w:ilvl w:val="0"/>
          <w:numId w:val="13"/>
        </w:numPr>
        <w:ind w:firstLineChars="0"/>
        <w:jc w:val="both"/>
        <w:rPr>
          <w:sz w:val="22"/>
          <w:szCs w:val="22"/>
        </w:rPr>
      </w:pPr>
      <w:r w:rsidRPr="00C23869">
        <w:rPr>
          <w:sz w:val="22"/>
          <w:szCs w:val="22"/>
        </w:rPr>
        <w:t>3GPP TS 3</w:t>
      </w:r>
      <w:r>
        <w:rPr>
          <w:sz w:val="22"/>
          <w:szCs w:val="22"/>
        </w:rPr>
        <w:t>6</w:t>
      </w:r>
      <w:r w:rsidRPr="00C23869">
        <w:rPr>
          <w:sz w:val="22"/>
          <w:szCs w:val="22"/>
        </w:rPr>
        <w:t>.101 V18.</w:t>
      </w:r>
      <w:r>
        <w:rPr>
          <w:sz w:val="22"/>
          <w:szCs w:val="22"/>
        </w:rPr>
        <w:t>6</w:t>
      </w:r>
      <w:r w:rsidRPr="00C23869">
        <w:rPr>
          <w:sz w:val="22"/>
          <w:szCs w:val="22"/>
        </w:rPr>
        <w:t>.0, “</w:t>
      </w:r>
      <w:r w:rsidRPr="009F35FA">
        <w:rPr>
          <w:sz w:val="22"/>
          <w:szCs w:val="22"/>
        </w:rPr>
        <w:t>Evolved Universal Terrestrial Radio Access (E-UTRA);</w:t>
      </w:r>
      <w:r>
        <w:rPr>
          <w:sz w:val="22"/>
          <w:szCs w:val="22"/>
        </w:rPr>
        <w:t xml:space="preserve"> </w:t>
      </w:r>
      <w:r w:rsidRPr="009F35FA">
        <w:rPr>
          <w:sz w:val="22"/>
          <w:szCs w:val="22"/>
        </w:rPr>
        <w:t xml:space="preserve">User Equipment (UE) radio transmission and </w:t>
      </w:r>
      <w:proofErr w:type="gramStart"/>
      <w:r w:rsidRPr="009F35FA">
        <w:rPr>
          <w:sz w:val="22"/>
          <w:szCs w:val="22"/>
        </w:rPr>
        <w:t>reception</w:t>
      </w:r>
      <w:proofErr w:type="gramEnd"/>
      <w:r w:rsidRPr="009F35FA">
        <w:rPr>
          <w:sz w:val="22"/>
          <w:szCs w:val="22"/>
        </w:rPr>
        <w:t>”</w:t>
      </w:r>
    </w:p>
    <w:p w14:paraId="4F992F70" w14:textId="4CC860E9" w:rsidR="006977D1" w:rsidRPr="00F649CE" w:rsidRDefault="006977D1" w:rsidP="00FB494D">
      <w:pPr>
        <w:pStyle w:val="ListParagraph"/>
        <w:ind w:left="720" w:firstLineChars="0" w:firstLine="0"/>
        <w:jc w:val="both"/>
        <w:rPr>
          <w:rFonts w:ascii="Arial" w:hAnsi="Arial" w:cs="Arial"/>
          <w:iCs/>
          <w:sz w:val="22"/>
          <w:szCs w:val="22"/>
        </w:rPr>
      </w:pPr>
    </w:p>
    <w:sectPr w:rsidR="006977D1" w:rsidRPr="00F649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0584C" w14:textId="77777777" w:rsidR="006F6998" w:rsidRDefault="006F6998" w:rsidP="00CF21FF">
      <w:r>
        <w:separator/>
      </w:r>
    </w:p>
  </w:endnote>
  <w:endnote w:type="continuationSeparator" w:id="0">
    <w:p w14:paraId="24CB4830" w14:textId="77777777" w:rsidR="006F6998" w:rsidRDefault="006F6998" w:rsidP="00CF21FF">
      <w:r>
        <w:continuationSeparator/>
      </w:r>
    </w:p>
  </w:endnote>
  <w:endnote w:type="continuationNotice" w:id="1">
    <w:p w14:paraId="171EC680" w14:textId="77777777" w:rsidR="006F6998" w:rsidRDefault="006F6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78946" w14:textId="77777777" w:rsidR="006F6998" w:rsidRDefault="006F6998" w:rsidP="00CF21FF">
      <w:r>
        <w:separator/>
      </w:r>
    </w:p>
  </w:footnote>
  <w:footnote w:type="continuationSeparator" w:id="0">
    <w:p w14:paraId="79B74632" w14:textId="77777777" w:rsidR="006F6998" w:rsidRDefault="006F6998" w:rsidP="00CF21FF">
      <w:r>
        <w:continuationSeparator/>
      </w:r>
    </w:p>
  </w:footnote>
  <w:footnote w:type="continuationNotice" w:id="1">
    <w:p w14:paraId="12E665BA" w14:textId="77777777" w:rsidR="006F6998" w:rsidRDefault="006F69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0"/>
  </w:num>
  <w:num w:numId="3" w16cid:durableId="2114860448">
    <w:abstractNumId w:val="4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6"/>
  </w:num>
  <w:num w:numId="12" w16cid:durableId="341251335">
    <w:abstractNumId w:val="16"/>
  </w:num>
  <w:num w:numId="13" w16cid:durableId="338388040">
    <w:abstractNumId w:val="18"/>
  </w:num>
  <w:num w:numId="14" w16cid:durableId="683022094">
    <w:abstractNumId w:val="5"/>
  </w:num>
  <w:num w:numId="15" w16cid:durableId="5983684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7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C41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192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4FD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3F20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6998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715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2A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8AB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0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67F01652-EBC3-4A93-85A4-C21BC9675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1999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108</cp:revision>
  <cp:lastPrinted>2022-08-19T16:29:00Z</cp:lastPrinted>
  <dcterms:created xsi:type="dcterms:W3CDTF">2024-04-08T15:06:00Z</dcterms:created>
  <dcterms:modified xsi:type="dcterms:W3CDTF">2024-08-09T21:38:00Z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