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365FD6">
        <w:rPr>
          <w:rFonts w:eastAsia="宋体" w:cs="Arial"/>
          <w:sz w:val="24"/>
          <w:szCs w:val="24"/>
          <w:lang w:eastAsia="zh-CN"/>
        </w:rPr>
        <w:t>12965</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28F4" w:rsidRPr="009528F4">
        <w:rPr>
          <w:rFonts w:ascii="Arial" w:hAnsi="Arial" w:cs="Arial"/>
          <w:sz w:val="22"/>
        </w:rPr>
        <w:t xml:space="preserve">General discussion on </w:t>
      </w:r>
      <w:r w:rsidR="000C7404">
        <w:rPr>
          <w:rFonts w:ascii="Arial" w:hAnsi="Arial" w:cs="Arial"/>
          <w:sz w:val="22"/>
        </w:rPr>
        <w:t>R</w:t>
      </w:r>
      <w:r w:rsidR="009528F4" w:rsidRPr="009528F4">
        <w:rPr>
          <w:rFonts w:ascii="Arial" w:hAnsi="Arial" w:cs="Arial"/>
          <w:sz w:val="22"/>
        </w:rPr>
        <w:t>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528F4" w:rsidRPr="00880D9C">
        <w:rPr>
          <w:rFonts w:ascii="Arial" w:eastAsia="宋体" w:hAnsi="Arial" w:cs="Arial"/>
          <w:sz w:val="22"/>
          <w:lang w:eastAsia="zh-CN"/>
        </w:rPr>
        <w:t>8.8.2.</w:t>
      </w:r>
      <w:r w:rsidR="00880D9C" w:rsidRPr="00880D9C">
        <w:rPr>
          <w:rFonts w:ascii="Arial" w:eastAsia="宋体" w:hAnsi="Arial" w:cs="Arial"/>
          <w:sz w:val="22"/>
          <w:lang w:eastAsia="zh-CN"/>
        </w:rPr>
        <w:t>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#10</w:t>
      </w:r>
      <w:r w:rsidR="00317DFA">
        <w:rPr>
          <w:rFonts w:eastAsia="宋体"/>
          <w:lang w:val="en-US" w:eastAsia="zh-CN"/>
        </w:rPr>
        <w:t>3</w:t>
      </w:r>
      <w:r w:rsidR="00883878">
        <w:rPr>
          <w:rFonts w:eastAsia="宋体"/>
          <w:lang w:val="en-US" w:eastAsia="zh-CN"/>
        </w:rPr>
        <w:t xml:space="preserve"> meeting, </w:t>
      </w:r>
      <w:r w:rsidR="00192B2A">
        <w:rPr>
          <w:rFonts w:eastAsia="宋体"/>
          <w:lang w:val="en-US" w:eastAsia="zh-CN"/>
        </w:rPr>
        <w:t xml:space="preserve">the WI [1] for </w:t>
      </w:r>
      <w:r w:rsidR="00317DFA" w:rsidRPr="00317DFA">
        <w:rPr>
          <w:rFonts w:eastAsia="宋体"/>
          <w:lang w:val="en-US" w:eastAsia="zh-CN"/>
        </w:rPr>
        <w:t>Enhanced requirements and test methodology for NR and IoT NTN</w:t>
      </w:r>
      <w:r w:rsidR="00192B2A">
        <w:rPr>
          <w:rFonts w:eastAsia="宋体"/>
          <w:lang w:val="en-US" w:eastAsia="zh-CN"/>
        </w:rPr>
        <w:t xml:space="preserve"> was established</w:t>
      </w:r>
      <w:r w:rsidR="00337B89">
        <w:rPr>
          <w:rFonts w:eastAsia="宋体"/>
          <w:lang w:val="en-US" w:eastAsia="zh-CN"/>
        </w:rPr>
        <w:t xml:space="preserve"> to </w:t>
      </w:r>
      <w:r w:rsidR="00317DFA">
        <w:rPr>
          <w:rFonts w:eastAsia="宋体"/>
          <w:lang w:val="en-US" w:eastAsia="zh-CN"/>
        </w:rPr>
        <w:t>introduce</w:t>
      </w:r>
      <w:r w:rsidR="00051C86">
        <w:rPr>
          <w:rFonts w:eastAsia="宋体"/>
          <w:lang w:val="en-US" w:eastAsia="zh-CN"/>
        </w:rPr>
        <w:t xml:space="preserve"> for </w:t>
      </w:r>
      <w:r w:rsidR="00317DFA">
        <w:rPr>
          <w:rFonts w:eastAsia="宋体"/>
          <w:lang w:val="en-US" w:eastAsia="zh-CN"/>
        </w:rPr>
        <w:t>HPUE feature</w:t>
      </w:r>
      <w:r w:rsidR="00337B89">
        <w:rPr>
          <w:rFonts w:eastAsia="宋体"/>
          <w:lang w:val="en-US" w:eastAsia="zh-CN"/>
        </w:rPr>
        <w:t>.</w:t>
      </w:r>
      <w:r w:rsidR="001254BE">
        <w:rPr>
          <w:rFonts w:eastAsia="宋体"/>
          <w:lang w:val="en-US" w:eastAsia="zh-CN"/>
        </w:rPr>
        <w:t xml:space="preserve"> The</w:t>
      </w:r>
      <w:r w:rsidR="00317DFA">
        <w:rPr>
          <w:rFonts w:eastAsia="宋体"/>
          <w:lang w:val="en-US" w:eastAsia="zh-CN"/>
        </w:rPr>
        <w:t xml:space="preserve"> objectives for HPUE </w:t>
      </w:r>
      <w:r w:rsidR="000C7404">
        <w:rPr>
          <w:rFonts w:eastAsia="宋体"/>
          <w:lang w:val="en-US" w:eastAsia="zh-CN"/>
        </w:rPr>
        <w:t>R</w:t>
      </w:r>
      <w:r w:rsidR="00317DFA">
        <w:rPr>
          <w:rFonts w:eastAsia="宋体"/>
          <w:lang w:val="en-US" w:eastAsia="zh-CN"/>
        </w:rPr>
        <w:t>x requirements are listed below</w:t>
      </w:r>
      <w:r w:rsidR="001254BE">
        <w:rPr>
          <w:rFonts w:eastAsia="宋体"/>
          <w:lang w:val="en-US" w:eastAsia="zh-CN"/>
        </w:rPr>
        <w:t xml:space="preserve">. </w:t>
      </w: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2E66" w:rsidTr="00782E66">
        <w:tc>
          <w:tcPr>
            <w:tcW w:w="9631" w:type="dxa"/>
          </w:tcPr>
          <w:p w:rsidR="00317DFA" w:rsidRPr="00D9611F" w:rsidRDefault="00317DFA" w:rsidP="00317DFA">
            <w:pPr>
              <w:pStyle w:val="aff0"/>
              <w:widowControl w:val="0"/>
              <w:numPr>
                <w:ilvl w:val="0"/>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IoT-NTN (NB-IoT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rsidR="00317DFA" w:rsidRPr="000C7404" w:rsidRDefault="00317DFA" w:rsidP="00317DFA">
            <w:pPr>
              <w:pStyle w:val="aff0"/>
              <w:widowControl w:val="0"/>
              <w:numPr>
                <w:ilvl w:val="1"/>
                <w:numId w:val="36"/>
              </w:numPr>
              <w:ind w:firstLineChars="0"/>
              <w:rPr>
                <w:rFonts w:ascii="Times New Roman" w:hAnsi="Times New Roman" w:cs="Times New Roman"/>
                <w:sz w:val="20"/>
                <w:szCs w:val="20"/>
              </w:rPr>
            </w:pPr>
            <w:r w:rsidRPr="000C7404">
              <w:rPr>
                <w:rFonts w:ascii="Times New Roman" w:hAnsi="Times New Roman" w:cs="Times New Roman"/>
                <w:sz w:val="20"/>
                <w:szCs w:val="20"/>
              </w:rPr>
              <w:t>Support UE with power class 2 (PC2, 26 dBm) that applies to both handheld and non-handheld based on the co-existence study.</w:t>
            </w:r>
          </w:p>
          <w:p w:rsidR="00317DFA" w:rsidRPr="000C7404" w:rsidRDefault="00317DFA" w:rsidP="00317DFA">
            <w:pPr>
              <w:pStyle w:val="aff0"/>
              <w:widowControl w:val="0"/>
              <w:numPr>
                <w:ilvl w:val="1"/>
                <w:numId w:val="36"/>
              </w:numPr>
              <w:ind w:firstLineChars="0"/>
              <w:rPr>
                <w:rFonts w:ascii="Times New Roman" w:hAnsi="Times New Roman" w:cs="Times New Roman"/>
                <w:sz w:val="20"/>
                <w:szCs w:val="20"/>
              </w:rPr>
            </w:pPr>
            <w:r w:rsidRPr="000C7404">
              <w:rPr>
                <w:rFonts w:ascii="Times New Roman" w:hAnsi="Times New Roman" w:cs="Times New Roman"/>
                <w:sz w:val="20"/>
                <w:szCs w:val="20"/>
              </w:rPr>
              <w:t>Support other power classes based on the co-existence and feasibility study</w:t>
            </w:r>
          </w:p>
          <w:p w:rsidR="00317DFA" w:rsidRPr="000C7404" w:rsidRDefault="00317DFA" w:rsidP="00317DFA">
            <w:pPr>
              <w:pStyle w:val="aff0"/>
              <w:widowControl w:val="0"/>
              <w:numPr>
                <w:ilvl w:val="2"/>
                <w:numId w:val="36"/>
              </w:numPr>
              <w:ind w:firstLineChars="0"/>
              <w:rPr>
                <w:rFonts w:ascii="Times New Roman" w:hAnsi="Times New Roman" w:cs="Times New Roman"/>
                <w:sz w:val="20"/>
                <w:szCs w:val="20"/>
              </w:rPr>
            </w:pPr>
            <w:r w:rsidRPr="000C7404">
              <w:rPr>
                <w:rFonts w:ascii="Times New Roman" w:hAnsi="Times New Roman" w:cs="Times New Roman"/>
                <w:sz w:val="20"/>
                <w:szCs w:val="20"/>
              </w:rPr>
              <w:t>Non-</w:t>
            </w:r>
            <w:proofErr w:type="gramStart"/>
            <w:r w:rsidRPr="000C7404">
              <w:rPr>
                <w:rFonts w:ascii="Times New Roman" w:hAnsi="Times New Roman" w:cs="Times New Roman"/>
                <w:sz w:val="20"/>
                <w:szCs w:val="20"/>
              </w:rPr>
              <w:t>hand held</w:t>
            </w:r>
            <w:proofErr w:type="gramEnd"/>
            <w:r w:rsidRPr="000C7404">
              <w:rPr>
                <w:rFonts w:ascii="Times New Roman" w:hAnsi="Times New Roman" w:cs="Times New Roman"/>
                <w:sz w:val="20"/>
                <w:szCs w:val="20"/>
              </w:rPr>
              <w:t xml:space="preserve"> UE is prioritized</w:t>
            </w:r>
          </w:p>
          <w:p w:rsidR="00317DFA" w:rsidRPr="000C7404" w:rsidRDefault="00317DFA" w:rsidP="00317DFA">
            <w:pPr>
              <w:pStyle w:val="aff0"/>
              <w:widowControl w:val="0"/>
              <w:numPr>
                <w:ilvl w:val="1"/>
                <w:numId w:val="36"/>
              </w:numPr>
              <w:ind w:firstLineChars="0"/>
              <w:rPr>
                <w:rFonts w:ascii="Times New Roman" w:hAnsi="Times New Roman" w:cs="Times New Roman"/>
                <w:sz w:val="20"/>
                <w:szCs w:val="20"/>
              </w:rPr>
            </w:pPr>
            <w:r w:rsidRPr="000C7404">
              <w:rPr>
                <w:rFonts w:ascii="Times New Roman" w:hAnsi="Times New Roman" w:cs="Times New Roman"/>
                <w:sz w:val="20"/>
                <w:szCs w:val="20"/>
              </w:rPr>
              <w:t>Specify RF requirements for all considered power classes for NR-NTN and IoT-NTN in FR1-NTN bands and the corresponding LTE NTN bands</w:t>
            </w:r>
          </w:p>
          <w:p w:rsidR="00317DFA" w:rsidRPr="000C7404" w:rsidRDefault="00317DFA" w:rsidP="00317DFA">
            <w:pPr>
              <w:pStyle w:val="aff0"/>
              <w:widowControl w:val="0"/>
              <w:numPr>
                <w:ilvl w:val="2"/>
                <w:numId w:val="36"/>
              </w:numPr>
              <w:ind w:firstLineChars="0"/>
              <w:rPr>
                <w:rFonts w:ascii="Times New Roman" w:hAnsi="Times New Roman" w:cs="Times New Roman"/>
                <w:sz w:val="20"/>
                <w:szCs w:val="20"/>
              </w:rPr>
            </w:pPr>
            <w:r w:rsidRPr="000C7404">
              <w:rPr>
                <w:rFonts w:ascii="Times New Roman" w:hAnsi="Times New Roman" w:cs="Times New Roman"/>
                <w:sz w:val="20"/>
                <w:szCs w:val="20"/>
              </w:rPr>
              <w:t>Necessary Tx requirements, at least including</w:t>
            </w:r>
          </w:p>
          <w:p w:rsidR="00317DFA" w:rsidRPr="000C7404" w:rsidRDefault="00317DFA" w:rsidP="00317DFA">
            <w:pPr>
              <w:pStyle w:val="aff0"/>
              <w:widowControl w:val="0"/>
              <w:numPr>
                <w:ilvl w:val="3"/>
                <w:numId w:val="36"/>
              </w:numPr>
              <w:ind w:firstLineChars="0"/>
              <w:rPr>
                <w:rFonts w:ascii="Times New Roman" w:hAnsi="Times New Roman" w:cs="Times New Roman"/>
                <w:sz w:val="20"/>
                <w:szCs w:val="20"/>
              </w:rPr>
            </w:pPr>
            <w:r w:rsidRPr="000C7404">
              <w:rPr>
                <w:rFonts w:ascii="Times New Roman" w:hAnsi="Times New Roman" w:cs="Times New Roman"/>
                <w:sz w:val="20"/>
                <w:szCs w:val="20"/>
              </w:rPr>
              <w:t>Investigate and if necessary, specify the solution to address potential SAR (Specific Absorption Rate restriction) requirements for handheld UE</w:t>
            </w:r>
          </w:p>
          <w:p w:rsidR="00317DFA" w:rsidRPr="000C7404" w:rsidRDefault="00317DFA" w:rsidP="00317DFA">
            <w:pPr>
              <w:pStyle w:val="aff0"/>
              <w:widowControl w:val="0"/>
              <w:numPr>
                <w:ilvl w:val="3"/>
                <w:numId w:val="36"/>
              </w:numPr>
              <w:ind w:firstLineChars="0"/>
              <w:rPr>
                <w:rFonts w:ascii="Times New Roman" w:hAnsi="Times New Roman" w:cs="Times New Roman"/>
                <w:sz w:val="20"/>
                <w:szCs w:val="20"/>
              </w:rPr>
            </w:pPr>
            <w:r w:rsidRPr="000C7404">
              <w:rPr>
                <w:rFonts w:ascii="Times New Roman" w:hAnsi="Times New Roman" w:cs="Times New Roman"/>
                <w:sz w:val="20"/>
                <w:szCs w:val="20"/>
              </w:rPr>
              <w:t>Specify MPR and A-MPR for the example bands considering the regulation for the corresponding bands, if necessary</w:t>
            </w:r>
          </w:p>
          <w:p w:rsidR="00317DFA" w:rsidRPr="000C7404" w:rsidRDefault="00317DFA" w:rsidP="00317DFA">
            <w:pPr>
              <w:pStyle w:val="aff0"/>
              <w:widowControl w:val="0"/>
              <w:numPr>
                <w:ilvl w:val="2"/>
                <w:numId w:val="36"/>
              </w:numPr>
              <w:ind w:firstLineChars="0"/>
              <w:rPr>
                <w:rFonts w:ascii="Times New Roman" w:hAnsi="Times New Roman" w:cs="Times New Roman"/>
                <w:sz w:val="20"/>
                <w:szCs w:val="20"/>
                <w:shd w:val="pct15" w:color="auto" w:fill="FFFFFF"/>
              </w:rPr>
            </w:pPr>
            <w:r w:rsidRPr="000C7404">
              <w:rPr>
                <w:rFonts w:ascii="Times New Roman" w:hAnsi="Times New Roman" w:cs="Times New Roman"/>
                <w:sz w:val="20"/>
                <w:szCs w:val="20"/>
                <w:shd w:val="pct15" w:color="auto" w:fill="FFFFFF"/>
              </w:rPr>
              <w:t>Necessary Rx requirements, at least including</w:t>
            </w:r>
          </w:p>
          <w:p w:rsidR="00317DFA" w:rsidRPr="000C7404" w:rsidRDefault="00317DFA" w:rsidP="00317DFA">
            <w:pPr>
              <w:pStyle w:val="aff0"/>
              <w:widowControl w:val="0"/>
              <w:numPr>
                <w:ilvl w:val="3"/>
                <w:numId w:val="36"/>
              </w:numPr>
              <w:ind w:firstLineChars="0"/>
              <w:rPr>
                <w:rFonts w:ascii="Times New Roman" w:hAnsi="Times New Roman" w:cs="Times New Roman"/>
                <w:sz w:val="20"/>
                <w:szCs w:val="20"/>
                <w:shd w:val="pct15" w:color="auto" w:fill="FFFFFF"/>
              </w:rPr>
            </w:pPr>
            <w:r w:rsidRPr="000C7404">
              <w:rPr>
                <w:rFonts w:ascii="Times New Roman" w:hAnsi="Times New Roman" w:cs="Times New Roman"/>
                <w:sz w:val="20"/>
                <w:szCs w:val="20"/>
                <w:shd w:val="pct15" w:color="auto" w:fill="FFFFFF"/>
              </w:rPr>
              <w:t>Specify the RSD requirements on the example bands, if necessary</w:t>
            </w:r>
          </w:p>
          <w:p w:rsidR="00317DFA" w:rsidRPr="00D9611F" w:rsidRDefault="00317DFA" w:rsidP="00317DFA">
            <w:pPr>
              <w:pStyle w:val="aff0"/>
              <w:widowControl w:val="0"/>
              <w:numPr>
                <w:ilvl w:val="0"/>
                <w:numId w:val="36"/>
              </w:numPr>
              <w:spacing w:after="180"/>
              <w:ind w:firstLineChars="0"/>
              <w:jc w:val="both"/>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rsidR="00782E66" w:rsidRPr="00317DFA" w:rsidRDefault="00782E66" w:rsidP="00317DFA">
            <w:pPr>
              <w:spacing w:after="0"/>
              <w:jc w:val="both"/>
              <w:rPr>
                <w:rFonts w:eastAsia="宋体"/>
                <w:lang w:val="en-US" w:eastAsia="zh-CN"/>
              </w:rPr>
            </w:pPr>
          </w:p>
        </w:tc>
      </w:tr>
    </w:tbl>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share our views which requirements should be investigated and discussed in general</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8E7E74" w:rsidRDefault="008E7E74" w:rsidP="008E7E74">
      <w:pPr>
        <w:pStyle w:val="1"/>
        <w:rPr>
          <w:lang w:eastAsia="zh-CN"/>
        </w:rPr>
      </w:pPr>
      <w:r>
        <w:rPr>
          <w:rFonts w:eastAsiaTheme="minorEastAsia"/>
          <w:lang w:eastAsia="zh-CN"/>
        </w:rPr>
        <w:t>Rx requirements</w:t>
      </w:r>
    </w:p>
    <w:p w:rsidR="008E7E74" w:rsidRPr="00FC3AA9" w:rsidRDefault="00FC3AA9" w:rsidP="00FC3AA9">
      <w:pPr>
        <w:widowControl w:val="0"/>
        <w:rPr>
          <w:rFonts w:eastAsia="宋体"/>
        </w:rPr>
      </w:pPr>
      <w:r w:rsidRPr="00FC3AA9">
        <w:rPr>
          <w:rFonts w:eastAsia="宋体" w:hint="eastAsia"/>
          <w:lang w:val="en-US" w:eastAsia="zh-CN"/>
        </w:rPr>
        <w:t>1)</w:t>
      </w:r>
      <w:r>
        <w:rPr>
          <w:rFonts w:eastAsia="宋体" w:hint="eastAsia"/>
        </w:rPr>
        <w:t xml:space="preserve"> </w:t>
      </w:r>
      <w:r w:rsidR="008E7E74" w:rsidRPr="00FC3AA9">
        <w:rPr>
          <w:rFonts w:eastAsia="宋体" w:hint="eastAsia"/>
        </w:rPr>
        <w:t>R</w:t>
      </w:r>
      <w:r w:rsidR="008E7E74" w:rsidRPr="00FC3AA9">
        <w:rPr>
          <w:rFonts w:eastAsia="宋体"/>
        </w:rPr>
        <w:t>EFSENS</w:t>
      </w:r>
    </w:p>
    <w:p w:rsidR="00FC3AA9" w:rsidRDefault="0077484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For</w:t>
      </w:r>
      <w:r>
        <w:rPr>
          <w:rFonts w:eastAsia="宋体"/>
          <w:lang w:val="en-US" w:eastAsia="zh-CN"/>
        </w:rPr>
        <w:t xml:space="preserve"> band n256, the </w:t>
      </w:r>
      <w:r w:rsidR="0049643E">
        <w:rPr>
          <w:rFonts w:eastAsia="宋体"/>
          <w:lang w:val="en-US" w:eastAsia="zh-CN"/>
        </w:rPr>
        <w:t xml:space="preserve">Tx-Rx frequency separation is about 190MHz, which is same as the band n1. Thus, Single Tx and dual Tx </w:t>
      </w:r>
      <w:r w:rsidR="0049643E" w:rsidRPr="0049643E">
        <w:rPr>
          <w:rFonts w:eastAsia="宋体"/>
          <w:lang w:val="en-US" w:eastAsia="zh-CN"/>
        </w:rPr>
        <w:t>Reference Sensitivity Degradation from PC3 to PC2</w:t>
      </w:r>
      <w:r w:rsidR="0049643E">
        <w:rPr>
          <w:rFonts w:eastAsia="宋体"/>
          <w:lang w:val="en-US" w:eastAsia="zh-CN"/>
        </w:rPr>
        <w:t xml:space="preserve"> for band n1 can be reused for band n256.</w:t>
      </w:r>
    </w:p>
    <w:p w:rsidR="00FC3AA9" w:rsidRDefault="0049643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For</w:t>
      </w:r>
      <w:r>
        <w:rPr>
          <w:rFonts w:eastAsia="宋体"/>
          <w:lang w:val="en-US" w:eastAsia="zh-CN"/>
        </w:rPr>
        <w:t xml:space="preserve"> band n255, the Tx-Rx frequency separation is about 101.5MHz, which is similar to the band n3. If flexible Tx-Rx frequency separation is allowed, the </w:t>
      </w:r>
      <w:r w:rsidRPr="0049643E">
        <w:rPr>
          <w:rFonts w:eastAsia="宋体"/>
          <w:lang w:val="en-US" w:eastAsia="zh-CN"/>
        </w:rPr>
        <w:t>Tx-Rx frequency separation</w:t>
      </w:r>
      <w:r>
        <w:rPr>
          <w:rFonts w:eastAsia="宋体"/>
          <w:lang w:val="en-US" w:eastAsia="zh-CN"/>
        </w:rPr>
        <w:t xml:space="preserve"> can be lower than 70MHz.</w:t>
      </w:r>
    </w:p>
    <w:p w:rsidR="0049643E" w:rsidRDefault="0049643E" w:rsidP="00F00487">
      <w:pPr>
        <w:widowControl w:val="0"/>
        <w:overflowPunct/>
        <w:autoSpaceDE/>
        <w:autoSpaceDN/>
        <w:adjustRightInd/>
        <w:spacing w:after="0"/>
        <w:textAlignment w:val="auto"/>
        <w:rPr>
          <w:rFonts w:eastAsia="宋体"/>
          <w:lang w:val="en-US" w:eastAsia="zh-CN"/>
        </w:rPr>
      </w:pPr>
    </w:p>
    <w:p w:rsidR="0049643E" w:rsidRDefault="0049643E" w:rsidP="00F0048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sidR="000C7404">
        <w:rPr>
          <w:rFonts w:eastAsia="宋体"/>
          <w:b/>
          <w:lang w:val="en-US" w:eastAsia="zh-CN"/>
        </w:rPr>
        <w:t>1</w:t>
      </w:r>
      <w:r>
        <w:rPr>
          <w:rFonts w:eastAsia="宋体"/>
          <w:b/>
          <w:lang w:val="en-US" w:eastAsia="zh-CN"/>
        </w:rPr>
        <w:t xml:space="preserve">: When RAN4 discussed RSD requirements, it’s better to confirm whether the </w:t>
      </w:r>
      <w:r w:rsidRPr="0049643E">
        <w:rPr>
          <w:rFonts w:eastAsia="宋体"/>
          <w:b/>
          <w:lang w:val="en-US" w:eastAsia="zh-CN"/>
        </w:rPr>
        <w:t>flexible Tx-Rx frequency separation is allowed</w:t>
      </w:r>
      <w:r>
        <w:rPr>
          <w:rFonts w:eastAsia="宋体"/>
          <w:b/>
          <w:lang w:val="en-US" w:eastAsia="zh-CN"/>
        </w:rPr>
        <w:t xml:space="preserve"> or not.</w:t>
      </w:r>
    </w:p>
    <w:p w:rsidR="00FC3AA9" w:rsidRDefault="00FC3AA9" w:rsidP="00F00487">
      <w:pPr>
        <w:widowControl w:val="0"/>
        <w:overflowPunct/>
        <w:autoSpaceDE/>
        <w:autoSpaceDN/>
        <w:adjustRightInd/>
        <w:spacing w:after="0"/>
        <w:textAlignment w:val="auto"/>
        <w:rPr>
          <w:rFonts w:eastAsia="宋体"/>
          <w:lang w:val="en-US" w:eastAsia="zh-CN"/>
        </w:rPr>
      </w:pPr>
    </w:p>
    <w:p w:rsidR="008E7E74" w:rsidRDefault="0049643E"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2) </w:t>
      </w:r>
      <w:r w:rsidR="008E7E74">
        <w:rPr>
          <w:rFonts w:eastAsia="宋体" w:hint="eastAsia"/>
          <w:lang w:val="en-US" w:eastAsia="zh-CN"/>
        </w:rPr>
        <w:t>M</w:t>
      </w:r>
      <w:r w:rsidR="008E7E74">
        <w:rPr>
          <w:rFonts w:eastAsia="宋体"/>
          <w:lang w:val="en-US" w:eastAsia="zh-CN"/>
        </w:rPr>
        <w:t>aximum input level</w:t>
      </w:r>
    </w:p>
    <w:p w:rsidR="008E7E74" w:rsidRDefault="0049643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C</w:t>
      </w:r>
      <w:r>
        <w:rPr>
          <w:rFonts w:eastAsia="宋体"/>
          <w:lang w:val="en-US" w:eastAsia="zh-CN"/>
        </w:rPr>
        <w:t>urrently, -40dBm maximum input level is specified for NR NTN UE, which is much less than the normal UE. However, based on the DL link budget, it’s very hard to reach such</w:t>
      </w:r>
      <w:r w:rsidR="00015DA1">
        <w:rPr>
          <w:rFonts w:eastAsia="宋体"/>
          <w:lang w:val="en-US" w:eastAsia="zh-CN"/>
        </w:rPr>
        <w:t xml:space="preserve"> DL input level. RAN4 can discuss whether it can be </w:t>
      </w:r>
      <w:r w:rsidR="00015DA1">
        <w:rPr>
          <w:rFonts w:eastAsia="宋体"/>
          <w:lang w:val="en-US" w:eastAsia="zh-CN"/>
        </w:rPr>
        <w:lastRenderedPageBreak/>
        <w:t>updated for PC2 NR NTN UE.</w:t>
      </w:r>
    </w:p>
    <w:p w:rsidR="0049643E" w:rsidRDefault="0049643E" w:rsidP="00F00487">
      <w:pPr>
        <w:widowControl w:val="0"/>
        <w:overflowPunct/>
        <w:autoSpaceDE/>
        <w:autoSpaceDN/>
        <w:adjustRightInd/>
        <w:spacing w:after="0"/>
        <w:textAlignment w:val="auto"/>
        <w:rPr>
          <w:rFonts w:eastAsia="宋体"/>
          <w:lang w:val="en-US" w:eastAsia="zh-CN"/>
        </w:rPr>
      </w:pPr>
    </w:p>
    <w:p w:rsidR="0049643E" w:rsidRDefault="0049643E" w:rsidP="00F00487">
      <w:pPr>
        <w:widowControl w:val="0"/>
        <w:overflowPunct/>
        <w:autoSpaceDE/>
        <w:autoSpaceDN/>
        <w:adjustRightInd/>
        <w:spacing w:after="0"/>
        <w:textAlignment w:val="auto"/>
        <w:rPr>
          <w:rFonts w:eastAsia="宋体"/>
          <w:lang w:val="en-US" w:eastAsia="zh-CN"/>
        </w:rPr>
      </w:pPr>
    </w:p>
    <w:p w:rsidR="008E7E74" w:rsidRDefault="00015DA1"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3) </w:t>
      </w:r>
      <w:r w:rsidR="008E7E74">
        <w:rPr>
          <w:rFonts w:eastAsia="宋体" w:hint="eastAsia"/>
          <w:lang w:val="en-US" w:eastAsia="zh-CN"/>
        </w:rPr>
        <w:t>A</w:t>
      </w:r>
      <w:r w:rsidR="008E7E74">
        <w:rPr>
          <w:rFonts w:eastAsia="宋体"/>
          <w:lang w:val="en-US" w:eastAsia="zh-CN"/>
        </w:rPr>
        <w:t>CS requirements.</w:t>
      </w:r>
    </w:p>
    <w:p w:rsidR="008E7E74" w:rsidRDefault="008E7E74" w:rsidP="00F00487">
      <w:pPr>
        <w:widowControl w:val="0"/>
        <w:overflowPunct/>
        <w:autoSpaceDE/>
        <w:autoSpaceDN/>
        <w:adjustRightInd/>
        <w:spacing w:after="0"/>
        <w:textAlignment w:val="auto"/>
        <w:rPr>
          <w:rFonts w:eastAsia="宋体"/>
          <w:lang w:val="en-US" w:eastAsia="zh-CN"/>
        </w:rPr>
      </w:pPr>
    </w:p>
    <w:p w:rsidR="00C82CC0" w:rsidRDefault="00CD57A7" w:rsidP="00F00487">
      <w:pPr>
        <w:widowControl w:val="0"/>
        <w:overflowPunct/>
        <w:autoSpaceDE/>
        <w:autoSpaceDN/>
        <w:adjustRightInd/>
        <w:spacing w:after="0"/>
        <w:textAlignment w:val="auto"/>
        <w:rPr>
          <w:rFonts w:eastAsia="宋体"/>
          <w:lang w:val="en-US" w:eastAsia="zh-CN"/>
        </w:rPr>
      </w:pPr>
      <w:r>
        <w:rPr>
          <w:rFonts w:eastAsia="宋体"/>
          <w:lang w:val="en-US" w:eastAsia="zh-CN"/>
        </w:rPr>
        <w:t>In Rel-18, 33dB ACS requirement is specified for NR NTN UE. For NR NTN HPUE, it seems that the DL coexistence scenario is unchanged. RAN4 can further discuss and investigate whether to evaluate ACS requirement again for NR NTN UE.</w:t>
      </w: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CD57A7" w:rsidRDefault="00CD57A7" w:rsidP="00CD57A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sidR="000C7404">
        <w:rPr>
          <w:rFonts w:eastAsia="宋体"/>
          <w:b/>
          <w:lang w:val="en-US" w:eastAsia="zh-CN"/>
        </w:rPr>
        <w:t>1</w:t>
      </w:r>
      <w:r>
        <w:rPr>
          <w:rFonts w:eastAsia="宋体"/>
          <w:b/>
          <w:lang w:val="en-US" w:eastAsia="zh-CN"/>
        </w:rPr>
        <w:t xml:space="preserve">: When RAN4 discussed RSD requirements, it’s better to confirm whether the </w:t>
      </w:r>
      <w:r w:rsidRPr="0049643E">
        <w:rPr>
          <w:rFonts w:eastAsia="宋体"/>
          <w:b/>
          <w:lang w:val="en-US" w:eastAsia="zh-CN"/>
        </w:rPr>
        <w:t>flexible Tx-Rx frequency separation is allowed</w:t>
      </w:r>
      <w:r>
        <w:rPr>
          <w:rFonts w:eastAsia="宋体"/>
          <w:b/>
          <w:lang w:val="en-US" w:eastAsia="zh-CN"/>
        </w:rPr>
        <w:t xml:space="preserve"> or not.</w:t>
      </w:r>
    </w:p>
    <w:p w:rsidR="0007299B" w:rsidRDefault="0007299B"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BE4760" w:rsidRPr="00BE4760">
        <w:rPr>
          <w:rFonts w:eastAsia="宋体"/>
          <w:lang w:eastAsia="zh-CN"/>
        </w:rPr>
        <w:t>RP-2408</w:t>
      </w:r>
      <w:r w:rsidR="001611B3">
        <w:rPr>
          <w:rFonts w:eastAsia="宋体"/>
          <w:lang w:eastAsia="zh-CN"/>
        </w:rPr>
        <w:t>57</w:t>
      </w:r>
      <w:r w:rsidR="001C1091">
        <w:rPr>
          <w:rFonts w:eastAsia="宋体"/>
          <w:lang w:eastAsia="zh-CN"/>
        </w:rPr>
        <w:t xml:space="preserve">, </w:t>
      </w:r>
      <w:r w:rsidR="00BE4760" w:rsidRPr="00BE4760">
        <w:rPr>
          <w:rFonts w:eastAsia="宋体"/>
          <w:lang w:eastAsia="zh-CN"/>
        </w:rPr>
        <w:t>New WID: Enhanced requirements and test methodology for NR and IoT NTN</w:t>
      </w:r>
      <w:r w:rsidR="00BE4760">
        <w:rPr>
          <w:rFonts w:eastAsia="宋体"/>
          <w:lang w:eastAsia="zh-CN"/>
        </w:rPr>
        <w:t xml:space="preserve">, </w:t>
      </w:r>
      <w:r w:rsidR="00BE4760" w:rsidRPr="00BE4760">
        <w:rPr>
          <w:rFonts w:eastAsia="宋体"/>
          <w:lang w:eastAsia="zh-CN"/>
        </w:rPr>
        <w:t>RAN4 chair (Huawei)</w:t>
      </w: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AAC" w:rsidRDefault="002F3AAC">
      <w:r>
        <w:separator/>
      </w:r>
    </w:p>
  </w:endnote>
  <w:endnote w:type="continuationSeparator" w:id="0">
    <w:p w:rsidR="002F3AAC" w:rsidRDefault="002F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AAC" w:rsidRDefault="002F3AAC">
      <w:r>
        <w:separator/>
      </w:r>
    </w:p>
  </w:footnote>
  <w:footnote w:type="continuationSeparator" w:id="0">
    <w:p w:rsidR="002F3AAC" w:rsidRDefault="002F3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4"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1"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17"/>
  </w:num>
  <w:num w:numId="4">
    <w:abstractNumId w:val="29"/>
  </w:num>
  <w:num w:numId="5">
    <w:abstractNumId w:val="3"/>
  </w:num>
  <w:num w:numId="6">
    <w:abstractNumId w:val="24"/>
  </w:num>
  <w:num w:numId="7">
    <w:abstractNumId w:val="23"/>
  </w:num>
  <w:num w:numId="8">
    <w:abstractNumId w:val="12"/>
  </w:num>
  <w:num w:numId="9">
    <w:abstractNumId w:val="27"/>
  </w:num>
  <w:num w:numId="10">
    <w:abstractNumId w:val="0"/>
  </w:num>
  <w:num w:numId="11">
    <w:abstractNumId w:val="21"/>
  </w:num>
  <w:num w:numId="12">
    <w:abstractNumId w:val="14"/>
  </w:num>
  <w:num w:numId="13">
    <w:abstractNumId w:val="18"/>
  </w:num>
  <w:num w:numId="14">
    <w:abstractNumId w:val="8"/>
  </w:num>
  <w:num w:numId="15">
    <w:abstractNumId w:val="21"/>
  </w:num>
  <w:num w:numId="16">
    <w:abstractNumId w:val="11"/>
  </w:num>
  <w:num w:numId="17">
    <w:abstractNumId w:val="16"/>
  </w:num>
  <w:num w:numId="18">
    <w:abstractNumId w:val="32"/>
  </w:num>
  <w:num w:numId="19">
    <w:abstractNumId w:val="19"/>
  </w:num>
  <w:num w:numId="20">
    <w:abstractNumId w:val="22"/>
  </w:num>
  <w:num w:numId="21">
    <w:abstractNumId w:val="9"/>
  </w:num>
  <w:num w:numId="22">
    <w:abstractNumId w:val="20"/>
  </w:num>
  <w:num w:numId="23">
    <w:abstractNumId w:val="9"/>
  </w:num>
  <w:num w:numId="24">
    <w:abstractNumId w:val="13"/>
  </w:num>
  <w:num w:numId="25">
    <w:abstractNumId w:val="25"/>
  </w:num>
  <w:num w:numId="26">
    <w:abstractNumId w:val="9"/>
  </w:num>
  <w:num w:numId="27">
    <w:abstractNumId w:val="9"/>
  </w:num>
  <w:num w:numId="28">
    <w:abstractNumId w:val="9"/>
  </w:num>
  <w:num w:numId="29">
    <w:abstractNumId w:val="31"/>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0"/>
  </w:num>
  <w:num w:numId="33">
    <w:abstractNumId w:val="28"/>
  </w:num>
  <w:num w:numId="34">
    <w:abstractNumId w:val="6"/>
  </w:num>
  <w:num w:numId="35">
    <w:abstractNumId w:val="26"/>
  </w:num>
  <w:num w:numId="36">
    <w:abstractNumId w:val="4"/>
  </w:num>
  <w:num w:numId="37">
    <w:abstractNumId w:val="10"/>
  </w:num>
  <w:num w:numId="38">
    <w:abstractNumId w:val="2"/>
  </w:num>
  <w:num w:numId="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404"/>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6D2B"/>
    <w:rsid w:val="002E719D"/>
    <w:rsid w:val="002E7D9C"/>
    <w:rsid w:val="002E7FAD"/>
    <w:rsid w:val="002F001B"/>
    <w:rsid w:val="002F11FE"/>
    <w:rsid w:val="002F1247"/>
    <w:rsid w:val="002F2328"/>
    <w:rsid w:val="002F269A"/>
    <w:rsid w:val="002F2D3B"/>
    <w:rsid w:val="002F2DF1"/>
    <w:rsid w:val="002F3032"/>
    <w:rsid w:val="002F32C4"/>
    <w:rsid w:val="002F389A"/>
    <w:rsid w:val="002F3AAC"/>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5FD6"/>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9C"/>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C7FC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387D-10FA-4AE0-8934-FD1431EF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34020</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783</cp:revision>
  <cp:lastPrinted>2010-01-07T02:23:00Z</cp:lastPrinted>
  <dcterms:created xsi:type="dcterms:W3CDTF">2021-02-10T02:54:00Z</dcterms:created>
  <dcterms:modified xsi:type="dcterms:W3CDTF">2024-08-09T14:38:00Z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