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FA116E">
        <w:rPr>
          <w:rFonts w:eastAsia="宋体" w:cs="Arial"/>
          <w:sz w:val="24"/>
          <w:szCs w:val="24"/>
          <w:lang w:eastAsia="zh-CN"/>
        </w:rPr>
        <w:t>12964</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28F4" w:rsidRPr="009528F4">
        <w:rPr>
          <w:rFonts w:ascii="Arial" w:hAnsi="Arial" w:cs="Arial"/>
          <w:sz w:val="22"/>
        </w:rPr>
        <w:t>General discussion on Tx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528F4" w:rsidRPr="00377570">
        <w:rPr>
          <w:rFonts w:ascii="Arial" w:eastAsia="宋体" w:hAnsi="Arial" w:cs="Arial"/>
          <w:sz w:val="22"/>
          <w:lang w:eastAsia="zh-CN"/>
        </w:rPr>
        <w:t>8.8.2.2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#10</w:t>
      </w:r>
      <w:r w:rsidR="00317DFA">
        <w:rPr>
          <w:rFonts w:eastAsia="宋体"/>
          <w:lang w:val="en-US" w:eastAsia="zh-CN"/>
        </w:rPr>
        <w:t>3</w:t>
      </w:r>
      <w:r w:rsidR="00883878">
        <w:rPr>
          <w:rFonts w:eastAsia="宋体"/>
          <w:lang w:val="en-US" w:eastAsia="zh-CN"/>
        </w:rPr>
        <w:t xml:space="preserve"> meeting, </w:t>
      </w:r>
      <w:r w:rsidR="00192B2A">
        <w:rPr>
          <w:rFonts w:eastAsia="宋体"/>
          <w:lang w:val="en-US" w:eastAsia="zh-CN"/>
        </w:rPr>
        <w:t xml:space="preserve">the WI [1] for </w:t>
      </w:r>
      <w:r w:rsidR="00317DFA" w:rsidRPr="00317DFA">
        <w:rPr>
          <w:rFonts w:eastAsia="宋体"/>
          <w:lang w:val="en-US" w:eastAsia="zh-CN"/>
        </w:rPr>
        <w:t>Enhanced requirements and test methodology for NR and IoT NTN</w:t>
      </w:r>
      <w:r w:rsidR="00192B2A">
        <w:rPr>
          <w:rFonts w:eastAsia="宋体"/>
          <w:lang w:val="en-US" w:eastAsia="zh-CN"/>
        </w:rPr>
        <w:t xml:space="preserve"> was established</w:t>
      </w:r>
      <w:r w:rsidR="00337B89">
        <w:rPr>
          <w:rFonts w:eastAsia="宋体"/>
          <w:lang w:val="en-US" w:eastAsia="zh-CN"/>
        </w:rPr>
        <w:t xml:space="preserve"> to </w:t>
      </w:r>
      <w:r w:rsidR="00317DFA">
        <w:rPr>
          <w:rFonts w:eastAsia="宋体"/>
          <w:lang w:val="en-US" w:eastAsia="zh-CN"/>
        </w:rPr>
        <w:t>introduce</w:t>
      </w:r>
      <w:r w:rsidR="00051C86">
        <w:rPr>
          <w:rFonts w:eastAsia="宋体"/>
          <w:lang w:val="en-US" w:eastAsia="zh-CN"/>
        </w:rPr>
        <w:t xml:space="preserve"> for </w:t>
      </w:r>
      <w:r w:rsidR="00317DFA">
        <w:rPr>
          <w:rFonts w:eastAsia="宋体"/>
          <w:lang w:val="en-US" w:eastAsia="zh-CN"/>
        </w:rPr>
        <w:t>HPUE feature</w:t>
      </w:r>
      <w:r w:rsidR="00337B89">
        <w:rPr>
          <w:rFonts w:eastAsia="宋体"/>
          <w:lang w:val="en-US" w:eastAsia="zh-CN"/>
        </w:rPr>
        <w:t>.</w:t>
      </w:r>
      <w:r w:rsidR="001254BE">
        <w:rPr>
          <w:rFonts w:eastAsia="宋体"/>
          <w:lang w:val="en-US" w:eastAsia="zh-CN"/>
        </w:rPr>
        <w:t xml:space="preserve"> The</w:t>
      </w:r>
      <w:r w:rsidR="00317DFA">
        <w:rPr>
          <w:rFonts w:eastAsia="宋体"/>
          <w:lang w:val="en-US" w:eastAsia="zh-CN"/>
        </w:rPr>
        <w:t xml:space="preserve"> objectives for HPUE Tx requirements are listed below</w:t>
      </w:r>
      <w:r w:rsidR="001254BE">
        <w:rPr>
          <w:rFonts w:eastAsia="宋体"/>
          <w:lang w:val="en-US" w:eastAsia="zh-CN"/>
        </w:rPr>
        <w:t xml:space="preserve">. </w:t>
      </w: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2E66" w:rsidTr="00782E66">
        <w:tc>
          <w:tcPr>
            <w:tcW w:w="9631" w:type="dxa"/>
          </w:tcPr>
          <w:p w:rsidR="00317DFA" w:rsidRPr="00D9611F" w:rsidRDefault="00317DFA" w:rsidP="00317DFA">
            <w:pPr>
              <w:pStyle w:val="aff0"/>
              <w:widowControl w:val="0"/>
              <w:numPr>
                <w:ilvl w:val="0"/>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IoT-NTN (NB-IoT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rsidR="00317DFA" w:rsidRPr="00317DFA" w:rsidRDefault="00317DFA" w:rsidP="00317DFA">
            <w:pPr>
              <w:pStyle w:val="aff0"/>
              <w:widowControl w:val="0"/>
              <w:numPr>
                <w:ilvl w:val="1"/>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Support UE with power class 2 (PC2, 26 dBm) that applies to both handheld and non-handheld based on the co-existence study.</w:t>
            </w:r>
          </w:p>
          <w:p w:rsidR="00317DFA" w:rsidRPr="00317DFA" w:rsidRDefault="00317DFA" w:rsidP="00317DFA">
            <w:pPr>
              <w:pStyle w:val="aff0"/>
              <w:widowControl w:val="0"/>
              <w:numPr>
                <w:ilvl w:val="1"/>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Support other power classes based on the co-existence and feasibility study</w:t>
            </w:r>
          </w:p>
          <w:p w:rsidR="00317DFA" w:rsidRPr="00317DFA" w:rsidRDefault="00317DFA" w:rsidP="00317DFA">
            <w:pPr>
              <w:pStyle w:val="aff0"/>
              <w:widowControl w:val="0"/>
              <w:numPr>
                <w:ilvl w:val="2"/>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Non-</w:t>
            </w:r>
            <w:proofErr w:type="gramStart"/>
            <w:r w:rsidRPr="00317DFA">
              <w:rPr>
                <w:rFonts w:ascii="Times New Roman" w:hAnsi="Times New Roman" w:cs="Times New Roman"/>
                <w:sz w:val="20"/>
                <w:szCs w:val="20"/>
                <w:shd w:val="pct15" w:color="auto" w:fill="FFFFFF"/>
              </w:rPr>
              <w:t>hand held</w:t>
            </w:r>
            <w:proofErr w:type="gramEnd"/>
            <w:r w:rsidRPr="00317DFA">
              <w:rPr>
                <w:rFonts w:ascii="Times New Roman" w:hAnsi="Times New Roman" w:cs="Times New Roman"/>
                <w:sz w:val="20"/>
                <w:szCs w:val="20"/>
                <w:shd w:val="pct15" w:color="auto" w:fill="FFFFFF"/>
              </w:rPr>
              <w:t xml:space="preserve"> UE is prioritized</w:t>
            </w:r>
          </w:p>
          <w:p w:rsidR="00317DFA" w:rsidRPr="00317DFA" w:rsidRDefault="00317DFA" w:rsidP="00317DFA">
            <w:pPr>
              <w:pStyle w:val="aff0"/>
              <w:widowControl w:val="0"/>
              <w:numPr>
                <w:ilvl w:val="1"/>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Specify RF requirements for all considered power classes for NR-NTN and IoT-NTN in FR1-NTN bands and the corresponding LTE NTN bands</w:t>
            </w:r>
          </w:p>
          <w:p w:rsidR="00317DFA" w:rsidRPr="00317DFA" w:rsidRDefault="00317DFA" w:rsidP="00317DFA">
            <w:pPr>
              <w:pStyle w:val="aff0"/>
              <w:widowControl w:val="0"/>
              <w:numPr>
                <w:ilvl w:val="2"/>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Necessary Tx requirements, at least including</w:t>
            </w:r>
          </w:p>
          <w:p w:rsidR="00317DFA" w:rsidRPr="00317DFA" w:rsidRDefault="00317DFA" w:rsidP="00317DFA">
            <w:pPr>
              <w:pStyle w:val="aff0"/>
              <w:widowControl w:val="0"/>
              <w:numPr>
                <w:ilvl w:val="3"/>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Investigate and if necessary, specify the solution to address potential SAR (Specific Absorption Rate restriction) requirements for handheld UE</w:t>
            </w:r>
          </w:p>
          <w:p w:rsidR="00317DFA" w:rsidRPr="00317DFA" w:rsidRDefault="00317DFA" w:rsidP="00317DFA">
            <w:pPr>
              <w:pStyle w:val="aff0"/>
              <w:widowControl w:val="0"/>
              <w:numPr>
                <w:ilvl w:val="3"/>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Specify MPR and A-MPR for the example bands considering the regulation for the corresponding bands, if necessary</w:t>
            </w:r>
          </w:p>
          <w:p w:rsidR="00317DFA" w:rsidRPr="00D9611F" w:rsidRDefault="00317DFA" w:rsidP="00317DFA">
            <w:pPr>
              <w:pStyle w:val="aff0"/>
              <w:widowControl w:val="0"/>
              <w:numPr>
                <w:ilvl w:val="2"/>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rsidR="00317DFA" w:rsidRPr="00D9611F" w:rsidRDefault="00317DFA" w:rsidP="00317DFA">
            <w:pPr>
              <w:pStyle w:val="aff0"/>
              <w:widowControl w:val="0"/>
              <w:numPr>
                <w:ilvl w:val="3"/>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rsidR="00317DFA" w:rsidRPr="00D9611F" w:rsidRDefault="00317DFA" w:rsidP="00317DFA">
            <w:pPr>
              <w:pStyle w:val="aff0"/>
              <w:widowControl w:val="0"/>
              <w:numPr>
                <w:ilvl w:val="0"/>
                <w:numId w:val="36"/>
              </w:numPr>
              <w:spacing w:after="180"/>
              <w:ind w:firstLineChars="0"/>
              <w:jc w:val="both"/>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rsidR="00782E66" w:rsidRPr="00317DFA" w:rsidRDefault="00782E66" w:rsidP="00317DFA">
            <w:pPr>
              <w:spacing w:after="0"/>
              <w:jc w:val="both"/>
              <w:rPr>
                <w:rFonts w:eastAsia="宋体"/>
                <w:lang w:val="en-US" w:eastAsia="zh-CN"/>
              </w:rPr>
            </w:pPr>
          </w:p>
        </w:tc>
      </w:tr>
    </w:tbl>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share our views which requirements should be investigated and discussed in general</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BE4760" w:rsidP="00DE5740">
      <w:pPr>
        <w:pStyle w:val="1"/>
        <w:rPr>
          <w:lang w:eastAsia="zh-CN"/>
        </w:rPr>
      </w:pPr>
      <w:r>
        <w:rPr>
          <w:lang w:eastAsia="zh-CN"/>
        </w:rPr>
        <w:t>Operating bands</w:t>
      </w:r>
      <w:r w:rsidR="00C82CC0">
        <w:rPr>
          <w:lang w:eastAsia="zh-CN"/>
        </w:rPr>
        <w:t xml:space="preserve"> / Power Class VS workloads</w:t>
      </w:r>
    </w:p>
    <w:p w:rsidR="00C82CC0" w:rsidRDefault="00C82CC0"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this WI, a lot of objectives and requirements need the simulation works. We summarized them below.</w:t>
      </w:r>
    </w:p>
    <w:p w:rsidR="00C82CC0" w:rsidRDefault="00C82CC0" w:rsidP="00F00487">
      <w:pPr>
        <w:widowControl w:val="0"/>
        <w:overflowPunct/>
        <w:autoSpaceDE/>
        <w:autoSpaceDN/>
        <w:adjustRightInd/>
        <w:spacing w:after="0"/>
        <w:textAlignment w:val="auto"/>
        <w:rPr>
          <w:rFonts w:eastAsia="宋体"/>
          <w:lang w:val="en-US" w:eastAsia="zh-CN"/>
        </w:rPr>
      </w:pPr>
    </w:p>
    <w:p w:rsidR="00C64CBF" w:rsidRDefault="00C64CBF" w:rsidP="00C64CBF">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C64CBF">
        <w:t>Operating bands / Power Class VS workloads</w:t>
      </w:r>
    </w:p>
    <w:tbl>
      <w:tblPr>
        <w:tblStyle w:val="afc"/>
        <w:tblW w:w="0" w:type="auto"/>
        <w:tblLook w:val="04A0" w:firstRow="1" w:lastRow="0" w:firstColumn="1" w:lastColumn="0" w:noHBand="0" w:noVBand="1"/>
      </w:tblPr>
      <w:tblGrid>
        <w:gridCol w:w="1271"/>
        <w:gridCol w:w="1701"/>
        <w:gridCol w:w="1843"/>
        <w:gridCol w:w="2693"/>
        <w:gridCol w:w="2123"/>
      </w:tblGrid>
      <w:tr w:rsidR="00C30712" w:rsidTr="00C64CBF">
        <w:tc>
          <w:tcPr>
            <w:tcW w:w="1271" w:type="dxa"/>
          </w:tcPr>
          <w:p w:rsidR="00C30712" w:rsidRPr="00C64CBF" w:rsidRDefault="00C30712" w:rsidP="00F00487">
            <w:pPr>
              <w:widowControl w:val="0"/>
              <w:overflowPunct/>
              <w:autoSpaceDE/>
              <w:autoSpaceDN/>
              <w:adjustRightInd/>
              <w:spacing w:after="0"/>
              <w:textAlignment w:val="auto"/>
              <w:rPr>
                <w:rFonts w:eastAsia="宋体"/>
                <w:b/>
                <w:lang w:val="en-US" w:eastAsia="zh-CN"/>
              </w:rPr>
            </w:pPr>
            <w:r w:rsidRPr="00C64CBF">
              <w:rPr>
                <w:rFonts w:eastAsia="宋体" w:hint="eastAsia"/>
                <w:b/>
                <w:lang w:val="en-US" w:eastAsia="zh-CN"/>
              </w:rPr>
              <w:t>P</w:t>
            </w:r>
            <w:r w:rsidRPr="00C64CBF">
              <w:rPr>
                <w:rFonts w:eastAsia="宋体"/>
                <w:b/>
                <w:lang w:val="en-US" w:eastAsia="zh-CN"/>
              </w:rPr>
              <w:t>ower Class</w:t>
            </w:r>
          </w:p>
        </w:tc>
        <w:tc>
          <w:tcPr>
            <w:tcW w:w="1701" w:type="dxa"/>
          </w:tcPr>
          <w:p w:rsidR="00C30712" w:rsidRPr="00C64CBF" w:rsidRDefault="00C30712" w:rsidP="00F00487">
            <w:pPr>
              <w:widowControl w:val="0"/>
              <w:overflowPunct/>
              <w:autoSpaceDE/>
              <w:autoSpaceDN/>
              <w:adjustRightInd/>
              <w:spacing w:after="0"/>
              <w:textAlignment w:val="auto"/>
              <w:rPr>
                <w:rFonts w:eastAsia="宋体"/>
                <w:b/>
                <w:lang w:val="en-US" w:eastAsia="zh-CN"/>
              </w:rPr>
            </w:pPr>
            <w:r w:rsidRPr="00C64CBF">
              <w:rPr>
                <w:rFonts w:eastAsia="宋体" w:hint="eastAsia"/>
                <w:b/>
                <w:lang w:val="en-US" w:eastAsia="zh-CN"/>
              </w:rPr>
              <w:t>O</w:t>
            </w:r>
            <w:r w:rsidRPr="00C64CBF">
              <w:rPr>
                <w:rFonts w:eastAsia="宋体"/>
                <w:b/>
                <w:lang w:val="en-US" w:eastAsia="zh-CN"/>
              </w:rPr>
              <w:t>perating bands</w:t>
            </w:r>
          </w:p>
        </w:tc>
        <w:tc>
          <w:tcPr>
            <w:tcW w:w="1843" w:type="dxa"/>
          </w:tcPr>
          <w:p w:rsidR="00C30712" w:rsidRPr="00C64CBF" w:rsidRDefault="00C30712" w:rsidP="00F00487">
            <w:pPr>
              <w:widowControl w:val="0"/>
              <w:overflowPunct/>
              <w:autoSpaceDE/>
              <w:autoSpaceDN/>
              <w:adjustRightInd/>
              <w:spacing w:after="0"/>
              <w:textAlignment w:val="auto"/>
              <w:rPr>
                <w:rFonts w:eastAsia="宋体"/>
                <w:b/>
                <w:lang w:val="en-US" w:eastAsia="zh-CN"/>
              </w:rPr>
            </w:pPr>
            <w:r w:rsidRPr="00C64CBF">
              <w:rPr>
                <w:rFonts w:eastAsia="宋体" w:hint="eastAsia"/>
                <w:b/>
                <w:lang w:val="en-US" w:eastAsia="zh-CN"/>
              </w:rPr>
              <w:t>C</w:t>
            </w:r>
            <w:r w:rsidRPr="00C64CBF">
              <w:rPr>
                <w:rFonts w:eastAsia="宋体"/>
                <w:b/>
                <w:lang w:val="en-US" w:eastAsia="zh-CN"/>
              </w:rPr>
              <w:t>oexistence Study</w:t>
            </w:r>
          </w:p>
        </w:tc>
        <w:tc>
          <w:tcPr>
            <w:tcW w:w="2693" w:type="dxa"/>
          </w:tcPr>
          <w:p w:rsidR="00C30712" w:rsidRPr="00C64CBF" w:rsidRDefault="00C30712" w:rsidP="00F00487">
            <w:pPr>
              <w:widowControl w:val="0"/>
              <w:overflowPunct/>
              <w:autoSpaceDE/>
              <w:autoSpaceDN/>
              <w:adjustRightInd/>
              <w:spacing w:after="0"/>
              <w:textAlignment w:val="auto"/>
              <w:rPr>
                <w:rFonts w:eastAsia="宋体"/>
                <w:b/>
                <w:lang w:val="en-US" w:eastAsia="zh-CN"/>
              </w:rPr>
            </w:pPr>
            <w:r w:rsidRPr="00C64CBF">
              <w:rPr>
                <w:rFonts w:eastAsia="宋体" w:hint="eastAsia"/>
                <w:b/>
                <w:lang w:val="en-US" w:eastAsia="zh-CN"/>
              </w:rPr>
              <w:t>G</w:t>
            </w:r>
            <w:r w:rsidRPr="00C64CBF">
              <w:rPr>
                <w:rFonts w:eastAsia="宋体"/>
                <w:b/>
                <w:lang w:val="en-US" w:eastAsia="zh-CN"/>
              </w:rPr>
              <w:t>eneral MPR requirements</w:t>
            </w:r>
          </w:p>
        </w:tc>
        <w:tc>
          <w:tcPr>
            <w:tcW w:w="2123" w:type="dxa"/>
          </w:tcPr>
          <w:p w:rsidR="00C30712" w:rsidRPr="00C64CBF" w:rsidRDefault="00C30712" w:rsidP="00F00487">
            <w:pPr>
              <w:widowControl w:val="0"/>
              <w:overflowPunct/>
              <w:autoSpaceDE/>
              <w:autoSpaceDN/>
              <w:adjustRightInd/>
              <w:spacing w:after="0"/>
              <w:textAlignment w:val="auto"/>
              <w:rPr>
                <w:rFonts w:eastAsia="宋体"/>
                <w:b/>
                <w:lang w:val="en-US" w:eastAsia="zh-CN"/>
              </w:rPr>
            </w:pPr>
            <w:r w:rsidRPr="00C64CBF">
              <w:rPr>
                <w:rFonts w:eastAsia="宋体" w:hint="eastAsia"/>
                <w:b/>
                <w:lang w:val="en-US" w:eastAsia="zh-CN"/>
              </w:rPr>
              <w:t>A</w:t>
            </w:r>
            <w:r w:rsidRPr="00C64CBF">
              <w:rPr>
                <w:rFonts w:eastAsia="宋体"/>
                <w:b/>
                <w:lang w:val="en-US" w:eastAsia="zh-CN"/>
              </w:rPr>
              <w:t>MPR requirements</w:t>
            </w:r>
          </w:p>
        </w:tc>
      </w:tr>
      <w:tr w:rsidR="00C30712" w:rsidTr="00C64CBF">
        <w:tc>
          <w:tcPr>
            <w:tcW w:w="1271" w:type="dxa"/>
            <w:vMerge w:val="restart"/>
          </w:tcPr>
          <w:p w:rsidR="00C30712" w:rsidRDefault="00C3071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P</w:t>
            </w:r>
            <w:r>
              <w:rPr>
                <w:rFonts w:eastAsia="宋体"/>
                <w:lang w:val="en-US" w:eastAsia="zh-CN"/>
              </w:rPr>
              <w:t>C2</w:t>
            </w:r>
          </w:p>
        </w:tc>
        <w:tc>
          <w:tcPr>
            <w:tcW w:w="1701" w:type="dxa"/>
          </w:tcPr>
          <w:p w:rsidR="00C30712" w:rsidRDefault="00C30712" w:rsidP="00F00487">
            <w:pPr>
              <w:widowControl w:val="0"/>
              <w:overflowPunct/>
              <w:autoSpaceDE/>
              <w:autoSpaceDN/>
              <w:adjustRightInd/>
              <w:spacing w:after="0"/>
              <w:textAlignment w:val="auto"/>
              <w:rPr>
                <w:rFonts w:eastAsia="宋体"/>
                <w:lang w:val="en-US" w:eastAsia="zh-CN"/>
              </w:rPr>
            </w:pPr>
            <w:r>
              <w:rPr>
                <w:rFonts w:eastAsia="宋体"/>
                <w:lang w:val="en-US" w:eastAsia="zh-CN"/>
              </w:rPr>
              <w:t>n256</w:t>
            </w:r>
          </w:p>
        </w:tc>
        <w:tc>
          <w:tcPr>
            <w:tcW w:w="1843" w:type="dxa"/>
            <w:vMerge w:val="restart"/>
          </w:tcPr>
          <w:p w:rsidR="00C30712" w:rsidRDefault="00C3071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c>
          <w:tcPr>
            <w:tcW w:w="2693" w:type="dxa"/>
            <w:vMerge w:val="restart"/>
          </w:tcPr>
          <w:p w:rsidR="00C30712" w:rsidRDefault="00C3071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c>
          <w:tcPr>
            <w:tcW w:w="2123" w:type="dxa"/>
          </w:tcPr>
          <w:p w:rsidR="00C30712" w:rsidRDefault="00C3071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r>
      <w:tr w:rsidR="00C30712" w:rsidTr="00C64CBF">
        <w:tc>
          <w:tcPr>
            <w:tcW w:w="1271" w:type="dxa"/>
            <w:vMerge/>
          </w:tcPr>
          <w:p w:rsidR="00C30712" w:rsidRDefault="00C30712" w:rsidP="00F00487">
            <w:pPr>
              <w:widowControl w:val="0"/>
              <w:overflowPunct/>
              <w:autoSpaceDE/>
              <w:autoSpaceDN/>
              <w:adjustRightInd/>
              <w:spacing w:after="0"/>
              <w:textAlignment w:val="auto"/>
              <w:rPr>
                <w:rFonts w:eastAsia="宋体"/>
                <w:lang w:val="en-US" w:eastAsia="zh-CN"/>
              </w:rPr>
            </w:pPr>
          </w:p>
        </w:tc>
        <w:tc>
          <w:tcPr>
            <w:tcW w:w="1701" w:type="dxa"/>
          </w:tcPr>
          <w:p w:rsidR="00C30712" w:rsidRDefault="00C30712" w:rsidP="00F00487">
            <w:pPr>
              <w:widowControl w:val="0"/>
              <w:overflowPunct/>
              <w:autoSpaceDE/>
              <w:autoSpaceDN/>
              <w:adjustRightInd/>
              <w:spacing w:after="0"/>
              <w:textAlignment w:val="auto"/>
              <w:rPr>
                <w:rFonts w:eastAsia="宋体"/>
                <w:lang w:val="en-US" w:eastAsia="zh-CN"/>
              </w:rPr>
            </w:pPr>
            <w:r>
              <w:rPr>
                <w:rFonts w:eastAsia="宋体"/>
                <w:lang w:val="en-US" w:eastAsia="zh-CN"/>
              </w:rPr>
              <w:t>n255</w:t>
            </w:r>
          </w:p>
        </w:tc>
        <w:tc>
          <w:tcPr>
            <w:tcW w:w="1843" w:type="dxa"/>
            <w:vMerge/>
          </w:tcPr>
          <w:p w:rsidR="00C30712" w:rsidRDefault="00C30712" w:rsidP="00F00487">
            <w:pPr>
              <w:widowControl w:val="0"/>
              <w:overflowPunct/>
              <w:autoSpaceDE/>
              <w:autoSpaceDN/>
              <w:adjustRightInd/>
              <w:spacing w:after="0"/>
              <w:textAlignment w:val="auto"/>
              <w:rPr>
                <w:rFonts w:eastAsia="宋体"/>
                <w:lang w:val="en-US" w:eastAsia="zh-CN"/>
              </w:rPr>
            </w:pPr>
          </w:p>
        </w:tc>
        <w:tc>
          <w:tcPr>
            <w:tcW w:w="2693" w:type="dxa"/>
            <w:vMerge/>
          </w:tcPr>
          <w:p w:rsidR="00C30712" w:rsidRDefault="00C30712" w:rsidP="00F00487">
            <w:pPr>
              <w:widowControl w:val="0"/>
              <w:overflowPunct/>
              <w:autoSpaceDE/>
              <w:autoSpaceDN/>
              <w:adjustRightInd/>
              <w:spacing w:after="0"/>
              <w:textAlignment w:val="auto"/>
              <w:rPr>
                <w:rFonts w:eastAsia="宋体"/>
                <w:lang w:val="en-US" w:eastAsia="zh-CN"/>
              </w:rPr>
            </w:pPr>
          </w:p>
        </w:tc>
        <w:tc>
          <w:tcPr>
            <w:tcW w:w="2123" w:type="dxa"/>
          </w:tcPr>
          <w:p w:rsidR="00C30712" w:rsidRDefault="00C3071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r>
      <w:tr w:rsidR="00C30712" w:rsidTr="00C64CBF">
        <w:tc>
          <w:tcPr>
            <w:tcW w:w="1271" w:type="dxa"/>
            <w:vMerge w:val="restart"/>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P</w:t>
            </w:r>
            <w:r>
              <w:rPr>
                <w:rFonts w:eastAsia="宋体"/>
                <w:lang w:val="en-US" w:eastAsia="zh-CN"/>
              </w:rPr>
              <w:t>C1.5</w:t>
            </w:r>
          </w:p>
        </w:tc>
        <w:tc>
          <w:tcPr>
            <w:tcW w:w="1701" w:type="dxa"/>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lang w:val="en-US" w:eastAsia="zh-CN"/>
              </w:rPr>
              <w:t>n256</w:t>
            </w:r>
          </w:p>
        </w:tc>
        <w:tc>
          <w:tcPr>
            <w:tcW w:w="1843" w:type="dxa"/>
            <w:vMerge w:val="restart"/>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c>
          <w:tcPr>
            <w:tcW w:w="2693" w:type="dxa"/>
            <w:vMerge w:val="restart"/>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c>
          <w:tcPr>
            <w:tcW w:w="2123" w:type="dxa"/>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r>
      <w:tr w:rsidR="00C30712" w:rsidTr="00C64CBF">
        <w:tc>
          <w:tcPr>
            <w:tcW w:w="1271" w:type="dxa"/>
            <w:vMerge/>
          </w:tcPr>
          <w:p w:rsidR="00C30712" w:rsidRDefault="00C30712" w:rsidP="00C30712">
            <w:pPr>
              <w:widowControl w:val="0"/>
              <w:overflowPunct/>
              <w:autoSpaceDE/>
              <w:autoSpaceDN/>
              <w:adjustRightInd/>
              <w:spacing w:after="0"/>
              <w:textAlignment w:val="auto"/>
              <w:rPr>
                <w:rFonts w:eastAsia="宋体"/>
                <w:lang w:val="en-US" w:eastAsia="zh-CN"/>
              </w:rPr>
            </w:pPr>
          </w:p>
        </w:tc>
        <w:tc>
          <w:tcPr>
            <w:tcW w:w="1701" w:type="dxa"/>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lang w:val="en-US" w:eastAsia="zh-CN"/>
              </w:rPr>
              <w:t>n255</w:t>
            </w:r>
          </w:p>
        </w:tc>
        <w:tc>
          <w:tcPr>
            <w:tcW w:w="1843" w:type="dxa"/>
            <w:vMerge/>
          </w:tcPr>
          <w:p w:rsidR="00C30712" w:rsidRDefault="00C30712" w:rsidP="00C30712">
            <w:pPr>
              <w:widowControl w:val="0"/>
              <w:overflowPunct/>
              <w:autoSpaceDE/>
              <w:autoSpaceDN/>
              <w:adjustRightInd/>
              <w:spacing w:after="0"/>
              <w:textAlignment w:val="auto"/>
              <w:rPr>
                <w:rFonts w:eastAsia="宋体"/>
                <w:lang w:val="en-US" w:eastAsia="zh-CN"/>
              </w:rPr>
            </w:pPr>
          </w:p>
        </w:tc>
        <w:tc>
          <w:tcPr>
            <w:tcW w:w="2693" w:type="dxa"/>
            <w:vMerge/>
          </w:tcPr>
          <w:p w:rsidR="00C30712" w:rsidRDefault="00C30712" w:rsidP="00C30712">
            <w:pPr>
              <w:widowControl w:val="0"/>
              <w:overflowPunct/>
              <w:autoSpaceDE/>
              <w:autoSpaceDN/>
              <w:adjustRightInd/>
              <w:spacing w:after="0"/>
              <w:textAlignment w:val="auto"/>
              <w:rPr>
                <w:rFonts w:eastAsia="宋体"/>
                <w:lang w:val="en-US" w:eastAsia="zh-CN"/>
              </w:rPr>
            </w:pPr>
          </w:p>
        </w:tc>
        <w:tc>
          <w:tcPr>
            <w:tcW w:w="2123" w:type="dxa"/>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r>
      <w:tr w:rsidR="00C30712" w:rsidTr="00C64CBF">
        <w:tc>
          <w:tcPr>
            <w:tcW w:w="1271" w:type="dxa"/>
            <w:vMerge w:val="restart"/>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P</w:t>
            </w:r>
            <w:r>
              <w:rPr>
                <w:rFonts w:eastAsia="宋体"/>
                <w:lang w:val="en-US" w:eastAsia="zh-CN"/>
              </w:rPr>
              <w:t>C1</w:t>
            </w:r>
          </w:p>
        </w:tc>
        <w:tc>
          <w:tcPr>
            <w:tcW w:w="1701" w:type="dxa"/>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lang w:val="en-US" w:eastAsia="zh-CN"/>
              </w:rPr>
              <w:t>n256</w:t>
            </w:r>
          </w:p>
        </w:tc>
        <w:tc>
          <w:tcPr>
            <w:tcW w:w="1843" w:type="dxa"/>
            <w:vMerge w:val="restart"/>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c>
          <w:tcPr>
            <w:tcW w:w="2693" w:type="dxa"/>
            <w:vMerge w:val="restart"/>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c>
          <w:tcPr>
            <w:tcW w:w="2123" w:type="dxa"/>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r>
      <w:tr w:rsidR="00C30712" w:rsidTr="00C64CBF">
        <w:tc>
          <w:tcPr>
            <w:tcW w:w="1271" w:type="dxa"/>
            <w:vMerge/>
          </w:tcPr>
          <w:p w:rsidR="00C30712" w:rsidRDefault="00C30712" w:rsidP="00C30712">
            <w:pPr>
              <w:widowControl w:val="0"/>
              <w:overflowPunct/>
              <w:autoSpaceDE/>
              <w:autoSpaceDN/>
              <w:adjustRightInd/>
              <w:spacing w:after="0"/>
              <w:textAlignment w:val="auto"/>
              <w:rPr>
                <w:rFonts w:eastAsia="宋体"/>
                <w:lang w:val="en-US" w:eastAsia="zh-CN"/>
              </w:rPr>
            </w:pPr>
          </w:p>
        </w:tc>
        <w:tc>
          <w:tcPr>
            <w:tcW w:w="1701" w:type="dxa"/>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lang w:val="en-US" w:eastAsia="zh-CN"/>
              </w:rPr>
              <w:t>n255</w:t>
            </w:r>
          </w:p>
        </w:tc>
        <w:tc>
          <w:tcPr>
            <w:tcW w:w="1843" w:type="dxa"/>
            <w:vMerge/>
          </w:tcPr>
          <w:p w:rsidR="00C30712" w:rsidRDefault="00C30712" w:rsidP="00C30712">
            <w:pPr>
              <w:widowControl w:val="0"/>
              <w:overflowPunct/>
              <w:autoSpaceDE/>
              <w:autoSpaceDN/>
              <w:adjustRightInd/>
              <w:spacing w:after="0"/>
              <w:textAlignment w:val="auto"/>
              <w:rPr>
                <w:rFonts w:eastAsia="宋体"/>
                <w:lang w:val="en-US" w:eastAsia="zh-CN"/>
              </w:rPr>
            </w:pPr>
          </w:p>
        </w:tc>
        <w:tc>
          <w:tcPr>
            <w:tcW w:w="2693" w:type="dxa"/>
            <w:vMerge/>
          </w:tcPr>
          <w:p w:rsidR="00C30712" w:rsidRDefault="00C30712" w:rsidP="00C30712">
            <w:pPr>
              <w:widowControl w:val="0"/>
              <w:overflowPunct/>
              <w:autoSpaceDE/>
              <w:autoSpaceDN/>
              <w:adjustRightInd/>
              <w:spacing w:after="0"/>
              <w:textAlignment w:val="auto"/>
              <w:rPr>
                <w:rFonts w:eastAsia="宋体"/>
                <w:lang w:val="en-US" w:eastAsia="zh-CN"/>
              </w:rPr>
            </w:pPr>
          </w:p>
        </w:tc>
        <w:tc>
          <w:tcPr>
            <w:tcW w:w="2123" w:type="dxa"/>
          </w:tcPr>
          <w:p w:rsidR="00C30712" w:rsidRDefault="00C30712" w:rsidP="00C30712">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eeded</w:t>
            </w:r>
          </w:p>
        </w:tc>
      </w:tr>
    </w:tbl>
    <w:p w:rsidR="00C82CC0" w:rsidRDefault="00C82CC0" w:rsidP="00F00487">
      <w:pPr>
        <w:widowControl w:val="0"/>
        <w:overflowPunct/>
        <w:autoSpaceDE/>
        <w:autoSpaceDN/>
        <w:adjustRightInd/>
        <w:spacing w:after="0"/>
        <w:textAlignment w:val="auto"/>
        <w:rPr>
          <w:rFonts w:eastAsia="宋体"/>
          <w:lang w:val="en-US" w:eastAsia="zh-CN"/>
        </w:rPr>
      </w:pPr>
    </w:p>
    <w:p w:rsidR="00C82CC0" w:rsidRDefault="00C64CBF" w:rsidP="00F00487">
      <w:pPr>
        <w:widowControl w:val="0"/>
        <w:overflowPunct/>
        <w:autoSpaceDE/>
        <w:autoSpaceDN/>
        <w:adjustRightInd/>
        <w:spacing w:after="0"/>
        <w:textAlignment w:val="auto"/>
        <w:rPr>
          <w:rFonts w:eastAsia="宋体"/>
          <w:lang w:val="en-US" w:eastAsia="zh-CN"/>
        </w:rPr>
      </w:pPr>
      <w:r>
        <w:rPr>
          <w:rFonts w:eastAsia="宋体"/>
          <w:b/>
          <w:lang w:val="en-US" w:eastAsia="zh-CN"/>
        </w:rPr>
        <w:lastRenderedPageBreak/>
        <w:t xml:space="preserve">Observation </w:t>
      </w:r>
      <w:r w:rsidRPr="00A11224">
        <w:rPr>
          <w:rFonts w:eastAsia="宋体"/>
          <w:b/>
          <w:lang w:val="en-US" w:eastAsia="zh-CN"/>
        </w:rPr>
        <w:t>1:</w:t>
      </w:r>
      <w:r>
        <w:rPr>
          <w:rFonts w:eastAsia="宋体"/>
          <w:b/>
          <w:lang w:val="en-US" w:eastAsia="zh-CN"/>
        </w:rPr>
        <w:t xml:space="preserve"> </w:t>
      </w:r>
      <w:r w:rsidR="00DF3764">
        <w:rPr>
          <w:rFonts w:eastAsia="宋体"/>
          <w:b/>
          <w:lang w:val="en-US" w:eastAsia="zh-CN"/>
        </w:rPr>
        <w:t>If more power classes and operating bands are included in this WI, the workloads will be increased dramatically, especially for simulation works.</w:t>
      </w:r>
    </w:p>
    <w:p w:rsidR="00C82CC0" w:rsidRDefault="00C82CC0" w:rsidP="00F00487">
      <w:pPr>
        <w:widowControl w:val="0"/>
        <w:overflowPunct/>
        <w:autoSpaceDE/>
        <w:autoSpaceDN/>
        <w:adjustRightInd/>
        <w:spacing w:after="0"/>
        <w:textAlignment w:val="auto"/>
        <w:rPr>
          <w:rFonts w:eastAsia="宋体"/>
          <w:lang w:val="en-US" w:eastAsia="zh-CN"/>
        </w:rPr>
      </w:pPr>
    </w:p>
    <w:p w:rsidR="00BE4760" w:rsidRDefault="00BE4760"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5202FB">
        <w:rPr>
          <w:rFonts w:eastAsia="宋体"/>
          <w:lang w:val="en-US" w:eastAsia="zh-CN"/>
        </w:rPr>
        <w:t xml:space="preserve">current WID [1], the exemplary bands n256 and n255 are listed for NR NTN HPUE. As the workloads for this WI are dramatically huge, any </w:t>
      </w:r>
      <w:r w:rsidR="00C82CC0">
        <w:rPr>
          <w:rFonts w:eastAsia="宋体"/>
          <w:lang w:val="en-US" w:eastAsia="zh-CN"/>
        </w:rPr>
        <w:t>HPUE demands for other bands can be considered later once the general HPUE framework is completed in this WI.</w:t>
      </w:r>
    </w:p>
    <w:p w:rsidR="00C82CC0" w:rsidRDefault="00C82CC0" w:rsidP="00F00487">
      <w:pPr>
        <w:widowControl w:val="0"/>
        <w:overflowPunct/>
        <w:autoSpaceDE/>
        <w:autoSpaceDN/>
        <w:adjustRightInd/>
        <w:spacing w:after="0"/>
        <w:textAlignment w:val="auto"/>
        <w:rPr>
          <w:rFonts w:eastAsia="宋体"/>
          <w:lang w:val="en-US" w:eastAsia="zh-CN"/>
        </w:rPr>
      </w:pPr>
    </w:p>
    <w:p w:rsidR="00C82CC0" w:rsidRDefault="00C82CC0" w:rsidP="00F0048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Proposal 1:</w:t>
      </w:r>
      <w:r>
        <w:rPr>
          <w:rFonts w:eastAsia="宋体"/>
          <w:b/>
          <w:lang w:val="en-US" w:eastAsia="zh-CN"/>
        </w:rPr>
        <w:t xml:space="preserve"> based on the WID, </w:t>
      </w:r>
      <w:r w:rsidRPr="00C82CC0">
        <w:rPr>
          <w:rFonts w:eastAsia="宋体"/>
          <w:b/>
          <w:lang w:val="en-US" w:eastAsia="zh-CN"/>
        </w:rPr>
        <w:t>exemplary bands n256 and n255</w:t>
      </w:r>
      <w:r>
        <w:rPr>
          <w:rFonts w:eastAsia="宋体"/>
          <w:b/>
          <w:lang w:val="en-US" w:eastAsia="zh-CN"/>
        </w:rPr>
        <w:t xml:space="preserve"> can be considered in this WI for NR NTN HPUE feature.</w:t>
      </w:r>
    </w:p>
    <w:p w:rsidR="00BE4760" w:rsidRDefault="00BE4760" w:rsidP="00F00487">
      <w:pPr>
        <w:widowControl w:val="0"/>
        <w:overflowPunct/>
        <w:autoSpaceDE/>
        <w:autoSpaceDN/>
        <w:adjustRightInd/>
        <w:spacing w:after="0"/>
        <w:textAlignment w:val="auto"/>
        <w:rPr>
          <w:rFonts w:eastAsia="宋体"/>
          <w:lang w:val="en-US" w:eastAsia="zh-CN"/>
        </w:rPr>
      </w:pPr>
    </w:p>
    <w:p w:rsidR="00DF3764" w:rsidRDefault="00DF3764"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R</w:t>
      </w:r>
      <w:r>
        <w:rPr>
          <w:rFonts w:eastAsia="宋体"/>
          <w:lang w:val="en-US" w:eastAsia="zh-CN"/>
        </w:rPr>
        <w:t>eferring to the summary [2], the following observations can be found.</w:t>
      </w:r>
    </w:p>
    <w:p w:rsidR="00DF3764" w:rsidRDefault="00DF3764"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DF3764" w:rsidTr="00DF3764">
        <w:tc>
          <w:tcPr>
            <w:tcW w:w="9631" w:type="dxa"/>
          </w:tcPr>
          <w:p w:rsidR="00DF3764" w:rsidRDefault="00DF3764" w:rsidP="00DF3764">
            <w:pPr>
              <w:spacing w:before="180"/>
              <w:rPr>
                <w:b/>
                <w:lang w:val="en-US" w:eastAsia="zh-CN"/>
              </w:rPr>
            </w:pPr>
            <w:r>
              <w:rPr>
                <w:b/>
              </w:rPr>
              <w:t>Moderator’s observations:</w:t>
            </w:r>
          </w:p>
          <w:p w:rsidR="00DF3764" w:rsidRDefault="00DF3764" w:rsidP="00DF3764">
            <w:pPr>
              <w:pStyle w:val="aff0"/>
              <w:widowControl w:val="0"/>
              <w:numPr>
                <w:ilvl w:val="0"/>
                <w:numId w:val="37"/>
              </w:numPr>
              <w:ind w:firstLineChars="0"/>
              <w:rPr>
                <w:rFonts w:ascii="Times New Roman" w:hAnsi="Times New Roman" w:cs="Times New Roman"/>
                <w:sz w:val="20"/>
                <w:szCs w:val="20"/>
              </w:rPr>
            </w:pPr>
            <w:r>
              <w:rPr>
                <w:rFonts w:ascii="Times New Roman" w:hAnsi="Times New Roman" w:cs="Times New Roman"/>
                <w:sz w:val="20"/>
                <w:szCs w:val="20"/>
              </w:rPr>
              <w:t>Companies have different views on which power classes as well as the co-existence study and what UE form factors for each power should be considered in this WI. Based on the moderators’ observations, most companies can support PC2 for both handheld UE and non-handheld UE and PC1 for non-handheld UE.</w:t>
            </w:r>
          </w:p>
          <w:p w:rsidR="00DF3764" w:rsidRDefault="00DF3764" w:rsidP="00DF3764">
            <w:pPr>
              <w:pStyle w:val="aff0"/>
              <w:widowControl w:val="0"/>
              <w:numPr>
                <w:ilvl w:val="0"/>
                <w:numId w:val="37"/>
              </w:numPr>
              <w:ind w:firstLineChars="0"/>
              <w:rPr>
                <w:rFonts w:ascii="Times New Roman" w:hAnsi="Times New Roman" w:cs="Times New Roman"/>
                <w:sz w:val="20"/>
                <w:szCs w:val="20"/>
              </w:rPr>
            </w:pPr>
            <w:r>
              <w:rPr>
                <w:rFonts w:ascii="Times New Roman" w:hAnsi="Times New Roman" w:cs="Times New Roman"/>
                <w:sz w:val="20"/>
                <w:szCs w:val="20"/>
              </w:rPr>
              <w:t xml:space="preserve">To keep the reasonable workload, the frequency ranges need be down-selected and the example bands may also need be decided. Based on the moderators’ observations, quite a number of companies explicitly excluded FR2 and other companies did not clearly mention whether FR2 needs be considered.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the moderator proposed to focus on FR1, and maybe focus on the example bands with more adjacent bands or overlapping bands</w:t>
            </w:r>
          </w:p>
          <w:p w:rsidR="00DF3764" w:rsidRDefault="00DF3764" w:rsidP="00DF3764">
            <w:pPr>
              <w:pStyle w:val="aff0"/>
              <w:widowControl w:val="0"/>
              <w:numPr>
                <w:ilvl w:val="0"/>
                <w:numId w:val="37"/>
              </w:numPr>
              <w:spacing w:after="180"/>
              <w:ind w:firstLineChars="0"/>
              <w:rPr>
                <w:rFonts w:ascii="Times New Roman" w:hAnsi="Times New Roman" w:cs="Times New Roman"/>
                <w:sz w:val="20"/>
                <w:szCs w:val="20"/>
              </w:rPr>
            </w:pPr>
            <w:r>
              <w:rPr>
                <w:rFonts w:ascii="Times New Roman" w:hAnsi="Times New Roman" w:cs="Times New Roman"/>
                <w:sz w:val="20"/>
                <w:szCs w:val="20"/>
              </w:rPr>
              <w:t>Besides, the Rx requirements including MSD should also be specified in this WI.</w:t>
            </w:r>
          </w:p>
          <w:p w:rsidR="00DF3764" w:rsidRPr="00DF3764" w:rsidRDefault="00DF3764" w:rsidP="00F00487">
            <w:pPr>
              <w:widowControl w:val="0"/>
              <w:overflowPunct/>
              <w:autoSpaceDE/>
              <w:autoSpaceDN/>
              <w:adjustRightInd/>
              <w:spacing w:after="0"/>
              <w:textAlignment w:val="auto"/>
              <w:rPr>
                <w:rFonts w:eastAsia="宋体"/>
                <w:lang w:val="en-US" w:eastAsia="zh-CN"/>
              </w:rPr>
            </w:pPr>
          </w:p>
        </w:tc>
      </w:tr>
    </w:tbl>
    <w:p w:rsidR="00DF3764" w:rsidRDefault="00DF3764" w:rsidP="00F00487">
      <w:pPr>
        <w:widowControl w:val="0"/>
        <w:overflowPunct/>
        <w:autoSpaceDE/>
        <w:autoSpaceDN/>
        <w:adjustRightInd/>
        <w:spacing w:after="0"/>
        <w:textAlignment w:val="auto"/>
        <w:rPr>
          <w:rFonts w:eastAsia="宋体"/>
          <w:lang w:val="en-US" w:eastAsia="zh-CN"/>
        </w:rPr>
      </w:pPr>
    </w:p>
    <w:p w:rsidR="00DF3764" w:rsidRDefault="00DF3764"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C</w:t>
      </w:r>
      <w:r>
        <w:rPr>
          <w:rFonts w:eastAsia="宋体"/>
          <w:lang w:val="en-US" w:eastAsia="zh-CN"/>
        </w:rPr>
        <w:t>urrently, for FDD bands, only PC2</w:t>
      </w:r>
      <w:r w:rsidR="000B76ED">
        <w:rPr>
          <w:rFonts w:eastAsia="宋体"/>
          <w:lang w:val="en-US" w:eastAsia="zh-CN"/>
        </w:rPr>
        <w:t xml:space="preserve"> and PC3</w:t>
      </w:r>
      <w:r>
        <w:rPr>
          <w:rFonts w:eastAsia="宋体"/>
          <w:lang w:val="en-US" w:eastAsia="zh-CN"/>
        </w:rPr>
        <w:t xml:space="preserve"> w</w:t>
      </w:r>
      <w:r w:rsidR="000B76ED">
        <w:rPr>
          <w:rFonts w:eastAsia="宋体"/>
          <w:lang w:val="en-US" w:eastAsia="zh-CN"/>
        </w:rPr>
        <w:t>ere</w:t>
      </w:r>
      <w:r>
        <w:rPr>
          <w:rFonts w:eastAsia="宋体"/>
          <w:lang w:val="en-US" w:eastAsia="zh-CN"/>
        </w:rPr>
        <w:t xml:space="preserve"> specified in </w:t>
      </w:r>
      <w:r w:rsidR="000B76ED">
        <w:rPr>
          <w:rFonts w:eastAsia="宋体"/>
          <w:lang w:val="en-US" w:eastAsia="zh-CN"/>
        </w:rPr>
        <w:t xml:space="preserve">TS 38.101-1 considering handheld device. The RF component chains are premature to support the other power class higher than 26dBm in FDD bands. Thus, it’s better to focus on the PC2 for handheld HPUE in Rel-18. For non-handheld UE, if PC1 is agreeable to be considered, there is no need to specify lower power class for the </w:t>
      </w:r>
      <w:r w:rsidR="000B76ED" w:rsidRPr="000B76ED">
        <w:rPr>
          <w:rFonts w:eastAsia="宋体"/>
          <w:lang w:val="en-US" w:eastAsia="zh-CN"/>
        </w:rPr>
        <w:t>non-handheld UE</w:t>
      </w:r>
      <w:r w:rsidR="000B76ED">
        <w:rPr>
          <w:rFonts w:eastAsia="宋体"/>
          <w:lang w:val="en-US" w:eastAsia="zh-CN"/>
        </w:rPr>
        <w:t>.</w:t>
      </w:r>
    </w:p>
    <w:p w:rsidR="000B76ED" w:rsidRDefault="000B76ED" w:rsidP="00F00487">
      <w:pPr>
        <w:widowControl w:val="0"/>
        <w:overflowPunct/>
        <w:autoSpaceDE/>
        <w:autoSpaceDN/>
        <w:adjustRightInd/>
        <w:spacing w:after="0"/>
        <w:textAlignment w:val="auto"/>
        <w:rPr>
          <w:rFonts w:eastAsia="宋体"/>
          <w:lang w:val="en-US" w:eastAsia="zh-CN"/>
        </w:rPr>
      </w:pPr>
    </w:p>
    <w:p w:rsidR="00DF3764" w:rsidRDefault="000B76ED" w:rsidP="00F0048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 xml:space="preserve">2: considering the workloads, UE implementation and demands, </w:t>
      </w:r>
      <w:r w:rsidR="006C3EB8">
        <w:rPr>
          <w:rFonts w:eastAsia="宋体"/>
          <w:b/>
          <w:lang w:val="en-US" w:eastAsia="zh-CN"/>
        </w:rPr>
        <w:t>we can specify PC2 for handheld/</w:t>
      </w:r>
      <w:bookmarkStart w:id="5" w:name="_Hlk172908680"/>
      <w:r w:rsidR="006C3EB8">
        <w:rPr>
          <w:rFonts w:eastAsia="宋体"/>
          <w:b/>
          <w:lang w:val="en-US" w:eastAsia="zh-CN"/>
        </w:rPr>
        <w:t>non-handheld UE</w:t>
      </w:r>
      <w:bookmarkEnd w:id="5"/>
      <w:r w:rsidR="006C3EB8">
        <w:rPr>
          <w:rFonts w:eastAsia="宋体"/>
          <w:b/>
          <w:lang w:val="en-US" w:eastAsia="zh-CN"/>
        </w:rPr>
        <w:t xml:space="preserve"> and PC1 for </w:t>
      </w:r>
      <w:r w:rsidR="006C3EB8" w:rsidRPr="006C3EB8">
        <w:rPr>
          <w:rFonts w:eastAsia="宋体"/>
          <w:b/>
          <w:lang w:val="en-US" w:eastAsia="zh-CN"/>
        </w:rPr>
        <w:t>non-handheld UE</w:t>
      </w:r>
      <w:r w:rsidR="006C3EB8">
        <w:rPr>
          <w:rFonts w:eastAsia="宋体"/>
          <w:b/>
          <w:lang w:val="en-US" w:eastAsia="zh-CN"/>
        </w:rPr>
        <w:t xml:space="preserve"> in Rel-18.</w:t>
      </w:r>
    </w:p>
    <w:p w:rsidR="00DF3764" w:rsidRDefault="00DF3764" w:rsidP="00F00487">
      <w:pPr>
        <w:widowControl w:val="0"/>
        <w:overflowPunct/>
        <w:autoSpaceDE/>
        <w:autoSpaceDN/>
        <w:adjustRightInd/>
        <w:spacing w:after="0"/>
        <w:textAlignment w:val="auto"/>
        <w:rPr>
          <w:rFonts w:eastAsia="宋体"/>
          <w:lang w:val="en-US" w:eastAsia="zh-CN"/>
        </w:rPr>
      </w:pPr>
    </w:p>
    <w:p w:rsidR="000D1B0B" w:rsidRDefault="000D1B0B" w:rsidP="00C82CC0">
      <w:pPr>
        <w:pStyle w:val="1"/>
        <w:rPr>
          <w:lang w:eastAsia="zh-CN"/>
        </w:rPr>
      </w:pPr>
      <w:r>
        <w:rPr>
          <w:rFonts w:eastAsiaTheme="minorEastAsia" w:hint="eastAsia"/>
          <w:lang w:eastAsia="zh-CN"/>
        </w:rPr>
        <w:t>T</w:t>
      </w:r>
      <w:r>
        <w:rPr>
          <w:rFonts w:eastAsiaTheme="minorEastAsia"/>
          <w:lang w:eastAsia="zh-CN"/>
        </w:rPr>
        <w:t>x requirements</w:t>
      </w:r>
    </w:p>
    <w:p w:rsidR="00C82CC0" w:rsidRPr="000D1B0B" w:rsidRDefault="000D1B0B" w:rsidP="000D1B0B">
      <w:pPr>
        <w:widowControl w:val="0"/>
        <w:rPr>
          <w:rFonts w:eastAsia="宋体"/>
          <w:b/>
        </w:rPr>
      </w:pPr>
      <w:r w:rsidRPr="000D1B0B">
        <w:rPr>
          <w:rFonts w:eastAsia="宋体"/>
          <w:b/>
          <w:lang w:val="en-US" w:eastAsia="zh-CN"/>
        </w:rPr>
        <w:t>1)</w:t>
      </w:r>
      <w:r w:rsidRPr="000D1B0B">
        <w:rPr>
          <w:rFonts w:eastAsia="宋体"/>
          <w:b/>
        </w:rPr>
        <w:t xml:space="preserve"> </w:t>
      </w:r>
      <w:r w:rsidR="006C3EB8" w:rsidRPr="000D1B0B">
        <w:rPr>
          <w:rFonts w:eastAsia="宋体"/>
          <w:b/>
        </w:rPr>
        <w:t>PC2 UE architecture</w:t>
      </w:r>
    </w:p>
    <w:p w:rsidR="006C3EB8" w:rsidRDefault="006C3EB8"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TS 38.101-1, there are two UE RF architectures, i.e. </w:t>
      </w:r>
      <w:r w:rsidR="00297AD9">
        <w:rPr>
          <w:rFonts w:eastAsia="宋体"/>
          <w:lang w:val="en-US" w:eastAsia="zh-CN"/>
        </w:rPr>
        <w:t>one</w:t>
      </w:r>
      <w:r>
        <w:rPr>
          <w:rFonts w:eastAsia="宋体"/>
          <w:lang w:val="en-US" w:eastAsia="zh-CN"/>
        </w:rPr>
        <w:t xml:space="preserve"> Tx RF architecture and Dual Tx RF architecture. For NR NTN PC2 UE, the </w:t>
      </w:r>
      <w:r w:rsidR="00297AD9">
        <w:rPr>
          <w:rFonts w:eastAsia="宋体"/>
          <w:lang w:val="en-US" w:eastAsia="zh-CN"/>
        </w:rPr>
        <w:t>similar RF architectures can be reused.</w:t>
      </w:r>
    </w:p>
    <w:p w:rsidR="00297AD9" w:rsidRDefault="00297AD9" w:rsidP="00F00487">
      <w:pPr>
        <w:widowControl w:val="0"/>
        <w:overflowPunct/>
        <w:autoSpaceDE/>
        <w:autoSpaceDN/>
        <w:adjustRightInd/>
        <w:spacing w:after="0"/>
        <w:textAlignment w:val="auto"/>
        <w:rPr>
          <w:rFonts w:eastAsia="宋体"/>
          <w:lang w:val="en-US" w:eastAsia="zh-CN"/>
        </w:rPr>
      </w:pPr>
    </w:p>
    <w:p w:rsidR="00297AD9" w:rsidRDefault="00297AD9" w:rsidP="00F0048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 xml:space="preserve">3: </w:t>
      </w:r>
      <w:r w:rsidRPr="00297AD9">
        <w:rPr>
          <w:rFonts w:eastAsia="宋体"/>
          <w:b/>
          <w:lang w:val="en-US" w:eastAsia="zh-CN"/>
        </w:rPr>
        <w:t>one Tx RF architecture and Dual Tx RF architecture</w:t>
      </w:r>
      <w:r>
        <w:rPr>
          <w:rFonts w:eastAsia="宋体"/>
          <w:b/>
          <w:lang w:val="en-US" w:eastAsia="zh-CN"/>
        </w:rPr>
        <w:t xml:space="preserve"> can be reused for NR NTN PC2 UE.</w:t>
      </w:r>
    </w:p>
    <w:p w:rsidR="006C3EB8" w:rsidRDefault="006C3EB8" w:rsidP="00F00487">
      <w:pPr>
        <w:widowControl w:val="0"/>
        <w:overflowPunct/>
        <w:autoSpaceDE/>
        <w:autoSpaceDN/>
        <w:adjustRightInd/>
        <w:spacing w:after="0"/>
        <w:textAlignment w:val="auto"/>
        <w:rPr>
          <w:rFonts w:eastAsia="宋体"/>
          <w:lang w:val="en-US" w:eastAsia="zh-CN"/>
        </w:rPr>
      </w:pPr>
    </w:p>
    <w:p w:rsidR="006C3EB8" w:rsidRDefault="006C3EB8" w:rsidP="00F00487">
      <w:pPr>
        <w:widowControl w:val="0"/>
        <w:overflowPunct/>
        <w:autoSpaceDE/>
        <w:autoSpaceDN/>
        <w:adjustRightInd/>
        <w:spacing w:after="0"/>
        <w:textAlignment w:val="auto"/>
        <w:rPr>
          <w:rFonts w:eastAsia="宋体"/>
          <w:lang w:val="en-US" w:eastAsia="zh-CN"/>
        </w:rPr>
      </w:pPr>
    </w:p>
    <w:p w:rsidR="00D943AE" w:rsidRPr="000D1B0B" w:rsidRDefault="00D943AE" w:rsidP="00D943AE">
      <w:pPr>
        <w:widowControl w:val="0"/>
        <w:rPr>
          <w:rFonts w:eastAsia="宋体"/>
          <w:b/>
        </w:rPr>
      </w:pPr>
      <w:r>
        <w:rPr>
          <w:rFonts w:eastAsia="宋体"/>
          <w:b/>
          <w:lang w:val="en-US" w:eastAsia="zh-CN"/>
        </w:rPr>
        <w:t>2</w:t>
      </w:r>
      <w:r w:rsidRPr="000D1B0B">
        <w:rPr>
          <w:rFonts w:eastAsia="宋体"/>
          <w:b/>
          <w:lang w:val="en-US" w:eastAsia="zh-CN"/>
        </w:rPr>
        <w:t>)</w:t>
      </w:r>
      <w:r w:rsidRPr="000D1B0B">
        <w:rPr>
          <w:rFonts w:eastAsia="宋体"/>
          <w:b/>
        </w:rPr>
        <w:t xml:space="preserve"> </w:t>
      </w:r>
      <w:r>
        <w:rPr>
          <w:rFonts w:eastAsia="宋体"/>
          <w:b/>
        </w:rPr>
        <w:t>ACLR requirements</w:t>
      </w:r>
    </w:p>
    <w:p w:rsidR="00D943AE" w:rsidRDefault="00D943AE" w:rsidP="00F00487">
      <w:pPr>
        <w:widowControl w:val="0"/>
        <w:overflowPunct/>
        <w:autoSpaceDE/>
        <w:autoSpaceDN/>
        <w:adjustRightInd/>
        <w:spacing w:after="0"/>
        <w:textAlignment w:val="auto"/>
        <w:rPr>
          <w:rFonts w:eastAsia="宋体"/>
          <w:lang w:val="en-US" w:eastAsia="zh-CN"/>
        </w:rPr>
      </w:pPr>
      <w:r>
        <w:rPr>
          <w:rFonts w:eastAsia="宋体"/>
          <w:lang w:val="en-US" w:eastAsia="zh-CN"/>
        </w:rPr>
        <w:t>This requirement depends on the outcome of coexistence study. But from UE perspective, the higher ACLR requirement is, more power will be consumed. As NTN UE is always transmitting higher power due to the limited link budget, it is better to balance the UE power consumption and ACLR requirements.</w:t>
      </w:r>
    </w:p>
    <w:p w:rsidR="00D943AE" w:rsidRDefault="00D943AE" w:rsidP="00F00487">
      <w:pPr>
        <w:widowControl w:val="0"/>
        <w:overflowPunct/>
        <w:autoSpaceDE/>
        <w:autoSpaceDN/>
        <w:adjustRightInd/>
        <w:spacing w:after="0"/>
        <w:textAlignment w:val="auto"/>
        <w:rPr>
          <w:rFonts w:eastAsia="宋体"/>
          <w:lang w:val="en-US" w:eastAsia="zh-CN"/>
        </w:rPr>
      </w:pPr>
    </w:p>
    <w:p w:rsidR="00D943AE" w:rsidRPr="000D1B0B" w:rsidRDefault="00D943AE" w:rsidP="00D943AE">
      <w:pPr>
        <w:widowControl w:val="0"/>
        <w:rPr>
          <w:rFonts w:eastAsia="宋体"/>
          <w:b/>
        </w:rPr>
      </w:pPr>
      <w:r>
        <w:rPr>
          <w:rFonts w:eastAsia="宋体"/>
          <w:b/>
          <w:lang w:val="en-US" w:eastAsia="zh-CN"/>
        </w:rPr>
        <w:t>3</w:t>
      </w:r>
      <w:r w:rsidRPr="000D1B0B">
        <w:rPr>
          <w:rFonts w:eastAsia="宋体"/>
          <w:b/>
          <w:lang w:val="en-US" w:eastAsia="zh-CN"/>
        </w:rPr>
        <w:t>)</w:t>
      </w:r>
      <w:r w:rsidRPr="000D1B0B">
        <w:rPr>
          <w:rFonts w:eastAsia="宋体"/>
          <w:b/>
        </w:rPr>
        <w:t xml:space="preserve"> </w:t>
      </w:r>
      <w:r>
        <w:rPr>
          <w:rFonts w:eastAsia="宋体"/>
          <w:b/>
        </w:rPr>
        <w:t>SAR</w:t>
      </w:r>
    </w:p>
    <w:p w:rsidR="00D943AE" w:rsidRDefault="00BB351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C</w:t>
      </w:r>
      <w:r>
        <w:rPr>
          <w:rFonts w:eastAsia="宋体"/>
          <w:lang w:val="en-US" w:eastAsia="zh-CN"/>
        </w:rPr>
        <w:t xml:space="preserve">urrently, there are two methods to solve </w:t>
      </w:r>
      <w:r w:rsidR="00A5471E">
        <w:rPr>
          <w:rFonts w:eastAsia="宋体"/>
          <w:lang w:val="en-US" w:eastAsia="zh-CN"/>
        </w:rPr>
        <w:t xml:space="preserve">SAR issue in the TS 38.101-1. One is the P-MPR solution, and the other is the duty cycle solution. However, for NR NTN UE, different characteristics can be observed. </w:t>
      </w:r>
      <w:r w:rsidR="00B35378">
        <w:rPr>
          <w:rFonts w:eastAsia="宋体"/>
          <w:lang w:val="en-US" w:eastAsia="zh-CN"/>
        </w:rPr>
        <w:t xml:space="preserve">It’s well known that </w:t>
      </w:r>
      <w:r w:rsidR="00E15694">
        <w:rPr>
          <w:rFonts w:eastAsia="宋体"/>
          <w:lang w:val="en-US" w:eastAsia="zh-CN"/>
        </w:rPr>
        <w:t>the UL coverage is the bottleneck of satellite communication scenario and the system is very sensitive to the UE transmitter power reduction. Thus, the P-MPR solution is not very friendly to NTN UE.</w:t>
      </w:r>
      <w:r w:rsidR="00B35378">
        <w:rPr>
          <w:rFonts w:eastAsia="宋体"/>
          <w:lang w:val="en-US" w:eastAsia="zh-CN"/>
        </w:rPr>
        <w:t xml:space="preserve"> </w:t>
      </w:r>
      <w:r w:rsidR="00A62123">
        <w:rPr>
          <w:rFonts w:eastAsia="宋体"/>
          <w:lang w:val="en-US" w:eastAsia="zh-CN"/>
        </w:rPr>
        <w:t xml:space="preserve">For FDD bands, there is no fixed </w:t>
      </w:r>
      <w:r w:rsidR="00724D78">
        <w:rPr>
          <w:rFonts w:eastAsia="宋体"/>
          <w:lang w:val="en-US" w:eastAsia="zh-CN"/>
        </w:rPr>
        <w:t>UL/DL</w:t>
      </w:r>
      <w:r w:rsidR="00A62123">
        <w:rPr>
          <w:rFonts w:eastAsia="宋体"/>
          <w:lang w:val="en-US" w:eastAsia="zh-CN"/>
        </w:rPr>
        <w:t xml:space="preserve"> pattern, </w:t>
      </w:r>
      <w:r w:rsidR="00724D78">
        <w:rPr>
          <w:rFonts w:eastAsia="宋体"/>
          <w:lang w:val="en-US" w:eastAsia="zh-CN"/>
        </w:rPr>
        <w:t xml:space="preserve">so there is no accurate duty cycle concept in FDD deployment. </w:t>
      </w:r>
      <w:r w:rsidR="0028736A">
        <w:rPr>
          <w:rFonts w:eastAsia="宋体"/>
          <w:lang w:val="en-US" w:eastAsia="zh-CN"/>
        </w:rPr>
        <w:t>It’s necessary to study the additional method to guarantee the SAR compliance without additional power reduction.</w:t>
      </w:r>
    </w:p>
    <w:p w:rsidR="0028736A" w:rsidRDefault="0028736A" w:rsidP="00F00487">
      <w:pPr>
        <w:widowControl w:val="0"/>
        <w:overflowPunct/>
        <w:autoSpaceDE/>
        <w:autoSpaceDN/>
        <w:adjustRightInd/>
        <w:spacing w:after="0"/>
        <w:textAlignment w:val="auto"/>
        <w:rPr>
          <w:rFonts w:eastAsia="宋体"/>
          <w:lang w:val="en-US" w:eastAsia="zh-CN"/>
        </w:rPr>
      </w:pPr>
    </w:p>
    <w:p w:rsidR="00C02CA2" w:rsidRPr="00C02CA2" w:rsidRDefault="00C02CA2" w:rsidP="00C02CA2">
      <w:pPr>
        <w:widowControl w:val="0"/>
        <w:overflowPunct/>
        <w:autoSpaceDE/>
        <w:autoSpaceDN/>
        <w:adjustRightInd/>
        <w:spacing w:after="0"/>
        <w:textAlignment w:val="auto"/>
        <w:rPr>
          <w:rFonts w:eastAsia="宋体"/>
          <w:lang w:val="en-US" w:eastAsia="zh-CN"/>
        </w:rPr>
      </w:pPr>
      <w:r w:rsidRPr="00C02CA2">
        <w:rPr>
          <w:rFonts w:eastAsia="宋体"/>
          <w:lang w:val="en-US" w:eastAsia="zh-CN"/>
        </w:rPr>
        <w:t xml:space="preserve">Unlike TDD frame, FDD frame is not restricted by the uplink-downlink configuration. Specifically, as long as the UL transmission percentage does not exceed a threshold within several minutes based on SAR restriction, the requirement </w:t>
      </w:r>
      <w:r w:rsidRPr="00C02CA2">
        <w:rPr>
          <w:rFonts w:eastAsia="宋体"/>
          <w:lang w:val="en-US" w:eastAsia="zh-CN"/>
        </w:rPr>
        <w:lastRenderedPageBreak/>
        <w:t xml:space="preserve">can be satisfied. Therefore, to optimize the UL capacity while satisfying the SAR restriction, it is possible to allow the UE to transmit continuously with high power for longer time than that in TDD. </w:t>
      </w:r>
    </w:p>
    <w:p w:rsidR="00D943AE" w:rsidRDefault="00C02CA2" w:rsidP="00C02CA2">
      <w:pPr>
        <w:widowControl w:val="0"/>
        <w:overflowPunct/>
        <w:autoSpaceDE/>
        <w:autoSpaceDN/>
        <w:adjustRightInd/>
        <w:spacing w:after="0"/>
        <w:textAlignment w:val="auto"/>
        <w:rPr>
          <w:rFonts w:eastAsia="宋体"/>
          <w:lang w:val="en-US" w:eastAsia="zh-CN"/>
        </w:rPr>
      </w:pPr>
      <w:r w:rsidRPr="00C02CA2">
        <w:rPr>
          <w:rFonts w:eastAsia="宋体"/>
          <w:lang w:val="en-US" w:eastAsia="zh-CN"/>
        </w:rPr>
        <w:t xml:space="preserve">The mechanism to support flexible scheduling in a longer duration in FDD should be further discussed in working groups. Introducing too much complexity at the </w:t>
      </w:r>
      <w:proofErr w:type="spellStart"/>
      <w:r w:rsidRPr="00C02CA2">
        <w:rPr>
          <w:rFonts w:eastAsia="宋体"/>
          <w:lang w:val="en-US" w:eastAsia="zh-CN"/>
        </w:rPr>
        <w:t>gNB</w:t>
      </w:r>
      <w:proofErr w:type="spellEnd"/>
      <w:r w:rsidRPr="00C02CA2">
        <w:rPr>
          <w:rFonts w:eastAsia="宋体"/>
          <w:lang w:val="en-US" w:eastAsia="zh-CN"/>
        </w:rPr>
        <w:t xml:space="preserve"> side, e. g. counting each UE’s UL percentage within a </w:t>
      </w:r>
      <w:proofErr w:type="gramStart"/>
      <w:r w:rsidRPr="00C02CA2">
        <w:rPr>
          <w:rFonts w:eastAsia="宋体"/>
          <w:lang w:val="en-US" w:eastAsia="zh-CN"/>
        </w:rPr>
        <w:t>long time</w:t>
      </w:r>
      <w:proofErr w:type="gramEnd"/>
      <w:r w:rsidRPr="00C02CA2">
        <w:rPr>
          <w:rFonts w:eastAsia="宋体"/>
          <w:lang w:val="en-US" w:eastAsia="zh-CN"/>
        </w:rPr>
        <w:t xml:space="preserve"> span, is not preferred. As a simple candidate solution for PC1 UE with 31dBm Tx power, which could only have 1/8 UL transmission ratio within the statistics period of SAR requirement, UL transmission pattern can be considered to be configured for UEs. Other enhancements for HPUE, including PC 2 UEs, should be further studied and specified to support flexible scheduling in a longer duration while avoid introducing too much complexity at the </w:t>
      </w:r>
      <w:proofErr w:type="spellStart"/>
      <w:r w:rsidRPr="00C02CA2">
        <w:rPr>
          <w:rFonts w:eastAsia="宋体"/>
          <w:lang w:val="en-US" w:eastAsia="zh-CN"/>
        </w:rPr>
        <w:t>gNB</w:t>
      </w:r>
      <w:proofErr w:type="spellEnd"/>
      <w:r w:rsidRPr="00C02CA2">
        <w:rPr>
          <w:rFonts w:eastAsia="宋体"/>
          <w:lang w:val="en-US" w:eastAsia="zh-CN"/>
        </w:rPr>
        <w:t xml:space="preserve"> side.</w:t>
      </w:r>
    </w:p>
    <w:p w:rsidR="009B3708" w:rsidRDefault="009B3708" w:rsidP="00C02CA2">
      <w:pPr>
        <w:widowControl w:val="0"/>
        <w:overflowPunct/>
        <w:autoSpaceDE/>
        <w:autoSpaceDN/>
        <w:adjustRightInd/>
        <w:spacing w:after="0"/>
        <w:textAlignment w:val="auto"/>
        <w:rPr>
          <w:rFonts w:eastAsia="宋体"/>
          <w:lang w:val="en-US" w:eastAsia="zh-CN"/>
        </w:rPr>
      </w:pPr>
    </w:p>
    <w:p w:rsidR="009B3708" w:rsidRDefault="009B3708" w:rsidP="00C02CA2">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 xml:space="preserve">4: </w:t>
      </w:r>
      <w:r w:rsidRPr="009B3708">
        <w:rPr>
          <w:rFonts w:eastAsia="宋体"/>
          <w:b/>
          <w:lang w:val="en-US" w:eastAsia="zh-CN"/>
        </w:rPr>
        <w:t>The mechanism to support flexible scheduling in a longer duration in FDD can be considered as a SAR solution.</w:t>
      </w:r>
    </w:p>
    <w:p w:rsidR="00D943AE" w:rsidRDefault="00D943AE" w:rsidP="00F00487">
      <w:pPr>
        <w:widowControl w:val="0"/>
        <w:overflowPunct/>
        <w:autoSpaceDE/>
        <w:autoSpaceDN/>
        <w:adjustRightInd/>
        <w:spacing w:after="0"/>
        <w:textAlignment w:val="auto"/>
        <w:rPr>
          <w:rFonts w:eastAsia="宋体"/>
          <w:lang w:val="en-US" w:eastAsia="zh-CN"/>
        </w:rPr>
      </w:pP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CD57A7" w:rsidRDefault="00CD57A7" w:rsidP="00CD57A7">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If more power classes and operating bands are included in this WI, the workloads will be increased dramatically, especially for simulation works.</w:t>
      </w:r>
    </w:p>
    <w:p w:rsidR="00CD57A7" w:rsidRDefault="00CD57A7" w:rsidP="00CD57A7">
      <w:pPr>
        <w:widowControl w:val="0"/>
        <w:overflowPunct/>
        <w:autoSpaceDE/>
        <w:autoSpaceDN/>
        <w:adjustRightInd/>
        <w:spacing w:after="0"/>
        <w:textAlignment w:val="auto"/>
        <w:rPr>
          <w:rFonts w:eastAsia="宋体"/>
          <w:lang w:val="en-US" w:eastAsia="zh-CN"/>
        </w:rPr>
      </w:pPr>
    </w:p>
    <w:p w:rsidR="00CD57A7" w:rsidRDefault="00CD57A7" w:rsidP="00CD57A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Proposal 1:</w:t>
      </w:r>
      <w:r>
        <w:rPr>
          <w:rFonts w:eastAsia="宋体"/>
          <w:b/>
          <w:lang w:val="en-US" w:eastAsia="zh-CN"/>
        </w:rPr>
        <w:t xml:space="preserve"> based on the WID, </w:t>
      </w:r>
      <w:r w:rsidRPr="00C82CC0">
        <w:rPr>
          <w:rFonts w:eastAsia="宋体"/>
          <w:b/>
          <w:lang w:val="en-US" w:eastAsia="zh-CN"/>
        </w:rPr>
        <w:t>exemplary bands n256 and n255</w:t>
      </w:r>
      <w:r>
        <w:rPr>
          <w:rFonts w:eastAsia="宋体"/>
          <w:b/>
          <w:lang w:val="en-US" w:eastAsia="zh-CN"/>
        </w:rPr>
        <w:t xml:space="preserve"> can be considered in this WI for NR NTN HPUE feature.</w:t>
      </w:r>
    </w:p>
    <w:p w:rsidR="00CD57A7" w:rsidRDefault="00CD57A7" w:rsidP="00CD57A7">
      <w:pPr>
        <w:widowControl w:val="0"/>
        <w:overflowPunct/>
        <w:autoSpaceDE/>
        <w:autoSpaceDN/>
        <w:adjustRightInd/>
        <w:spacing w:after="0"/>
        <w:textAlignment w:val="auto"/>
        <w:rPr>
          <w:rFonts w:eastAsia="宋体"/>
          <w:lang w:val="en-US" w:eastAsia="zh-CN"/>
        </w:rPr>
      </w:pPr>
    </w:p>
    <w:p w:rsidR="00CD57A7" w:rsidRDefault="00CD57A7" w:rsidP="00CD57A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 xml:space="preserve">2: considering the workloads, UE implementation and demands, we can specify PC2 for handheld/non-handheld UE and PC1 for </w:t>
      </w:r>
      <w:r w:rsidRPr="006C3EB8">
        <w:rPr>
          <w:rFonts w:eastAsia="宋体"/>
          <w:b/>
          <w:lang w:val="en-US" w:eastAsia="zh-CN"/>
        </w:rPr>
        <w:t>non-handheld UE</w:t>
      </w:r>
      <w:r>
        <w:rPr>
          <w:rFonts w:eastAsia="宋体"/>
          <w:b/>
          <w:lang w:val="en-US" w:eastAsia="zh-CN"/>
        </w:rPr>
        <w:t xml:space="preserve"> in Rel-18.</w:t>
      </w:r>
    </w:p>
    <w:p w:rsidR="0007299B" w:rsidRDefault="0007299B" w:rsidP="008C5F47">
      <w:pPr>
        <w:rPr>
          <w:rFonts w:eastAsia="宋体"/>
          <w:b/>
          <w:lang w:val="en-US" w:eastAsia="zh-CN"/>
        </w:rPr>
      </w:pPr>
    </w:p>
    <w:p w:rsidR="00CD57A7" w:rsidRDefault="00CD57A7" w:rsidP="00CD57A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 xml:space="preserve">3: </w:t>
      </w:r>
      <w:r w:rsidRPr="00297AD9">
        <w:rPr>
          <w:rFonts w:eastAsia="宋体"/>
          <w:b/>
          <w:lang w:val="en-US" w:eastAsia="zh-CN"/>
        </w:rPr>
        <w:t>one Tx RF architecture and Dual Tx RF architecture</w:t>
      </w:r>
      <w:r>
        <w:rPr>
          <w:rFonts w:eastAsia="宋体"/>
          <w:b/>
          <w:lang w:val="en-US" w:eastAsia="zh-CN"/>
        </w:rPr>
        <w:t xml:space="preserve"> can be reused for NR NTN PC2 UE.</w:t>
      </w:r>
    </w:p>
    <w:p w:rsidR="00CD57A7" w:rsidRDefault="00CD57A7" w:rsidP="008C5F47">
      <w:pPr>
        <w:rPr>
          <w:rFonts w:eastAsia="宋体"/>
          <w:b/>
          <w:lang w:val="en-US" w:eastAsia="zh-CN"/>
        </w:rPr>
      </w:pPr>
    </w:p>
    <w:p w:rsidR="00CD57A7" w:rsidRDefault="00CD57A7" w:rsidP="00CD57A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 xml:space="preserve">4: </w:t>
      </w:r>
      <w:r w:rsidRPr="009B3708">
        <w:rPr>
          <w:rFonts w:eastAsia="宋体"/>
          <w:b/>
          <w:lang w:val="en-US" w:eastAsia="zh-CN"/>
        </w:rPr>
        <w:t>The mechanism to support flexible scheduling in a longer duration in FDD can be considered as a SAR solution.</w:t>
      </w:r>
    </w:p>
    <w:p w:rsidR="00CD57A7" w:rsidRDefault="00CD57A7"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B755E6" w:rsidP="00B87776">
      <w:pPr>
        <w:overflowPunct/>
        <w:autoSpaceDE/>
        <w:autoSpaceDN/>
        <w:adjustRightInd/>
        <w:textAlignment w:val="auto"/>
        <w:rPr>
          <w:rFonts w:eastAsia="宋体"/>
          <w:lang w:eastAsia="zh-CN"/>
        </w:rPr>
      </w:pPr>
      <w:r>
        <w:rPr>
          <w:rFonts w:eastAsia="宋体"/>
          <w:lang w:eastAsia="zh-CN"/>
        </w:rPr>
        <w:t xml:space="preserve">[1] </w:t>
      </w:r>
      <w:r w:rsidR="00BE4760" w:rsidRPr="00BE4760">
        <w:rPr>
          <w:rFonts w:eastAsia="宋体"/>
          <w:lang w:eastAsia="zh-CN"/>
        </w:rPr>
        <w:t>RP-2408</w:t>
      </w:r>
      <w:r w:rsidR="001611B3">
        <w:rPr>
          <w:rFonts w:eastAsia="宋体"/>
          <w:lang w:eastAsia="zh-CN"/>
        </w:rPr>
        <w:t>57</w:t>
      </w:r>
      <w:r w:rsidR="001C1091">
        <w:rPr>
          <w:rFonts w:eastAsia="宋体"/>
          <w:lang w:eastAsia="zh-CN"/>
        </w:rPr>
        <w:t xml:space="preserve">, </w:t>
      </w:r>
      <w:r w:rsidR="00BE4760" w:rsidRPr="00BE4760">
        <w:rPr>
          <w:rFonts w:eastAsia="宋体"/>
          <w:lang w:eastAsia="zh-CN"/>
        </w:rPr>
        <w:t>New WID: Enhanced requirements and test methodology for NR and IoT NTN</w:t>
      </w:r>
      <w:r w:rsidR="00BE4760">
        <w:rPr>
          <w:rFonts w:eastAsia="宋体"/>
          <w:lang w:eastAsia="zh-CN"/>
        </w:rPr>
        <w:t xml:space="preserve">, </w:t>
      </w:r>
      <w:r w:rsidR="00BE4760" w:rsidRPr="00BE4760">
        <w:rPr>
          <w:rFonts w:eastAsia="宋体"/>
          <w:lang w:eastAsia="zh-CN"/>
        </w:rPr>
        <w:t>RAN4 chair (Huawei)</w:t>
      </w:r>
    </w:p>
    <w:p w:rsidR="00BE4760" w:rsidRDefault="00DF3764"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F3764">
        <w:rPr>
          <w:rFonts w:eastAsia="宋体"/>
          <w:lang w:eastAsia="zh-CN"/>
        </w:rPr>
        <w:t>RP-240711</w:t>
      </w:r>
      <w:r>
        <w:rPr>
          <w:rFonts w:eastAsia="宋体"/>
          <w:lang w:eastAsia="zh-CN"/>
        </w:rPr>
        <w:t xml:space="preserve">, </w:t>
      </w:r>
      <w:r w:rsidRPr="00DF3764">
        <w:rPr>
          <w:rFonts w:eastAsia="宋体"/>
          <w:lang w:eastAsia="zh-CN"/>
        </w:rPr>
        <w:t>Moderator's summary for discussion on NTN evolution in RAN4</w:t>
      </w:r>
      <w:r>
        <w:rPr>
          <w:rFonts w:eastAsia="宋体"/>
          <w:lang w:eastAsia="zh-CN"/>
        </w:rPr>
        <w:t xml:space="preserve">, </w:t>
      </w:r>
      <w:r w:rsidRPr="00DF3764">
        <w:rPr>
          <w:rFonts w:eastAsia="宋体"/>
          <w:lang w:eastAsia="zh-CN"/>
        </w:rPr>
        <w:t>RAN4 chair (Huawei)</w:t>
      </w:r>
    </w:p>
    <w:p w:rsidR="003204E7" w:rsidRPr="003204E7" w:rsidRDefault="003204E7" w:rsidP="00565571">
      <w:pPr>
        <w:overflowPunct/>
        <w:autoSpaceDE/>
        <w:autoSpaceDN/>
        <w:adjustRightInd/>
        <w:textAlignment w:val="auto"/>
        <w:rPr>
          <w:rFonts w:eastAsia="宋体"/>
          <w:lang w:eastAsia="zh-CN"/>
        </w:rPr>
      </w:pPr>
    </w:p>
    <w:sectPr w:rsidR="003204E7"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BD1" w:rsidRDefault="00114BD1">
      <w:r>
        <w:separator/>
      </w:r>
    </w:p>
  </w:endnote>
  <w:endnote w:type="continuationSeparator" w:id="0">
    <w:p w:rsidR="00114BD1" w:rsidRDefault="0011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BD1" w:rsidRDefault="00114BD1">
      <w:r>
        <w:separator/>
      </w:r>
    </w:p>
  </w:footnote>
  <w:footnote w:type="continuationSeparator" w:id="0">
    <w:p w:rsidR="00114BD1" w:rsidRDefault="00114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4"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1"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17"/>
  </w:num>
  <w:num w:numId="4">
    <w:abstractNumId w:val="29"/>
  </w:num>
  <w:num w:numId="5">
    <w:abstractNumId w:val="3"/>
  </w:num>
  <w:num w:numId="6">
    <w:abstractNumId w:val="24"/>
  </w:num>
  <w:num w:numId="7">
    <w:abstractNumId w:val="23"/>
  </w:num>
  <w:num w:numId="8">
    <w:abstractNumId w:val="12"/>
  </w:num>
  <w:num w:numId="9">
    <w:abstractNumId w:val="27"/>
  </w:num>
  <w:num w:numId="10">
    <w:abstractNumId w:val="0"/>
  </w:num>
  <w:num w:numId="11">
    <w:abstractNumId w:val="21"/>
  </w:num>
  <w:num w:numId="12">
    <w:abstractNumId w:val="14"/>
  </w:num>
  <w:num w:numId="13">
    <w:abstractNumId w:val="18"/>
  </w:num>
  <w:num w:numId="14">
    <w:abstractNumId w:val="8"/>
  </w:num>
  <w:num w:numId="15">
    <w:abstractNumId w:val="21"/>
  </w:num>
  <w:num w:numId="16">
    <w:abstractNumId w:val="11"/>
  </w:num>
  <w:num w:numId="17">
    <w:abstractNumId w:val="16"/>
  </w:num>
  <w:num w:numId="18">
    <w:abstractNumId w:val="32"/>
  </w:num>
  <w:num w:numId="19">
    <w:abstractNumId w:val="19"/>
  </w:num>
  <w:num w:numId="20">
    <w:abstractNumId w:val="22"/>
  </w:num>
  <w:num w:numId="21">
    <w:abstractNumId w:val="9"/>
  </w:num>
  <w:num w:numId="22">
    <w:abstractNumId w:val="20"/>
  </w:num>
  <w:num w:numId="23">
    <w:abstractNumId w:val="9"/>
  </w:num>
  <w:num w:numId="24">
    <w:abstractNumId w:val="13"/>
  </w:num>
  <w:num w:numId="25">
    <w:abstractNumId w:val="25"/>
  </w:num>
  <w:num w:numId="26">
    <w:abstractNumId w:val="9"/>
  </w:num>
  <w:num w:numId="27">
    <w:abstractNumId w:val="9"/>
  </w:num>
  <w:num w:numId="28">
    <w:abstractNumId w:val="9"/>
  </w:num>
  <w:num w:numId="29">
    <w:abstractNumId w:val="31"/>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0"/>
  </w:num>
  <w:num w:numId="33">
    <w:abstractNumId w:val="28"/>
  </w:num>
  <w:num w:numId="34">
    <w:abstractNumId w:val="6"/>
  </w:num>
  <w:num w:numId="35">
    <w:abstractNumId w:val="26"/>
  </w:num>
  <w:num w:numId="36">
    <w:abstractNumId w:val="4"/>
  </w:num>
  <w:num w:numId="37">
    <w:abstractNumId w:val="10"/>
  </w:num>
  <w:num w:numId="38">
    <w:abstractNumId w:val="2"/>
  </w:num>
  <w:num w:numId="3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BD1"/>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16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53AEB"/>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884EA-CB9B-464B-BA30-613B463F0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34018</TotalTime>
  <Pages>3</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782</cp:revision>
  <cp:lastPrinted>2010-01-07T02:23:00Z</cp:lastPrinted>
  <dcterms:created xsi:type="dcterms:W3CDTF">2021-02-10T02:54:00Z</dcterms:created>
  <dcterms:modified xsi:type="dcterms:W3CDTF">2024-08-09T14:38:00Z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