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CF5779">
        <w:rPr>
          <w:rFonts w:eastAsia="宋体" w:cs="Arial"/>
          <w:sz w:val="24"/>
          <w:szCs w:val="24"/>
          <w:lang w:eastAsia="zh-CN"/>
        </w:rPr>
        <w:t>12959</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A43DD" w:rsidRPr="006A43DD">
        <w:rPr>
          <w:rFonts w:ascii="Arial" w:hAnsi="Arial" w:cs="Arial"/>
          <w:sz w:val="22"/>
        </w:rPr>
        <w:t>Discussion on the NTN S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06762">
        <w:rPr>
          <w:rFonts w:ascii="Arial" w:eastAsia="宋体" w:hAnsi="Arial" w:cs="Arial"/>
          <w:sz w:val="22"/>
          <w:lang w:eastAsia="zh-CN"/>
        </w:rPr>
        <w:t>7</w:t>
      </w:r>
      <w:r w:rsidR="009528F4" w:rsidRPr="00020E6F">
        <w:rPr>
          <w:rFonts w:ascii="Arial" w:eastAsia="宋体" w:hAnsi="Arial" w:cs="Arial"/>
          <w:sz w:val="22"/>
          <w:lang w:eastAsia="zh-CN"/>
        </w:rPr>
        <w:t>.</w:t>
      </w:r>
      <w:r w:rsidR="00F06762">
        <w:rPr>
          <w:rFonts w:ascii="Arial" w:eastAsia="宋体" w:hAnsi="Arial" w:cs="Arial"/>
          <w:sz w:val="22"/>
          <w:lang w:eastAsia="zh-CN"/>
        </w:rPr>
        <w:t>1</w:t>
      </w:r>
      <w:r w:rsidR="00CF5779">
        <w:rPr>
          <w:rFonts w:ascii="Arial" w:eastAsia="宋体" w:hAnsi="Arial" w:cs="Arial"/>
          <w:sz w:val="22"/>
          <w:lang w:eastAsia="zh-CN"/>
        </w:rPr>
        <w:t>7</w:t>
      </w:r>
      <w:r w:rsidR="009528F4" w:rsidRPr="00020E6F">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4F6090"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020E6F">
        <w:rPr>
          <w:rFonts w:eastAsia="宋体"/>
          <w:lang w:val="en-US" w:eastAsia="zh-CN"/>
        </w:rPr>
        <w:t>#1</w:t>
      </w:r>
      <w:r w:rsidR="004F6090">
        <w:rPr>
          <w:rFonts w:eastAsia="宋体"/>
          <w:lang w:val="en-US" w:eastAsia="zh-CN"/>
        </w:rPr>
        <w:t>04</w:t>
      </w:r>
      <w:r w:rsidR="00020E6F">
        <w:rPr>
          <w:rFonts w:eastAsia="宋体"/>
          <w:lang w:val="en-US" w:eastAsia="zh-CN"/>
        </w:rPr>
        <w:t xml:space="preserve"> meeting, </w:t>
      </w:r>
      <w:r w:rsidR="004F6090">
        <w:rPr>
          <w:rFonts w:eastAsia="宋体"/>
          <w:lang w:val="en-US" w:eastAsia="zh-CN"/>
        </w:rPr>
        <w:t xml:space="preserve">a new WI [1] for </w:t>
      </w:r>
      <w:r w:rsidR="004B7C84">
        <w:rPr>
          <w:rFonts w:eastAsia="宋体"/>
          <w:lang w:val="en-US" w:eastAsia="zh-CN"/>
        </w:rPr>
        <w:t>region 2 S band</w:t>
      </w:r>
      <w:r w:rsidR="004F6090">
        <w:rPr>
          <w:rFonts w:eastAsia="宋体"/>
          <w:lang w:val="en-US" w:eastAsia="zh-CN"/>
        </w:rPr>
        <w:t xml:space="preserve"> was established</w:t>
      </w:r>
      <w:r w:rsidR="00D06870">
        <w:rPr>
          <w:rFonts w:eastAsia="宋体"/>
          <w:lang w:val="en-US" w:eastAsia="zh-CN"/>
        </w:rPr>
        <w:t>.</w:t>
      </w:r>
      <w:r w:rsidR="00F36112">
        <w:rPr>
          <w:rFonts w:eastAsia="宋体"/>
          <w:lang w:val="en-US" w:eastAsia="zh-CN"/>
        </w:rPr>
        <w:t xml:space="preserve"> It’s expected that </w:t>
      </w:r>
      <w:r w:rsidR="004B7C84">
        <w:rPr>
          <w:rFonts w:eastAsia="宋体"/>
          <w:lang w:val="en-US" w:eastAsia="zh-CN"/>
        </w:rPr>
        <w:t>a</w:t>
      </w:r>
      <w:r w:rsidR="00F36112">
        <w:rPr>
          <w:rFonts w:eastAsia="宋体"/>
          <w:lang w:val="en-US" w:eastAsia="zh-CN"/>
        </w:rPr>
        <w:t xml:space="preserve"> new NR NTN band will be introduced with the following frequency range.</w:t>
      </w:r>
    </w:p>
    <w:p w:rsidR="004B7C84" w:rsidRDefault="004B7C84" w:rsidP="004B7C84">
      <w:pPr>
        <w:pStyle w:val="B10"/>
        <w:overflowPunct w:val="0"/>
        <w:autoSpaceDE w:val="0"/>
        <w:autoSpaceDN w:val="0"/>
        <w:adjustRightInd w:val="0"/>
        <w:ind w:left="284" w:firstLine="0"/>
        <w:textAlignment w:val="baseline"/>
      </w:pPr>
    </w:p>
    <w:tbl>
      <w:tblPr>
        <w:tblStyle w:val="afc"/>
        <w:tblW w:w="0" w:type="auto"/>
        <w:tblInd w:w="284" w:type="dxa"/>
        <w:tblLook w:val="04A0" w:firstRow="1" w:lastRow="0" w:firstColumn="1" w:lastColumn="0" w:noHBand="0" w:noVBand="1"/>
      </w:tblPr>
      <w:tblGrid>
        <w:gridCol w:w="9347"/>
      </w:tblGrid>
      <w:tr w:rsidR="004B7C84" w:rsidTr="004B7C84">
        <w:tc>
          <w:tcPr>
            <w:tcW w:w="9631" w:type="dxa"/>
          </w:tcPr>
          <w:p w:rsidR="004B7C84" w:rsidRDefault="004B7C84" w:rsidP="004B7C84">
            <w:pPr>
              <w:pStyle w:val="B10"/>
              <w:overflowPunct w:val="0"/>
              <w:autoSpaceDE w:val="0"/>
              <w:autoSpaceDN w:val="0"/>
              <w:adjustRightInd w:val="0"/>
              <w:ind w:left="284" w:firstLine="0"/>
              <w:textAlignment w:val="baseline"/>
            </w:pPr>
            <w:r w:rsidRPr="004B7C84">
              <w:t>Specify a new NR-NTN FDD band with a UE transmitting at 2000 – 2020 MHz and SAN transmitting at 2180-2200 MHz</w:t>
            </w:r>
          </w:p>
        </w:tc>
      </w:tr>
    </w:tbl>
    <w:p w:rsidR="004B7C84" w:rsidRDefault="004B7C84" w:rsidP="004B7C84">
      <w:pPr>
        <w:pStyle w:val="B10"/>
        <w:overflowPunct w:val="0"/>
        <w:autoSpaceDE w:val="0"/>
        <w:autoSpaceDN w:val="0"/>
        <w:adjustRightInd w:val="0"/>
        <w:ind w:left="284" w:firstLine="0"/>
        <w:textAlignment w:val="baseline"/>
      </w:pPr>
    </w:p>
    <w:p w:rsidR="00F36112" w:rsidRDefault="00F36112" w:rsidP="00A779C9">
      <w:pPr>
        <w:widowControl w:val="0"/>
        <w:overflowPunct/>
        <w:autoSpaceDE/>
        <w:autoSpaceDN/>
        <w:adjustRightInd/>
        <w:spacing w:after="0"/>
        <w:textAlignment w:val="auto"/>
        <w:rPr>
          <w:rFonts w:eastAsia="宋体"/>
          <w:lang w:val="en-US" w:eastAsia="zh-CN"/>
        </w:rPr>
      </w:pPr>
    </w:p>
    <w:p w:rsidR="00883878" w:rsidRDefault="00F3611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t>
      </w:r>
      <w:r w:rsidR="007969E4">
        <w:rPr>
          <w:rFonts w:eastAsia="宋体"/>
          <w:lang w:val="en-US" w:eastAsia="zh-CN"/>
        </w:rPr>
        <w:t>we’d like to share our initial views on this WI</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
        <w:rPr>
          <w:lang w:eastAsia="zh-CN"/>
        </w:rPr>
      </w:pPr>
      <w:r>
        <w:rPr>
          <w:lang w:eastAsia="zh-CN"/>
        </w:rPr>
        <w:t>Discussion</w:t>
      </w:r>
    </w:p>
    <w:p w:rsidR="004B7C84" w:rsidRDefault="004B7C84"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s the UL frequency range for this S band is </w:t>
      </w:r>
      <w:r w:rsidRPr="004B7C84">
        <w:rPr>
          <w:rFonts w:eastAsia="宋体"/>
          <w:lang w:val="en-US" w:eastAsia="zh-CN"/>
        </w:rPr>
        <w:t>2000 – 2020 MHz</w:t>
      </w:r>
      <w:r>
        <w:rPr>
          <w:rFonts w:eastAsia="宋体"/>
          <w:lang w:val="en-US" w:eastAsia="zh-CN"/>
        </w:rPr>
        <w:t>, it’s overlapping with the DL frequency range 1995 ~ 2020 MHz of band n70, which is deployed in North America. Thus, it’s unclear how this issue will be addressed from RAN4 perspective.</w:t>
      </w:r>
    </w:p>
    <w:p w:rsidR="004B7C84" w:rsidRDefault="004B7C84" w:rsidP="00020E6F">
      <w:pPr>
        <w:widowControl w:val="0"/>
        <w:rPr>
          <w:rFonts w:eastAsia="宋体"/>
          <w:b/>
          <w:lang w:val="en-US" w:eastAsia="zh-CN"/>
        </w:rPr>
      </w:pPr>
      <w:r>
        <w:rPr>
          <w:rFonts w:eastAsia="宋体"/>
          <w:b/>
          <w:lang w:val="en-US" w:eastAsia="zh-CN"/>
        </w:rPr>
        <w:t>Observation</w:t>
      </w:r>
      <w:r w:rsidRPr="00AF45A4">
        <w:rPr>
          <w:rFonts w:eastAsia="宋体"/>
          <w:b/>
          <w:lang w:val="en-US" w:eastAsia="zh-CN"/>
        </w:rPr>
        <w:t xml:space="preserve"> 1:</w:t>
      </w:r>
      <w:r>
        <w:rPr>
          <w:rFonts w:eastAsia="宋体"/>
          <w:b/>
          <w:lang w:val="en-US" w:eastAsia="zh-CN"/>
        </w:rPr>
        <w:t xml:space="preserve"> </w:t>
      </w:r>
      <w:bookmarkStart w:id="5" w:name="_Hlk172999018"/>
      <w:r>
        <w:rPr>
          <w:rFonts w:eastAsia="宋体"/>
          <w:b/>
          <w:lang w:val="en-US" w:eastAsia="zh-CN"/>
        </w:rPr>
        <w:t>t</w:t>
      </w:r>
      <w:r w:rsidRPr="004B7C84">
        <w:rPr>
          <w:rFonts w:eastAsia="宋体"/>
          <w:b/>
          <w:lang w:val="en-US" w:eastAsia="zh-CN"/>
        </w:rPr>
        <w:t>he UL frequency range 2000 – 2020 MHz</w:t>
      </w:r>
      <w:bookmarkEnd w:id="5"/>
      <w:r>
        <w:rPr>
          <w:rFonts w:eastAsia="宋体"/>
          <w:b/>
          <w:lang w:val="en-US" w:eastAsia="zh-CN"/>
        </w:rPr>
        <w:t xml:space="preserve"> is overlapping with </w:t>
      </w:r>
      <w:r w:rsidRPr="004B7C84">
        <w:rPr>
          <w:rFonts w:eastAsia="宋体"/>
          <w:b/>
          <w:lang w:val="en-US" w:eastAsia="zh-CN"/>
        </w:rPr>
        <w:t>the DL frequency range 1995 ~ 2020 MHz of band n70</w:t>
      </w:r>
      <w:r>
        <w:rPr>
          <w:rFonts w:eastAsia="宋体"/>
          <w:b/>
          <w:lang w:val="en-US" w:eastAsia="zh-CN"/>
        </w:rPr>
        <w:t>.</w:t>
      </w:r>
    </w:p>
    <w:p w:rsidR="004B7C84" w:rsidRDefault="004B7C84"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addition, the </w:t>
      </w:r>
      <w:r w:rsidRPr="004B7C84">
        <w:rPr>
          <w:rFonts w:eastAsia="宋体"/>
          <w:lang w:val="en-US" w:eastAsia="zh-CN"/>
        </w:rPr>
        <w:t>UL frequency range 2000 – 2020 MHz</w:t>
      </w:r>
      <w:r>
        <w:rPr>
          <w:rFonts w:eastAsia="宋体"/>
          <w:lang w:val="en-US" w:eastAsia="zh-CN"/>
        </w:rPr>
        <w:t xml:space="preserve"> is very close to the DL frequency range of band n2/n25. There are only 5MHz gap between the DL </w:t>
      </w:r>
      <w:r w:rsidR="003630E8">
        <w:rPr>
          <w:rFonts w:eastAsia="宋体"/>
          <w:lang w:val="en-US" w:eastAsia="zh-CN"/>
        </w:rPr>
        <w:t xml:space="preserve">frequency of band n25 and the UL </w:t>
      </w:r>
      <w:r w:rsidR="003630E8" w:rsidRPr="003630E8">
        <w:rPr>
          <w:rFonts w:eastAsia="宋体"/>
          <w:lang w:val="en-US" w:eastAsia="zh-CN"/>
        </w:rPr>
        <w:t xml:space="preserve">2000 – 2020 </w:t>
      </w:r>
      <w:proofErr w:type="spellStart"/>
      <w:r w:rsidR="003630E8" w:rsidRPr="003630E8">
        <w:rPr>
          <w:rFonts w:eastAsia="宋体"/>
          <w:lang w:val="en-US" w:eastAsia="zh-CN"/>
        </w:rPr>
        <w:t>MHz</w:t>
      </w:r>
      <w:r w:rsidR="003630E8">
        <w:rPr>
          <w:rFonts w:eastAsia="宋体"/>
          <w:lang w:val="en-US" w:eastAsia="zh-CN"/>
        </w:rPr>
        <w:t>.</w:t>
      </w:r>
      <w:proofErr w:type="spellEnd"/>
      <w:r w:rsidR="003630E8">
        <w:rPr>
          <w:rFonts w:eastAsia="宋体"/>
          <w:lang w:val="en-US" w:eastAsia="zh-CN"/>
        </w:rPr>
        <w:t xml:space="preserve"> The first adjacent channel interference from UL </w:t>
      </w:r>
      <w:r w:rsidR="003630E8" w:rsidRPr="003630E8">
        <w:rPr>
          <w:rFonts w:eastAsia="宋体"/>
          <w:lang w:val="en-US" w:eastAsia="zh-CN"/>
        </w:rPr>
        <w:t>2000 – 2020 MHz</w:t>
      </w:r>
      <w:r w:rsidR="003630E8">
        <w:rPr>
          <w:rFonts w:eastAsia="宋体"/>
          <w:lang w:val="en-US" w:eastAsia="zh-CN"/>
        </w:rPr>
        <w:t xml:space="preserve"> will fall into the </w:t>
      </w:r>
      <w:r w:rsidR="003630E8" w:rsidRPr="003630E8">
        <w:rPr>
          <w:rFonts w:eastAsia="宋体"/>
          <w:lang w:val="en-US" w:eastAsia="zh-CN"/>
        </w:rPr>
        <w:t>DL frequency of band n25</w:t>
      </w:r>
      <w:r w:rsidR="003630E8">
        <w:rPr>
          <w:rFonts w:eastAsia="宋体"/>
          <w:lang w:val="en-US" w:eastAsia="zh-CN"/>
        </w:rPr>
        <w:t>/n2.</w:t>
      </w:r>
    </w:p>
    <w:p w:rsidR="00305DEA" w:rsidRDefault="00305DEA"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305DEA">
        <w:rPr>
          <w:rFonts w:eastAsia="宋体"/>
          <w:b/>
          <w:lang w:val="en-US" w:eastAsia="zh-CN"/>
        </w:rPr>
        <w:t>The first adjacent channel interference from UL 2000 – 2020 MHz will fall into the DL frequency of band n25/n2.</w:t>
      </w:r>
    </w:p>
    <w:p w:rsidR="003630E8" w:rsidRDefault="00305DEA" w:rsidP="00020E6F">
      <w:pPr>
        <w:widowControl w:val="0"/>
        <w:rPr>
          <w:rFonts w:eastAsia="宋体"/>
          <w:lang w:val="en-US" w:eastAsia="zh-CN"/>
        </w:rPr>
      </w:pPr>
      <w:r>
        <w:rPr>
          <w:rFonts w:eastAsia="宋体" w:hint="eastAsia"/>
          <w:lang w:val="en-US" w:eastAsia="zh-CN"/>
        </w:rPr>
        <w:t>R</w:t>
      </w:r>
      <w:r>
        <w:rPr>
          <w:rFonts w:eastAsia="宋体"/>
          <w:lang w:val="en-US" w:eastAsia="zh-CN"/>
        </w:rPr>
        <w:t xml:space="preserve">AN4 need to discuss how to specify the UE-to-UE coexistence requirements between </w:t>
      </w:r>
      <w:r w:rsidRPr="00305DEA">
        <w:rPr>
          <w:rFonts w:eastAsia="宋体"/>
          <w:lang w:val="en-US" w:eastAsia="zh-CN"/>
        </w:rPr>
        <w:t>UL 2000 – 2020 MHz</w:t>
      </w:r>
      <w:r>
        <w:rPr>
          <w:rFonts w:eastAsia="宋体"/>
          <w:lang w:val="en-US" w:eastAsia="zh-CN"/>
        </w:rPr>
        <w:t xml:space="preserve"> and other DL frequency range of band n2/n25</w:t>
      </w:r>
      <w:r>
        <w:rPr>
          <w:rFonts w:eastAsia="宋体" w:hint="eastAsia"/>
          <w:lang w:val="en-US" w:eastAsia="zh-CN"/>
        </w:rPr>
        <w:t>/</w:t>
      </w:r>
      <w:r>
        <w:rPr>
          <w:rFonts w:eastAsia="宋体"/>
          <w:lang w:val="en-US" w:eastAsia="zh-CN"/>
        </w:rPr>
        <w:t>n70</w:t>
      </w:r>
      <w:r w:rsidR="005D2440">
        <w:rPr>
          <w:rFonts w:eastAsia="宋体"/>
          <w:lang w:val="en-US" w:eastAsia="zh-CN"/>
        </w:rPr>
        <w:t>.</w:t>
      </w:r>
    </w:p>
    <w:p w:rsidR="005D2440" w:rsidRDefault="005D2440" w:rsidP="00020E6F">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1:</w:t>
      </w:r>
      <w:r>
        <w:rPr>
          <w:rFonts w:eastAsia="宋体"/>
          <w:b/>
          <w:lang w:val="en-US" w:eastAsia="zh-CN"/>
        </w:rPr>
        <w:t xml:space="preserve"> </w:t>
      </w:r>
      <w:r w:rsidRPr="005D2440">
        <w:rPr>
          <w:rFonts w:eastAsia="宋体"/>
          <w:b/>
          <w:lang w:val="en-US" w:eastAsia="zh-CN"/>
        </w:rPr>
        <w:t>RAN4 need to discuss how to specify the UE-to-UE coexistence requirements between UL 2000 – 2020 MHz and other DL frequency range of band n2/n25/n70.</w:t>
      </w:r>
    </w:p>
    <w:p w:rsidR="005D2440" w:rsidRDefault="005D2440" w:rsidP="00020E6F">
      <w:pPr>
        <w:widowControl w:val="0"/>
        <w:rPr>
          <w:rFonts w:eastAsia="宋体"/>
          <w:lang w:val="en-US" w:eastAsia="zh-CN"/>
        </w:rPr>
      </w:pPr>
    </w:p>
    <w:p w:rsidR="00E92D2D" w:rsidRDefault="00E92D2D"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fter checking </w:t>
      </w:r>
      <w:r w:rsidR="0042442F">
        <w:rPr>
          <w:rFonts w:eastAsia="宋体"/>
          <w:lang w:val="en-US" w:eastAsia="zh-CN"/>
        </w:rPr>
        <w:t>47 CFR Part 25 [2], the following regulatory requirements related to S-band (</w:t>
      </w:r>
      <w:r w:rsidR="0042442F" w:rsidRPr="0042442F">
        <w:rPr>
          <w:rFonts w:eastAsia="宋体"/>
          <w:lang w:val="en-US" w:eastAsia="zh-CN"/>
        </w:rPr>
        <w:t>2000 – 2020 MHz</w:t>
      </w:r>
      <w:r w:rsidR="0042442F">
        <w:rPr>
          <w:rFonts w:eastAsia="宋体"/>
          <w:lang w:val="en-US" w:eastAsia="zh-CN"/>
        </w:rPr>
        <w:t>) are cited below.</w:t>
      </w:r>
    </w:p>
    <w:tbl>
      <w:tblPr>
        <w:tblStyle w:val="afc"/>
        <w:tblW w:w="0" w:type="auto"/>
        <w:tblLook w:val="04A0" w:firstRow="1" w:lastRow="0" w:firstColumn="1" w:lastColumn="0" w:noHBand="0" w:noVBand="1"/>
      </w:tblPr>
      <w:tblGrid>
        <w:gridCol w:w="9631"/>
      </w:tblGrid>
      <w:tr w:rsidR="00AB4226" w:rsidTr="00AB4226">
        <w:tc>
          <w:tcPr>
            <w:tcW w:w="9631" w:type="dxa"/>
          </w:tcPr>
          <w:p w:rsidR="00AB4226" w:rsidRPr="00D06608" w:rsidRDefault="00D06608" w:rsidP="00020E6F">
            <w:pPr>
              <w:widowControl w:val="0"/>
              <w:rPr>
                <w:rFonts w:eastAsia="Bitter-Bold"/>
                <w:b/>
                <w:bCs/>
                <w:shd w:val="pct15" w:color="auto" w:fill="FFFFFF"/>
                <w:lang w:val="en-US" w:eastAsia="zh-CN"/>
              </w:rPr>
            </w:pPr>
            <w:r w:rsidRPr="00D06608">
              <w:rPr>
                <w:rFonts w:eastAsia="Bitter-Bold"/>
                <w:b/>
                <w:bCs/>
                <w:shd w:val="pct15" w:color="auto" w:fill="FFFFFF"/>
                <w:lang w:val="en-US" w:eastAsia="zh-CN"/>
              </w:rPr>
              <w:t xml:space="preserve">25.265 Acceptance of interference in 2000-2020 </w:t>
            </w:r>
            <w:proofErr w:type="spellStart"/>
            <w:r w:rsidRPr="00D06608">
              <w:rPr>
                <w:rFonts w:eastAsia="Bitter-Bold"/>
                <w:b/>
                <w:bCs/>
                <w:shd w:val="pct15" w:color="auto" w:fill="FFFFFF"/>
                <w:lang w:val="en-US" w:eastAsia="zh-CN"/>
              </w:rPr>
              <w:t>MHz.</w:t>
            </w:r>
            <w:proofErr w:type="spellEnd"/>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a</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MSS receivers operating in the 2000-2020 MHz band must accept interference from lawful operations in</w:t>
            </w:r>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t>the 1995-2000 MHz band, where such interference is due to:</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1</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in-band power of any operations in 1995-2000 MHz (</w:t>
            </w:r>
            <w:r w:rsidRPr="00D06608">
              <w:rPr>
                <w:rFonts w:eastAsia="Roboto-Italic"/>
                <w:i/>
                <w:iCs/>
                <w:color w:val="000000"/>
                <w:shd w:val="pct15" w:color="auto" w:fill="FFFFFF"/>
                <w:lang w:val="en-US" w:eastAsia="zh-CN"/>
              </w:rPr>
              <w:t xml:space="preserve">i.e., </w:t>
            </w:r>
            <w:r w:rsidRPr="00D06608">
              <w:rPr>
                <w:rFonts w:eastAsia="Roboto-Regular"/>
                <w:color w:val="000000"/>
                <w:shd w:val="pct15" w:color="auto" w:fill="FFFFFF"/>
                <w:lang w:val="en-US" w:eastAsia="zh-CN"/>
              </w:rPr>
              <w:t>the portion of transmit power contained</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lastRenderedPageBreak/>
              <w:t>in the 1995-2000 MHz band); or</w:t>
            </w:r>
          </w:p>
          <w:p w:rsidR="00D06608" w:rsidRDefault="00D06608" w:rsidP="00D06608">
            <w:pPr>
              <w:widowControl w:val="0"/>
              <w:ind w:leftChars="200" w:left="400"/>
              <w:rPr>
                <w:rFonts w:eastAsia="宋体"/>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2</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portion of out-of-band emissions contained in 2000-2005 MHz</w:t>
            </w:r>
          </w:p>
        </w:tc>
      </w:tr>
    </w:tbl>
    <w:p w:rsidR="0042442F" w:rsidRDefault="0042442F" w:rsidP="00020E6F">
      <w:pPr>
        <w:widowControl w:val="0"/>
        <w:rPr>
          <w:rFonts w:eastAsia="宋体"/>
          <w:lang w:val="en-US" w:eastAsia="zh-CN"/>
        </w:rPr>
      </w:pPr>
    </w:p>
    <w:tbl>
      <w:tblPr>
        <w:tblStyle w:val="afc"/>
        <w:tblW w:w="0" w:type="auto"/>
        <w:tblLook w:val="04A0" w:firstRow="1" w:lastRow="0" w:firstColumn="1" w:lastColumn="0" w:noHBand="0" w:noVBand="1"/>
      </w:tblPr>
      <w:tblGrid>
        <w:gridCol w:w="9631"/>
      </w:tblGrid>
      <w:tr w:rsidR="00D06608" w:rsidTr="00D06608">
        <w:tc>
          <w:tcPr>
            <w:tcW w:w="9631" w:type="dxa"/>
          </w:tcPr>
          <w:p w:rsidR="00D06608" w:rsidRPr="00D06608" w:rsidRDefault="00D06608" w:rsidP="00D06608">
            <w:pPr>
              <w:widowControl w:val="0"/>
              <w:overflowPunct/>
              <w:spacing w:after="0"/>
              <w:textAlignment w:val="auto"/>
              <w:rPr>
                <w:rFonts w:eastAsia="Bitter-Bold"/>
                <w:b/>
                <w:bCs/>
                <w:shd w:val="pct15" w:color="auto" w:fill="FFFFFF"/>
                <w:lang w:val="en-US" w:eastAsia="zh-CN"/>
              </w:rPr>
            </w:pPr>
            <w:r w:rsidRPr="00D06608">
              <w:rPr>
                <w:rFonts w:eastAsia="Bitter-Bold"/>
                <w:b/>
                <w:bCs/>
                <w:shd w:val="pct15" w:color="auto" w:fill="FFFFFF"/>
                <w:lang w:val="en-US" w:eastAsia="zh-CN"/>
              </w:rPr>
              <w:t xml:space="preserve">25.216 Limits on emissions from mobile earth stations for protection of aeronautical </w:t>
            </w:r>
            <w:proofErr w:type="spellStart"/>
            <w:r w:rsidRPr="00D06608">
              <w:rPr>
                <w:rFonts w:eastAsia="Bitter-Bold"/>
                <w:b/>
                <w:bCs/>
                <w:shd w:val="pct15" w:color="auto" w:fill="FFFFFF"/>
                <w:lang w:val="en-US" w:eastAsia="zh-CN"/>
              </w:rPr>
              <w:t>radionavigation</w:t>
            </w:r>
            <w:proofErr w:type="spellEnd"/>
            <w:r w:rsidRPr="00D06608">
              <w:rPr>
                <w:rFonts w:eastAsia="Bitter-Bold"/>
                <w:b/>
                <w:bCs/>
                <w:shd w:val="pct15" w:color="auto" w:fill="FFFFFF"/>
                <w:lang w:val="en-US" w:eastAsia="zh-CN"/>
              </w:rPr>
              <w:t>-satellite service.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xml:space="preserve"> density of emissions from mobile earth stations with assigned uplink frequencies between</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1990 MHz and 2025 MHz shall not exceed −70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/MHz,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transmission interval, in frequencies between 1559 MHz and 1610 </w:t>
            </w:r>
            <w:proofErr w:type="spellStart"/>
            <w:r w:rsidRPr="00D06608">
              <w:rPr>
                <w:rFonts w:eastAsia="宋体"/>
                <w:shd w:val="pct15" w:color="auto" w:fill="FFFFFF"/>
                <w:lang w:val="en-US" w:eastAsia="zh-CN"/>
              </w:rPr>
              <w:t>MHz.</w:t>
            </w:r>
            <w:proofErr w:type="spellEnd"/>
            <w:r w:rsidRPr="00D06608">
              <w:rPr>
                <w:rFonts w:eastAsia="宋体"/>
                <w:shd w:val="pct15" w:color="auto" w:fill="FFFFFF"/>
                <w:lang w:val="en-US" w:eastAsia="zh-CN"/>
              </w:rPr>
              <w:t xml:space="preserv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of less than 700 Hz bandwidth from such stations between 1559 MHz and 1605 MHz shall not exceed</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 transmission interval.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 of less than 700 Hz bandwidth from such stations between 1605 MHz and 1610 MHz manufactured more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than six months after FEDERAL REGISTER publication of the rule changes adopted in FCC 03-283 shall not</w:t>
            </w:r>
          </w:p>
          <w:p w:rsidR="00D06608" w:rsidRDefault="00D06608" w:rsidP="00D06608">
            <w:pPr>
              <w:widowControl w:val="0"/>
              <w:overflowPunct/>
              <w:spacing w:after="0"/>
              <w:textAlignment w:val="auto"/>
              <w:rPr>
                <w:rFonts w:eastAsia="宋体"/>
                <w:lang w:val="en-US" w:eastAsia="zh-CN"/>
              </w:rPr>
            </w:pPr>
            <w:r w:rsidRPr="00D06608">
              <w:rPr>
                <w:rFonts w:eastAsia="宋体"/>
                <w:shd w:val="pct15" w:color="auto" w:fill="FFFFFF"/>
                <w:lang w:val="en-US" w:eastAsia="zh-CN"/>
              </w:rPr>
              <w:t xml:space="preserve">exceed −80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 transmission interval.</w:t>
            </w:r>
          </w:p>
        </w:tc>
      </w:tr>
    </w:tbl>
    <w:p w:rsidR="0042442F" w:rsidRDefault="0042442F" w:rsidP="00020E6F">
      <w:pPr>
        <w:widowControl w:val="0"/>
        <w:rPr>
          <w:rFonts w:eastAsia="宋体"/>
          <w:lang w:val="en-US" w:eastAsia="zh-CN"/>
        </w:rPr>
      </w:pPr>
    </w:p>
    <w:p w:rsidR="0042442F" w:rsidRDefault="00341FBA"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the emission requirements, it seems that the frequency separation between UL </w:t>
      </w:r>
      <w:r w:rsidRPr="00341FBA">
        <w:rPr>
          <w:rFonts w:eastAsia="宋体"/>
          <w:lang w:val="en-US" w:eastAsia="zh-CN"/>
        </w:rPr>
        <w:t>2000 – 2020 MHz</w:t>
      </w:r>
      <w:r>
        <w:rPr>
          <w:rFonts w:eastAsia="宋体"/>
          <w:lang w:val="en-US" w:eastAsia="zh-CN"/>
        </w:rPr>
        <w:t xml:space="preserve"> and protected frequency range </w:t>
      </w:r>
      <w:r w:rsidRPr="00341FBA">
        <w:rPr>
          <w:rFonts w:eastAsia="宋体"/>
          <w:lang w:val="en-US" w:eastAsia="zh-CN"/>
        </w:rPr>
        <w:t xml:space="preserve">1559 </w:t>
      </w:r>
      <w:r>
        <w:rPr>
          <w:rFonts w:eastAsia="宋体"/>
          <w:lang w:val="en-US" w:eastAsia="zh-CN"/>
        </w:rPr>
        <w:t>~</w:t>
      </w:r>
      <w:r w:rsidRPr="00341FBA">
        <w:rPr>
          <w:rFonts w:eastAsia="宋体"/>
          <w:lang w:val="en-US" w:eastAsia="zh-CN"/>
        </w:rPr>
        <w:t xml:space="preserve"> 1610 MHz</w:t>
      </w:r>
      <w:r>
        <w:rPr>
          <w:rFonts w:eastAsia="宋体"/>
          <w:lang w:val="en-US" w:eastAsia="zh-CN"/>
        </w:rPr>
        <w:t xml:space="preserve"> is large enough, so there is no need additional power reduction to comply with </w:t>
      </w:r>
      <w:proofErr w:type="gramStart"/>
      <w:r>
        <w:rPr>
          <w:rFonts w:eastAsia="宋体"/>
          <w:lang w:val="en-US" w:eastAsia="zh-CN"/>
        </w:rPr>
        <w:t>this requirements</w:t>
      </w:r>
      <w:proofErr w:type="gramEnd"/>
      <w:r>
        <w:rPr>
          <w:rFonts w:eastAsia="宋体"/>
          <w:lang w:val="en-US" w:eastAsia="zh-CN"/>
        </w:rPr>
        <w:t>. But it can be reflected in the UE-to-UE coexistence table.</w:t>
      </w:r>
    </w:p>
    <w:p w:rsidR="00341FBA" w:rsidRDefault="00341FBA" w:rsidP="00020E6F">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5D2440">
        <w:rPr>
          <w:rFonts w:eastAsia="宋体"/>
          <w:b/>
          <w:lang w:val="en-US" w:eastAsia="zh-CN"/>
        </w:rPr>
        <w:t xml:space="preserve">RAN4 </w:t>
      </w:r>
      <w:r>
        <w:rPr>
          <w:rFonts w:eastAsia="宋体"/>
          <w:b/>
          <w:lang w:val="en-US" w:eastAsia="zh-CN"/>
        </w:rPr>
        <w:t xml:space="preserve">can </w:t>
      </w:r>
      <w:r w:rsidRPr="005D2440">
        <w:rPr>
          <w:rFonts w:eastAsia="宋体"/>
          <w:b/>
          <w:lang w:val="en-US" w:eastAsia="zh-CN"/>
        </w:rPr>
        <w:t>discuss</w:t>
      </w:r>
      <w:r>
        <w:rPr>
          <w:rFonts w:eastAsia="宋体"/>
          <w:b/>
          <w:lang w:val="en-US" w:eastAsia="zh-CN"/>
        </w:rPr>
        <w:t xml:space="preserve"> whether the additional power reduction is needed or not in order to comply with the regulatory requirements in the </w:t>
      </w:r>
      <w:r w:rsidRPr="00341FBA">
        <w:rPr>
          <w:rFonts w:eastAsia="宋体"/>
          <w:b/>
          <w:lang w:val="en-US" w:eastAsia="zh-CN"/>
        </w:rPr>
        <w:t xml:space="preserve">protected frequency range 1559 ~ 1610 </w:t>
      </w:r>
      <w:proofErr w:type="spellStart"/>
      <w:r w:rsidRPr="00341FBA">
        <w:rPr>
          <w:rFonts w:eastAsia="宋体"/>
          <w:b/>
          <w:lang w:val="en-US" w:eastAsia="zh-CN"/>
        </w:rPr>
        <w:t>MHz</w:t>
      </w:r>
      <w:r>
        <w:rPr>
          <w:rFonts w:eastAsia="宋体"/>
          <w:b/>
          <w:lang w:val="en-US" w:eastAsia="zh-CN"/>
        </w:rPr>
        <w:t>.</w:t>
      </w:r>
      <w:proofErr w:type="spellEnd"/>
    </w:p>
    <w:p w:rsidR="00341FBA" w:rsidRDefault="00341FBA" w:rsidP="00020E6F">
      <w:pPr>
        <w:widowControl w:val="0"/>
        <w:rPr>
          <w:rFonts w:eastAsia="宋体"/>
          <w:lang w:val="en-US" w:eastAsia="zh-CN"/>
        </w:rPr>
      </w:pPr>
    </w:p>
    <w:p w:rsidR="00845003" w:rsidRDefault="00845003" w:rsidP="00845003">
      <w:pPr>
        <w:pStyle w:val="1"/>
        <w:rPr>
          <w:lang w:eastAsia="zh-CN"/>
        </w:rPr>
      </w:pPr>
      <w:r>
        <w:rPr>
          <w:lang w:eastAsia="zh-CN"/>
        </w:rPr>
        <w:t>Summary</w:t>
      </w:r>
    </w:p>
    <w:p w:rsidR="00341FBA" w:rsidRDefault="00341FBA" w:rsidP="00341FBA">
      <w:pPr>
        <w:widowControl w:val="0"/>
        <w:rPr>
          <w:rFonts w:eastAsia="宋体"/>
          <w:b/>
          <w:lang w:val="en-US" w:eastAsia="zh-CN"/>
        </w:rPr>
      </w:pPr>
      <w:r>
        <w:rPr>
          <w:rFonts w:eastAsia="宋体"/>
          <w:b/>
          <w:lang w:val="en-US" w:eastAsia="zh-CN"/>
        </w:rPr>
        <w:t>Observation</w:t>
      </w:r>
      <w:r w:rsidRPr="00AF45A4">
        <w:rPr>
          <w:rFonts w:eastAsia="宋体"/>
          <w:b/>
          <w:lang w:val="en-US" w:eastAsia="zh-CN"/>
        </w:rPr>
        <w:t xml:space="preserve"> 1:</w:t>
      </w:r>
      <w:r>
        <w:rPr>
          <w:rFonts w:eastAsia="宋体"/>
          <w:b/>
          <w:lang w:val="en-US" w:eastAsia="zh-CN"/>
        </w:rPr>
        <w:t xml:space="preserve"> t</w:t>
      </w:r>
      <w:r w:rsidRPr="004B7C84">
        <w:rPr>
          <w:rFonts w:eastAsia="宋体"/>
          <w:b/>
          <w:lang w:val="en-US" w:eastAsia="zh-CN"/>
        </w:rPr>
        <w:t>he UL frequency range 2000 – 2020 MHz</w:t>
      </w:r>
      <w:r>
        <w:rPr>
          <w:rFonts w:eastAsia="宋体"/>
          <w:b/>
          <w:lang w:val="en-US" w:eastAsia="zh-CN"/>
        </w:rPr>
        <w:t xml:space="preserve"> is overlapping with </w:t>
      </w:r>
      <w:r w:rsidRPr="004B7C84">
        <w:rPr>
          <w:rFonts w:eastAsia="宋体"/>
          <w:b/>
          <w:lang w:val="en-US" w:eastAsia="zh-CN"/>
        </w:rPr>
        <w:t>the DL frequency range 1995 ~ 2020 MHz of band n70</w:t>
      </w:r>
      <w:r>
        <w:rPr>
          <w:rFonts w:eastAsia="宋体"/>
          <w:b/>
          <w:lang w:val="en-US" w:eastAsia="zh-CN"/>
        </w:rPr>
        <w:t>.</w:t>
      </w:r>
    </w:p>
    <w:p w:rsidR="00341FBA" w:rsidRDefault="00341FBA" w:rsidP="00341FBA">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305DEA">
        <w:rPr>
          <w:rFonts w:eastAsia="宋体"/>
          <w:b/>
          <w:lang w:val="en-US" w:eastAsia="zh-CN"/>
        </w:rPr>
        <w:t>The first adjacent channel interference from UL 2000 – 2020 MHz will fall into the DL frequency of band n25/n2.</w:t>
      </w:r>
    </w:p>
    <w:p w:rsidR="00341FBA" w:rsidRDefault="00341FBA" w:rsidP="00341FBA">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1:</w:t>
      </w:r>
      <w:r>
        <w:rPr>
          <w:rFonts w:eastAsia="宋体"/>
          <w:b/>
          <w:lang w:val="en-US" w:eastAsia="zh-CN"/>
        </w:rPr>
        <w:t xml:space="preserve"> </w:t>
      </w:r>
      <w:r w:rsidRPr="005D2440">
        <w:rPr>
          <w:rFonts w:eastAsia="宋体"/>
          <w:b/>
          <w:lang w:val="en-US" w:eastAsia="zh-CN"/>
        </w:rPr>
        <w:t>RAN4 need to discuss how to specify the UE-to-UE coexistence requirements between UL 2000 – 2020 MHz and other DL frequency range of band n2/n25/n70.</w:t>
      </w:r>
    </w:p>
    <w:p w:rsidR="00341FBA" w:rsidRDefault="00341FBA" w:rsidP="00341FBA">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w:t>
      </w:r>
      <w:r w:rsidRPr="005D2440">
        <w:rPr>
          <w:rFonts w:eastAsia="宋体"/>
          <w:b/>
          <w:lang w:val="en-US" w:eastAsia="zh-CN"/>
        </w:rPr>
        <w:t xml:space="preserve">RAN4 </w:t>
      </w:r>
      <w:r>
        <w:rPr>
          <w:rFonts w:eastAsia="宋体"/>
          <w:b/>
          <w:lang w:val="en-US" w:eastAsia="zh-CN"/>
        </w:rPr>
        <w:t xml:space="preserve">can </w:t>
      </w:r>
      <w:r w:rsidRPr="005D2440">
        <w:rPr>
          <w:rFonts w:eastAsia="宋体"/>
          <w:b/>
          <w:lang w:val="en-US" w:eastAsia="zh-CN"/>
        </w:rPr>
        <w:t>discuss</w:t>
      </w:r>
      <w:r>
        <w:rPr>
          <w:rFonts w:eastAsia="宋体"/>
          <w:b/>
          <w:lang w:val="en-US" w:eastAsia="zh-CN"/>
        </w:rPr>
        <w:t xml:space="preserve"> whether the additional power reduction is needed or not in order to comply with the regulatory requirements in the </w:t>
      </w:r>
      <w:r w:rsidRPr="00341FBA">
        <w:rPr>
          <w:rFonts w:eastAsia="宋体"/>
          <w:b/>
          <w:lang w:val="en-US" w:eastAsia="zh-CN"/>
        </w:rPr>
        <w:t xml:space="preserve">protected frequency range 1559 ~ 1610 </w:t>
      </w:r>
      <w:proofErr w:type="spellStart"/>
      <w:r w:rsidRPr="00341FBA">
        <w:rPr>
          <w:rFonts w:eastAsia="宋体"/>
          <w:b/>
          <w:lang w:val="en-US" w:eastAsia="zh-CN"/>
        </w:rPr>
        <w:t>MHz</w:t>
      </w:r>
      <w:r>
        <w:rPr>
          <w:rFonts w:eastAsia="宋体"/>
          <w:b/>
          <w:lang w:val="en-US" w:eastAsia="zh-CN"/>
        </w:rPr>
        <w:t>.</w:t>
      </w:r>
      <w:proofErr w:type="spellEnd"/>
    </w:p>
    <w:p w:rsidR="000D1075" w:rsidRDefault="000D1075" w:rsidP="008C5F47">
      <w:pPr>
        <w:rPr>
          <w:rFonts w:eastAsia="宋体"/>
          <w:b/>
          <w:lang w:val="en-US" w:eastAsia="zh-CN"/>
        </w:rPr>
      </w:pPr>
    </w:p>
    <w:p w:rsidR="00B02AE0" w:rsidRPr="00A81A25" w:rsidRDefault="00B02AE0" w:rsidP="00572A4C">
      <w:pPr>
        <w:pStyle w:val="1"/>
        <w:numPr>
          <w:ilvl w:val="0"/>
          <w:numId w:val="0"/>
        </w:numPr>
      </w:pPr>
      <w:r>
        <w:t>References</w:t>
      </w:r>
    </w:p>
    <w:p w:rsidR="00E92D2D" w:rsidRPr="00020E6F" w:rsidRDefault="00B755E6" w:rsidP="00E92D2D">
      <w:pPr>
        <w:overflowPunct/>
        <w:autoSpaceDE/>
        <w:autoSpaceDN/>
        <w:adjustRightInd/>
        <w:textAlignment w:val="auto"/>
        <w:rPr>
          <w:rFonts w:eastAsia="宋体"/>
          <w:lang w:eastAsia="zh-CN"/>
        </w:rPr>
      </w:pPr>
      <w:r>
        <w:rPr>
          <w:rFonts w:eastAsia="宋体"/>
          <w:lang w:eastAsia="zh-CN"/>
        </w:rPr>
        <w:t xml:space="preserve">[1] </w:t>
      </w:r>
      <w:r w:rsidR="00E92D2D" w:rsidRPr="00E92D2D">
        <w:rPr>
          <w:rFonts w:eastAsia="宋体"/>
          <w:lang w:eastAsia="zh-CN"/>
        </w:rPr>
        <w:t>RP-241661</w:t>
      </w:r>
      <w:r w:rsidR="00E92D2D">
        <w:rPr>
          <w:rFonts w:eastAsia="宋体"/>
          <w:lang w:eastAsia="zh-CN"/>
        </w:rPr>
        <w:t xml:space="preserve">, </w:t>
      </w:r>
      <w:r w:rsidR="00E92D2D" w:rsidRPr="00E92D2D">
        <w:rPr>
          <w:rFonts w:eastAsia="宋体"/>
          <w:lang w:eastAsia="zh-CN"/>
        </w:rPr>
        <w:t>New WID on Introduction of NR-NTN S-band (MSS band 2000-2020 MHz UL and 2180-2200 MHz DL)</w:t>
      </w:r>
      <w:r w:rsidR="00E92D2D">
        <w:rPr>
          <w:rFonts w:eastAsia="宋体"/>
          <w:lang w:eastAsia="zh-CN"/>
        </w:rPr>
        <w:t xml:space="preserve">, </w:t>
      </w:r>
      <w:r w:rsidR="00E92D2D" w:rsidRPr="00E92D2D">
        <w:rPr>
          <w:rFonts w:eastAsia="宋体"/>
          <w:lang w:eastAsia="zh-CN"/>
        </w:rPr>
        <w:t xml:space="preserve">DISH Network, EchoStar, </w:t>
      </w:r>
      <w:proofErr w:type="spellStart"/>
      <w:r w:rsidR="00E92D2D" w:rsidRPr="00E92D2D">
        <w:rPr>
          <w:rFonts w:eastAsia="宋体"/>
          <w:lang w:eastAsia="zh-CN"/>
        </w:rPr>
        <w:t>TerreStar</w:t>
      </w:r>
      <w:proofErr w:type="spellEnd"/>
      <w:r w:rsidR="00E92D2D" w:rsidRPr="00E92D2D">
        <w:rPr>
          <w:rFonts w:eastAsia="宋体"/>
          <w:lang w:eastAsia="zh-CN"/>
        </w:rPr>
        <w:t xml:space="preserve">, </w:t>
      </w:r>
      <w:proofErr w:type="spellStart"/>
      <w:r w:rsidR="00E92D2D" w:rsidRPr="00E92D2D">
        <w:rPr>
          <w:rFonts w:eastAsia="宋体"/>
          <w:lang w:eastAsia="zh-CN"/>
        </w:rPr>
        <w:t>OmniSpace</w:t>
      </w:r>
      <w:proofErr w:type="spellEnd"/>
      <w:r w:rsidR="00E92D2D" w:rsidRPr="00E92D2D">
        <w:rPr>
          <w:rFonts w:eastAsia="宋体"/>
          <w:lang w:eastAsia="zh-CN"/>
        </w:rPr>
        <w:t xml:space="preserve">, </w:t>
      </w:r>
      <w:proofErr w:type="spellStart"/>
      <w:r w:rsidR="00E92D2D" w:rsidRPr="00E92D2D">
        <w:rPr>
          <w:rFonts w:eastAsia="宋体"/>
          <w:lang w:eastAsia="zh-CN"/>
        </w:rPr>
        <w:t>Telus</w:t>
      </w:r>
      <w:proofErr w:type="spellEnd"/>
    </w:p>
    <w:p w:rsidR="00E31B41" w:rsidRDefault="0042442F"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42442F">
        <w:rPr>
          <w:rFonts w:eastAsia="宋体"/>
          <w:lang w:eastAsia="zh-CN"/>
        </w:rPr>
        <w:t>47 CFR Part 25</w:t>
      </w:r>
      <w:r>
        <w:rPr>
          <w:rFonts w:eastAsia="宋体"/>
          <w:lang w:eastAsia="zh-CN"/>
        </w:rPr>
        <w:t xml:space="preserve">, </w:t>
      </w:r>
      <w:hyperlink r:id="rId8" w:history="1">
        <w:r w:rsidRPr="009B60A5">
          <w:rPr>
            <w:rStyle w:val="af1"/>
            <w:rFonts w:eastAsia="宋体"/>
            <w:lang w:eastAsia="zh-CN"/>
          </w:rPr>
          <w:t>https://www.ecfr.gov/current/title-47/chapter-I/subchapter-B/part-25</w:t>
        </w:r>
      </w:hyperlink>
    </w:p>
    <w:p w:rsidR="0042442F" w:rsidRPr="0042442F" w:rsidRDefault="0042442F" w:rsidP="00E31B41">
      <w:pPr>
        <w:overflowPunct/>
        <w:autoSpaceDE/>
        <w:autoSpaceDN/>
        <w:adjustRightInd/>
        <w:textAlignment w:val="auto"/>
        <w:rPr>
          <w:rFonts w:eastAsia="宋体"/>
          <w:lang w:eastAsia="zh-CN"/>
        </w:rPr>
      </w:pPr>
    </w:p>
    <w:sectPr w:rsidR="0042442F" w:rsidRPr="0042442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A45" w:rsidRDefault="003A0A45">
      <w:r>
        <w:separator/>
      </w:r>
    </w:p>
  </w:endnote>
  <w:endnote w:type="continuationSeparator" w:id="0">
    <w:p w:rsidR="003A0A45" w:rsidRDefault="003A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itter-Bold">
    <w:altName w:val="微软雅黑"/>
    <w:panose1 w:val="00000000000000000000"/>
    <w:charset w:val="86"/>
    <w:family w:val="auto"/>
    <w:notTrueType/>
    <w:pitch w:val="default"/>
    <w:sig w:usb0="00000001" w:usb1="080E0000" w:usb2="00000010" w:usb3="00000000" w:csb0="00040000" w:csb1="00000000"/>
  </w:font>
  <w:font w:name="Roboto-Regular">
    <w:altName w:val="微软雅黑"/>
    <w:panose1 w:val="00000000000000000000"/>
    <w:charset w:val="86"/>
    <w:family w:val="auto"/>
    <w:notTrueType/>
    <w:pitch w:val="default"/>
    <w:sig w:usb0="00000001" w:usb1="080E0000" w:usb2="00000010" w:usb3="00000000" w:csb0="00040000" w:csb1="00000000"/>
  </w:font>
  <w:font w:name="Roboto-Italic">
    <w:altName w:val="微软雅黑"/>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A45" w:rsidRDefault="003A0A45">
      <w:r>
        <w:separator/>
      </w:r>
    </w:p>
  </w:footnote>
  <w:footnote w:type="continuationSeparator" w:id="0">
    <w:p w:rsidR="003A0A45" w:rsidRDefault="003A0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5"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33"/>
  </w:num>
  <w:num w:numId="5">
    <w:abstractNumId w:val="3"/>
  </w:num>
  <w:num w:numId="6">
    <w:abstractNumId w:val="27"/>
  </w:num>
  <w:num w:numId="7">
    <w:abstractNumId w:val="26"/>
  </w:num>
  <w:num w:numId="8">
    <w:abstractNumId w:val="14"/>
  </w:num>
  <w:num w:numId="9">
    <w:abstractNumId w:val="31"/>
  </w:num>
  <w:num w:numId="10">
    <w:abstractNumId w:val="0"/>
  </w:num>
  <w:num w:numId="11">
    <w:abstractNumId w:val="24"/>
  </w:num>
  <w:num w:numId="12">
    <w:abstractNumId w:val="17"/>
  </w:num>
  <w:num w:numId="13">
    <w:abstractNumId w:val="21"/>
  </w:num>
  <w:num w:numId="14">
    <w:abstractNumId w:val="9"/>
  </w:num>
  <w:num w:numId="15">
    <w:abstractNumId w:val="24"/>
  </w:num>
  <w:num w:numId="16">
    <w:abstractNumId w:val="13"/>
  </w:num>
  <w:num w:numId="17">
    <w:abstractNumId w:val="19"/>
  </w:num>
  <w:num w:numId="18">
    <w:abstractNumId w:val="36"/>
  </w:num>
  <w:num w:numId="19">
    <w:abstractNumId w:val="22"/>
  </w:num>
  <w:num w:numId="20">
    <w:abstractNumId w:val="25"/>
  </w:num>
  <w:num w:numId="21">
    <w:abstractNumId w:val="10"/>
  </w:num>
  <w:num w:numId="22">
    <w:abstractNumId w:val="23"/>
  </w:num>
  <w:num w:numId="23">
    <w:abstractNumId w:val="10"/>
  </w:num>
  <w:num w:numId="24">
    <w:abstractNumId w:val="16"/>
  </w:num>
  <w:num w:numId="25">
    <w:abstractNumId w:val="28"/>
  </w:num>
  <w:num w:numId="26">
    <w:abstractNumId w:val="10"/>
  </w:num>
  <w:num w:numId="27">
    <w:abstractNumId w:val="10"/>
  </w:num>
  <w:num w:numId="28">
    <w:abstractNumId w:val="10"/>
  </w:num>
  <w:num w:numId="29">
    <w:abstractNumId w:val="35"/>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4"/>
  </w:num>
  <w:num w:numId="33">
    <w:abstractNumId w:val="32"/>
  </w:num>
  <w:num w:numId="34">
    <w:abstractNumId w:val="7"/>
  </w:num>
  <w:num w:numId="35">
    <w:abstractNumId w:val="30"/>
  </w:num>
  <w:num w:numId="36">
    <w:abstractNumId w:val="4"/>
  </w:num>
  <w:num w:numId="37">
    <w:abstractNumId w:val="12"/>
  </w:num>
  <w:num w:numId="38">
    <w:abstractNumId w:val="2"/>
  </w:num>
  <w:num w:numId="39">
    <w:abstractNumId w:val="6"/>
  </w:num>
  <w:num w:numId="40">
    <w:abstractNumId w:val="11"/>
  </w:num>
  <w:num w:numId="41">
    <w:abstractNumId w:val="29"/>
  </w:num>
  <w:num w:numId="42">
    <w:abstractNumId w:val="15"/>
  </w:num>
  <w:num w:numId="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5DEA"/>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1FBA"/>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0E8"/>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0A45"/>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42F"/>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C84"/>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440"/>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3DD"/>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6A07"/>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226"/>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5779"/>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08"/>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D2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2621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0660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chapter-I/subchapter-B/part-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F7085-3485-47C3-B86E-A5308F8F8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34247</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797</cp:revision>
  <cp:lastPrinted>2010-01-07T02:23:00Z</cp:lastPrinted>
  <dcterms:created xsi:type="dcterms:W3CDTF">2021-02-10T02:54:00Z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