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37C2F2E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CA5196" w:rsidRPr="00CA5196">
        <w:rPr>
          <w:rFonts w:ascii="Arial" w:hAnsi="Arial" w:cs="Arial"/>
          <w:b/>
          <w:sz w:val="24"/>
          <w:lang w:val="en-US" w:eastAsia="zh-CN"/>
        </w:rPr>
        <w:t>R4-2412628</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5973D84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7C38" w:rsidRPr="00497C38">
        <w:rPr>
          <w:rFonts w:ascii="Arial" w:eastAsia="宋体" w:hAnsi="Arial"/>
          <w:b/>
          <w:sz w:val="24"/>
          <w:lang w:val="en-US" w:eastAsia="zh-CN"/>
        </w:rPr>
        <w:t>(</w:t>
      </w:r>
      <w:proofErr w:type="spellStart"/>
      <w:r w:rsidR="00497C38" w:rsidRPr="00497C38">
        <w:rPr>
          <w:rFonts w:ascii="Arial" w:eastAsia="宋体" w:hAnsi="Arial"/>
          <w:b/>
          <w:sz w:val="24"/>
          <w:lang w:val="en-US" w:eastAsia="zh-CN"/>
        </w:rPr>
        <w:t>NR_MG_enh</w:t>
      </w:r>
      <w:proofErr w:type="spellEnd"/>
      <w:r w:rsidR="00497C38" w:rsidRPr="00497C38">
        <w:rPr>
          <w:rFonts w:ascii="Arial" w:eastAsia="宋体" w:hAnsi="Arial"/>
          <w:b/>
          <w:sz w:val="24"/>
          <w:lang w:val="en-US" w:eastAsia="zh-CN"/>
        </w:rPr>
        <w:t>-Core) Discussion on remaining issues in Rel-17 MGE</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306843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97C38">
        <w:rPr>
          <w:rFonts w:ascii="Arial" w:eastAsia="宋体" w:hAnsi="Arial"/>
          <w:b/>
          <w:sz w:val="24"/>
          <w:lang w:val="en-US" w:eastAsia="zh-CN"/>
        </w:rPr>
        <w:t>4.5</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480A222C" w:rsidR="007E346E" w:rsidRDefault="0098441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w:t>
      </w:r>
      <w:r w:rsidR="00497C38">
        <w:rPr>
          <w:rFonts w:eastAsia="宋体"/>
          <w:lang w:eastAsia="zh-CN"/>
        </w:rPr>
        <w:t xml:space="preserve"> maintenance</w:t>
      </w:r>
      <w:r>
        <w:rPr>
          <w:rFonts w:eastAsia="宋体"/>
          <w:lang w:eastAsia="zh-CN"/>
        </w:rPr>
        <w:t xml:space="preserve"> for </w:t>
      </w:r>
      <w:r w:rsidR="00497C38">
        <w:rPr>
          <w:rFonts w:eastAsia="宋体"/>
          <w:lang w:eastAsia="zh-CN"/>
        </w:rPr>
        <w:t xml:space="preserve">R17 MGE </w:t>
      </w:r>
      <w:r>
        <w:rPr>
          <w:rFonts w:eastAsia="宋体"/>
          <w:lang w:eastAsia="zh-CN"/>
        </w:rPr>
        <w:t>are discussed in RAN4#111.</w:t>
      </w:r>
      <w:r w:rsidR="00497C38">
        <w:rPr>
          <w:rFonts w:eastAsia="宋体"/>
          <w:lang w:eastAsia="zh-CN"/>
        </w:rPr>
        <w:t xml:space="preserve"> One of the issues discussed is the VIL of NCSG patterns, and one WF </w:t>
      </w:r>
      <w:r w:rsidR="00AC7CA9">
        <w:rPr>
          <w:rFonts w:eastAsia="宋体"/>
          <w:lang w:eastAsia="zh-CN"/>
        </w:rPr>
        <w:t xml:space="preserve">[1] </w:t>
      </w:r>
      <w:r w:rsidR="00497C38">
        <w:rPr>
          <w:rFonts w:eastAsia="宋体"/>
          <w:lang w:eastAsia="zh-CN"/>
        </w:rPr>
        <w:t xml:space="preserve">is agreed which captures the issue and proposed options. </w:t>
      </w:r>
    </w:p>
    <w:p w14:paraId="49ADCE0E" w14:textId="50E58043"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w:t>
      </w:r>
      <w:r w:rsidR="00497C38">
        <w:rPr>
          <w:rFonts w:eastAsia="宋体"/>
          <w:lang w:eastAsia="zh-CN"/>
        </w:rPr>
        <w:t xml:space="preserve"> the VIL of NCSG patterns</w:t>
      </w:r>
      <w:r>
        <w:rPr>
          <w:rFonts w:eastAsia="宋体"/>
          <w:lang w:eastAsia="zh-CN"/>
        </w:rPr>
        <w:t>.</w:t>
      </w:r>
    </w:p>
    <w:p w14:paraId="2BC6DC68" w14:textId="4C6AE400" w:rsidR="00B719B0" w:rsidRDefault="00FA0C0C" w:rsidP="00E4186F">
      <w:pPr>
        <w:pStyle w:val="1"/>
        <w:jc w:val="both"/>
        <w:rPr>
          <w:lang w:val="en-US"/>
        </w:rPr>
      </w:pPr>
      <w:r>
        <w:rPr>
          <w:lang w:val="en-US"/>
        </w:rPr>
        <w:t>Discussion</w:t>
      </w:r>
    </w:p>
    <w:p w14:paraId="3BB9B4BC" w14:textId="3C3F63DF" w:rsidR="00AC7CA9" w:rsidRPr="00AC7CA9" w:rsidRDefault="00AC7CA9" w:rsidP="00AC7CA9">
      <w:pPr>
        <w:spacing w:before="120" w:after="120"/>
        <w:rPr>
          <w:rFonts w:eastAsiaTheme="minorEastAsia"/>
          <w:lang w:eastAsia="zh-CN"/>
        </w:rPr>
      </w:pPr>
      <w:r>
        <w:rPr>
          <w:rFonts w:eastAsiaTheme="minorEastAsia"/>
          <w:lang w:val="en-US" w:eastAsia="zh-CN"/>
        </w:rPr>
        <w:t>In our view, the issue in [1]is related to the following two tables which define the VIL of NCSG in number of interrupted slots.</w:t>
      </w:r>
      <w:r w:rsidRPr="00AC7CA9">
        <w:rPr>
          <w:rFonts w:eastAsiaTheme="minorEastAsia"/>
          <w:lang w:eastAsia="zh-CN"/>
        </w:rPr>
        <w:t xml:space="preserve"> </w:t>
      </w:r>
      <w:r>
        <w:rPr>
          <w:rFonts w:eastAsiaTheme="minorEastAsia"/>
          <w:lang w:eastAsia="zh-CN"/>
        </w:rPr>
        <w:t xml:space="preserve">From the titles of the tables, it can be seen that the VIL depends on whether the NCSG is per-UE, per-FR for FR1 or per-FR for FR2. </w:t>
      </w:r>
    </w:p>
    <w:p w14:paraId="56E051DC" w14:textId="77777777" w:rsidR="00AC7CA9" w:rsidRPr="00AC7CA9" w:rsidRDefault="00AC7CA9" w:rsidP="00AC7CA9">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zh-CN"/>
        </w:rPr>
      </w:pPr>
      <w:r w:rsidRPr="00AC7CA9">
        <w:rPr>
          <w:rFonts w:ascii="Arial" w:eastAsia="Times New Roman" w:hAnsi="Arial"/>
          <w:b/>
          <w:snapToGrid w:val="0"/>
          <w:sz w:val="20"/>
          <w:lang w:eastAsia="en-GB"/>
        </w:rPr>
        <w:t xml:space="preserve">Table </w:t>
      </w:r>
      <w:r w:rsidRPr="00AC7CA9">
        <w:rPr>
          <w:rFonts w:ascii="Arial" w:eastAsia="Times New Roman" w:hAnsi="Arial"/>
          <w:b/>
          <w:snapToGrid w:val="0"/>
          <w:sz w:val="20"/>
          <w:lang w:eastAsia="ko-KR"/>
        </w:rPr>
        <w:t>9.1.9</w:t>
      </w:r>
      <w:r w:rsidRPr="00AC7CA9">
        <w:rPr>
          <w:rFonts w:ascii="Arial" w:eastAsia="Times New Roman" w:hAnsi="Arial"/>
          <w:b/>
          <w:snapToGrid w:val="0"/>
          <w:sz w:val="20"/>
          <w:lang w:eastAsia="en-GB"/>
        </w:rPr>
        <w:t>-</w:t>
      </w:r>
      <w:r w:rsidRPr="00AC7CA9">
        <w:rPr>
          <w:rFonts w:ascii="Arial" w:eastAsia="Times New Roman" w:hAnsi="Arial"/>
          <w:b/>
          <w:snapToGrid w:val="0"/>
          <w:sz w:val="20"/>
          <w:lang w:eastAsia="ko-KR"/>
        </w:rPr>
        <w:t>1</w:t>
      </w:r>
      <w:r w:rsidRPr="00AC7CA9">
        <w:rPr>
          <w:rFonts w:ascii="Arial" w:eastAsia="Times New Roman" w:hAnsi="Arial"/>
          <w:b/>
          <w:snapToGrid w:val="0"/>
          <w:sz w:val="20"/>
          <w:lang w:eastAsia="en-GB"/>
        </w:rPr>
        <w:t xml:space="preserve">: </w:t>
      </w:r>
      <w:r w:rsidRPr="00AC7CA9">
        <w:rPr>
          <w:rFonts w:ascii="Arial" w:eastAsia="Times New Roman" w:hAnsi="Arial"/>
          <w:b/>
          <w:sz w:val="20"/>
          <w:lang w:val="en-US" w:eastAsia="ko-KR"/>
        </w:rPr>
        <w:t>Number of interrupted slot</w:t>
      </w:r>
      <w:r w:rsidRPr="00AC7CA9">
        <w:rPr>
          <w:rFonts w:ascii="Arial" w:hAnsi="Arial"/>
          <w:b/>
          <w:sz w:val="20"/>
          <w:lang w:val="en-US" w:eastAsia="ja-JP"/>
        </w:rPr>
        <w:t>s</w:t>
      </w:r>
      <w:r w:rsidRPr="00AC7CA9">
        <w:rPr>
          <w:rFonts w:ascii="Arial" w:eastAsia="Times New Roman" w:hAnsi="Arial"/>
          <w:b/>
          <w:sz w:val="20"/>
          <w:lang w:val="en-US" w:eastAsia="ko-KR"/>
        </w:rPr>
        <w:t xml:space="preserve"> on all serving cells </w:t>
      </w:r>
      <w:r w:rsidRPr="00AC7CA9">
        <w:rPr>
          <w:rFonts w:ascii="Arial" w:hAnsi="Arial"/>
          <w:b/>
          <w:snapToGrid w:val="0"/>
          <w:sz w:val="20"/>
          <w:lang w:eastAsia="ja-JP"/>
        </w:rPr>
        <w:t xml:space="preserve">for </w:t>
      </w:r>
      <w:r w:rsidRPr="00AC7CA9">
        <w:rPr>
          <w:rFonts w:ascii="Arial" w:hAnsi="Arial"/>
          <w:b/>
          <w:snapToGrid w:val="0"/>
          <w:sz w:val="20"/>
          <w:highlight w:val="yellow"/>
          <w:lang w:eastAsia="ja-JP"/>
        </w:rPr>
        <w:t>per-UE</w:t>
      </w:r>
      <w:r w:rsidRPr="00AC7CA9">
        <w:rPr>
          <w:rFonts w:ascii="Arial" w:eastAsia="Times New Roman" w:hAnsi="Arial"/>
          <w:b/>
          <w:sz w:val="20"/>
          <w:highlight w:val="yellow"/>
          <w:lang w:val="en-US" w:eastAsia="ko-KR"/>
        </w:rPr>
        <w:t xml:space="preserve"> NCSG</w:t>
      </w:r>
      <w:r w:rsidRPr="00AC7CA9">
        <w:rPr>
          <w:rFonts w:ascii="Arial" w:eastAsia="Times New Roman" w:hAnsi="Arial"/>
          <w:b/>
          <w:sz w:val="20"/>
          <w:lang w:val="en-US" w:eastAsia="ko-KR"/>
        </w:rPr>
        <w:t xml:space="preserve"> or FR1 serving cells for </w:t>
      </w:r>
      <w:r w:rsidRPr="00AC7CA9">
        <w:rPr>
          <w:rFonts w:ascii="Arial" w:eastAsia="Times New Roman" w:hAnsi="Arial"/>
          <w:b/>
          <w:sz w:val="20"/>
          <w:highlight w:val="yellow"/>
          <w:lang w:val="en-US" w:eastAsia="ko-KR"/>
        </w:rPr>
        <w:t>FR1 NCSG</w:t>
      </w:r>
      <w:r w:rsidRPr="00AC7CA9">
        <w:rPr>
          <w:rFonts w:ascii="Arial" w:eastAsia="Times New Roman" w:hAnsi="Arial"/>
          <w:b/>
          <w:sz w:val="20"/>
          <w:lang w:val="en-US" w:eastAsia="ko-KR"/>
        </w:rPr>
        <w:t xml:space="preserve"> during each VIL</w:t>
      </w:r>
      <w:r w:rsidRPr="00AC7CA9">
        <w:rPr>
          <w:rFonts w:ascii="Arial" w:eastAsia="Times New Roman" w:hAnsi="Arial"/>
          <w:b/>
          <w:sz w:val="20"/>
          <w:lang w:eastAsia="zh-CN"/>
        </w:rPr>
        <w:t xml:space="preserve"> 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AC7CA9" w:rsidRPr="00AC7CA9" w14:paraId="3BC65444" w14:textId="77777777" w:rsidTr="001A790C">
        <w:trPr>
          <w:jc w:val="center"/>
        </w:trPr>
        <w:tc>
          <w:tcPr>
            <w:tcW w:w="791" w:type="dxa"/>
            <w:tcBorders>
              <w:bottom w:val="nil"/>
            </w:tcBorders>
            <w:shd w:val="clear" w:color="auto" w:fill="auto"/>
          </w:tcPr>
          <w:p w14:paraId="76B1461A"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NR</w:t>
            </w:r>
          </w:p>
        </w:tc>
        <w:tc>
          <w:tcPr>
            <w:tcW w:w="2748" w:type="dxa"/>
          </w:tcPr>
          <w:p w14:paraId="09DB43D7"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Number of interrupted slot</w:t>
            </w:r>
            <w:r w:rsidRPr="00AC7CA9">
              <w:rPr>
                <w:rFonts w:ascii="Arial" w:hAnsi="Arial"/>
                <w:b/>
                <w:sz w:val="18"/>
                <w:lang w:eastAsia="ja-JP"/>
              </w:rPr>
              <w:t>s</w:t>
            </w:r>
            <w:r w:rsidRPr="00AC7CA9">
              <w:rPr>
                <w:rFonts w:ascii="Arial" w:eastAsia="Times New Roman" w:hAnsi="Arial"/>
                <w:b/>
                <w:sz w:val="18"/>
                <w:lang w:eastAsia="ko-KR"/>
              </w:rPr>
              <w:t xml:space="preserve"> on serving cells</w:t>
            </w:r>
          </w:p>
        </w:tc>
      </w:tr>
      <w:tr w:rsidR="00AC7CA9" w:rsidRPr="00AC7CA9" w14:paraId="4C39E05D" w14:textId="77777777" w:rsidTr="001A790C">
        <w:trPr>
          <w:jc w:val="center"/>
        </w:trPr>
        <w:tc>
          <w:tcPr>
            <w:tcW w:w="791" w:type="dxa"/>
            <w:tcBorders>
              <w:top w:val="nil"/>
              <w:bottom w:val="nil"/>
            </w:tcBorders>
            <w:shd w:val="clear" w:color="auto" w:fill="auto"/>
          </w:tcPr>
          <w:p w14:paraId="429B8148"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en-GB"/>
              </w:rPr>
              <w:t>SCS</w:t>
            </w:r>
          </w:p>
        </w:tc>
        <w:tc>
          <w:tcPr>
            <w:tcW w:w="2748" w:type="dxa"/>
          </w:tcPr>
          <w:p w14:paraId="62BB730F"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ko-KR"/>
              </w:rPr>
              <w:t>When MG timing advance of 0ms is applied</w:t>
            </w:r>
          </w:p>
        </w:tc>
      </w:tr>
      <w:tr w:rsidR="00AC7CA9" w:rsidRPr="00AC7CA9" w14:paraId="62D2BD3F" w14:textId="77777777" w:rsidTr="001A790C">
        <w:trPr>
          <w:jc w:val="center"/>
        </w:trPr>
        <w:tc>
          <w:tcPr>
            <w:tcW w:w="791" w:type="dxa"/>
            <w:tcBorders>
              <w:top w:val="nil"/>
            </w:tcBorders>
            <w:shd w:val="clear" w:color="auto" w:fill="auto"/>
          </w:tcPr>
          <w:p w14:paraId="6361286C"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en-GB"/>
              </w:rPr>
              <w:t>(kHz)</w:t>
            </w:r>
          </w:p>
        </w:tc>
        <w:tc>
          <w:tcPr>
            <w:tcW w:w="2748" w:type="dxa"/>
          </w:tcPr>
          <w:p w14:paraId="2158B2DE"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en-GB"/>
              </w:rPr>
              <w:t>VIL=1ms</w:t>
            </w:r>
          </w:p>
        </w:tc>
      </w:tr>
      <w:tr w:rsidR="00AC7CA9" w:rsidRPr="00AC7CA9" w14:paraId="1D3CCFA1" w14:textId="77777777" w:rsidTr="001A790C">
        <w:trPr>
          <w:jc w:val="center"/>
        </w:trPr>
        <w:tc>
          <w:tcPr>
            <w:tcW w:w="791" w:type="dxa"/>
            <w:shd w:val="clear" w:color="auto" w:fill="auto"/>
          </w:tcPr>
          <w:p w14:paraId="49B3087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15</w:t>
            </w:r>
          </w:p>
        </w:tc>
        <w:tc>
          <w:tcPr>
            <w:tcW w:w="2748" w:type="dxa"/>
          </w:tcPr>
          <w:p w14:paraId="7459346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1</w:t>
            </w:r>
          </w:p>
        </w:tc>
      </w:tr>
      <w:tr w:rsidR="00AC7CA9" w:rsidRPr="00AC7CA9" w14:paraId="18A36911" w14:textId="77777777" w:rsidTr="001A790C">
        <w:trPr>
          <w:jc w:val="center"/>
        </w:trPr>
        <w:tc>
          <w:tcPr>
            <w:tcW w:w="791" w:type="dxa"/>
            <w:shd w:val="clear" w:color="auto" w:fill="auto"/>
          </w:tcPr>
          <w:p w14:paraId="40F6168D"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30</w:t>
            </w:r>
          </w:p>
        </w:tc>
        <w:tc>
          <w:tcPr>
            <w:tcW w:w="2748" w:type="dxa"/>
          </w:tcPr>
          <w:p w14:paraId="3BCBE881"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2</w:t>
            </w:r>
          </w:p>
        </w:tc>
      </w:tr>
      <w:tr w:rsidR="00AC7CA9" w:rsidRPr="00AC7CA9" w14:paraId="74362836" w14:textId="77777777" w:rsidTr="001A790C">
        <w:trPr>
          <w:jc w:val="center"/>
        </w:trPr>
        <w:tc>
          <w:tcPr>
            <w:tcW w:w="791" w:type="dxa"/>
            <w:shd w:val="clear" w:color="auto" w:fill="auto"/>
          </w:tcPr>
          <w:p w14:paraId="50028099"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60</w:t>
            </w:r>
          </w:p>
        </w:tc>
        <w:tc>
          <w:tcPr>
            <w:tcW w:w="2748" w:type="dxa"/>
          </w:tcPr>
          <w:p w14:paraId="0B0C5C1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4</w:t>
            </w:r>
          </w:p>
        </w:tc>
      </w:tr>
      <w:tr w:rsidR="00AC7CA9" w:rsidRPr="00AC7CA9" w14:paraId="7F022394" w14:textId="77777777" w:rsidTr="001A790C">
        <w:trPr>
          <w:jc w:val="center"/>
        </w:trPr>
        <w:tc>
          <w:tcPr>
            <w:tcW w:w="791" w:type="dxa"/>
            <w:shd w:val="clear" w:color="auto" w:fill="auto"/>
          </w:tcPr>
          <w:p w14:paraId="5CB1867E"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120</w:t>
            </w:r>
          </w:p>
        </w:tc>
        <w:tc>
          <w:tcPr>
            <w:tcW w:w="2748" w:type="dxa"/>
          </w:tcPr>
          <w:p w14:paraId="218178C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8</w:t>
            </w:r>
          </w:p>
        </w:tc>
      </w:tr>
      <w:tr w:rsidR="00AC7CA9" w:rsidRPr="00AC7CA9" w14:paraId="01868349" w14:textId="77777777" w:rsidTr="001A790C">
        <w:trPr>
          <w:jc w:val="center"/>
        </w:trPr>
        <w:tc>
          <w:tcPr>
            <w:tcW w:w="3539" w:type="dxa"/>
            <w:gridSpan w:val="2"/>
            <w:shd w:val="clear" w:color="auto" w:fill="auto"/>
          </w:tcPr>
          <w:p w14:paraId="101BF010" w14:textId="77777777" w:rsidR="00AC7CA9" w:rsidRPr="00AC7CA9" w:rsidRDefault="00AC7CA9" w:rsidP="00AC7CA9">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AC7CA9">
              <w:rPr>
                <w:rFonts w:ascii="Arial" w:eastAsia="Times New Roman" w:hAnsi="Arial"/>
                <w:sz w:val="18"/>
                <w:lang w:eastAsia="en-GB"/>
              </w:rPr>
              <w:t>NOTE 1:</w:t>
            </w:r>
            <w:r w:rsidRPr="00AC7CA9">
              <w:rPr>
                <w:rFonts w:ascii="Arial" w:eastAsia="Times New Roman" w:hAnsi="Arial"/>
                <w:sz w:val="18"/>
                <w:lang w:eastAsia="en-GB"/>
              </w:rPr>
              <w:tab/>
              <w:t>NR SCS of 120 kHz is only applicable to the case with per-UE NCSG.</w:t>
            </w:r>
          </w:p>
          <w:p w14:paraId="1AD53CB4" w14:textId="77777777" w:rsidR="00AC7CA9" w:rsidRPr="00AC7CA9" w:rsidRDefault="00AC7CA9" w:rsidP="00AC7CA9">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AC7CA9">
              <w:rPr>
                <w:rFonts w:ascii="Arial" w:eastAsia="Times New Roman" w:hAnsi="Arial"/>
                <w:sz w:val="18"/>
                <w:lang w:eastAsia="en-GB"/>
              </w:rPr>
              <w:t>NOTE 2:</w:t>
            </w:r>
            <w:r w:rsidRPr="00AC7CA9">
              <w:rPr>
                <w:rFonts w:ascii="Arial" w:eastAsia="Times New Roman" w:hAnsi="Arial"/>
                <w:sz w:val="18"/>
                <w:lang w:eastAsia="en-GB"/>
              </w:rPr>
              <w:tab/>
              <w:t>Void</w:t>
            </w:r>
          </w:p>
        </w:tc>
      </w:tr>
    </w:tbl>
    <w:p w14:paraId="20673C59" w14:textId="77777777" w:rsidR="00AC7CA9" w:rsidRPr="00AC7CA9" w:rsidRDefault="00AC7CA9" w:rsidP="00AC7CA9">
      <w:pPr>
        <w:overflowPunct w:val="0"/>
        <w:autoSpaceDE w:val="0"/>
        <w:autoSpaceDN w:val="0"/>
        <w:adjustRightInd w:val="0"/>
        <w:spacing w:beforeLines="0" w:before="0" w:afterLines="0" w:after="180"/>
        <w:textAlignment w:val="baseline"/>
        <w:rPr>
          <w:rFonts w:eastAsia="Times New Roman"/>
          <w:sz w:val="20"/>
          <w:lang w:eastAsia="en-GB"/>
        </w:rPr>
      </w:pPr>
    </w:p>
    <w:p w14:paraId="3382D7FC" w14:textId="77777777" w:rsidR="00AC7CA9" w:rsidRPr="00AC7CA9" w:rsidRDefault="00AC7CA9" w:rsidP="00AC7CA9">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val="en-US" w:eastAsia="en-GB"/>
        </w:rPr>
      </w:pPr>
      <w:r w:rsidRPr="00AC7CA9">
        <w:rPr>
          <w:rFonts w:ascii="Arial" w:eastAsia="Times New Roman" w:hAnsi="Arial"/>
          <w:b/>
          <w:sz w:val="20"/>
          <w:lang w:eastAsia="en-GB"/>
        </w:rPr>
        <w:t xml:space="preserve">Table 9.1.9-2: </w:t>
      </w:r>
      <w:r w:rsidRPr="00AC7CA9">
        <w:rPr>
          <w:rFonts w:ascii="Arial" w:eastAsia="Times New Roman" w:hAnsi="Arial"/>
          <w:b/>
          <w:sz w:val="20"/>
          <w:lang w:val="en-US" w:eastAsia="en-GB"/>
        </w:rPr>
        <w:t xml:space="preserve">Number of interrupted slots on FR2 serving cells for </w:t>
      </w:r>
      <w:r w:rsidRPr="00AC7CA9">
        <w:rPr>
          <w:rFonts w:ascii="Arial" w:eastAsia="Times New Roman" w:hAnsi="Arial"/>
          <w:b/>
          <w:sz w:val="20"/>
          <w:highlight w:val="yellow"/>
          <w:lang w:val="en-US" w:eastAsia="en-GB"/>
        </w:rPr>
        <w:t>FR2 NCSG</w:t>
      </w:r>
      <w:r w:rsidRPr="00AC7CA9">
        <w:rPr>
          <w:rFonts w:ascii="Arial" w:eastAsia="Times New Roman" w:hAnsi="Arial"/>
          <w:b/>
          <w:sz w:val="20"/>
          <w:lang w:val="en-US" w:eastAsia="en-GB"/>
        </w:rPr>
        <w:t xml:space="preserve"> during each VIL </w:t>
      </w:r>
      <w:r w:rsidRPr="00AC7CA9">
        <w:rPr>
          <w:rFonts w:ascii="Arial" w:hAnsi="Arial"/>
          <w:b/>
          <w:sz w:val="20"/>
          <w:lang w:val="en-US" w:eastAsia="ja-JP"/>
        </w:rPr>
        <w:t>in NR standalone operation (with single carrier, NR CA)</w:t>
      </w:r>
      <w:r w:rsidRPr="00AC7CA9">
        <w:rPr>
          <w:rFonts w:ascii="Arial" w:eastAsia="Times New Roman" w:hAnsi="Arial"/>
          <w:b/>
          <w:sz w:val="20"/>
          <w:lang w:val="en-US"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AC7CA9" w:rsidRPr="00AC7CA9" w14:paraId="7B3FB4B3" w14:textId="77777777" w:rsidTr="001A790C">
        <w:trPr>
          <w:trHeight w:val="252"/>
          <w:jc w:val="center"/>
        </w:trPr>
        <w:tc>
          <w:tcPr>
            <w:tcW w:w="762" w:type="dxa"/>
            <w:tcBorders>
              <w:bottom w:val="nil"/>
            </w:tcBorders>
            <w:shd w:val="clear" w:color="auto" w:fill="auto"/>
          </w:tcPr>
          <w:p w14:paraId="3DA49F9F"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ko-KR"/>
              </w:rPr>
              <w:t xml:space="preserve">NR </w:t>
            </w:r>
          </w:p>
        </w:tc>
        <w:tc>
          <w:tcPr>
            <w:tcW w:w="5612" w:type="dxa"/>
            <w:gridSpan w:val="2"/>
          </w:tcPr>
          <w:p w14:paraId="6F8C7A6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Number of interrupted slot</w:t>
            </w:r>
            <w:r w:rsidRPr="00AC7CA9">
              <w:rPr>
                <w:rFonts w:ascii="Arial" w:hAnsi="Arial"/>
                <w:b/>
                <w:sz w:val="18"/>
                <w:lang w:eastAsia="ja-JP"/>
              </w:rPr>
              <w:t>s</w:t>
            </w:r>
            <w:r w:rsidRPr="00AC7CA9">
              <w:rPr>
                <w:rFonts w:ascii="Arial" w:eastAsia="Times New Roman" w:hAnsi="Arial"/>
                <w:b/>
                <w:sz w:val="18"/>
                <w:lang w:eastAsia="ko-KR"/>
              </w:rPr>
              <w:t xml:space="preserve"> on serving cells</w:t>
            </w:r>
          </w:p>
        </w:tc>
      </w:tr>
      <w:tr w:rsidR="00AC7CA9" w:rsidRPr="00AC7CA9" w14:paraId="416D05A1" w14:textId="77777777" w:rsidTr="001A790C">
        <w:trPr>
          <w:jc w:val="center"/>
        </w:trPr>
        <w:tc>
          <w:tcPr>
            <w:tcW w:w="762" w:type="dxa"/>
            <w:tcBorders>
              <w:top w:val="nil"/>
              <w:bottom w:val="nil"/>
            </w:tcBorders>
            <w:shd w:val="clear" w:color="auto" w:fill="auto"/>
          </w:tcPr>
          <w:p w14:paraId="560432BC"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SCS</w:t>
            </w:r>
          </w:p>
        </w:tc>
        <w:tc>
          <w:tcPr>
            <w:tcW w:w="2777" w:type="dxa"/>
          </w:tcPr>
          <w:p w14:paraId="7A1B2BF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When MG timing advance of 0ms is applied</w:t>
            </w:r>
          </w:p>
        </w:tc>
        <w:tc>
          <w:tcPr>
            <w:tcW w:w="2835" w:type="dxa"/>
          </w:tcPr>
          <w:p w14:paraId="7F7187A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When MG timing advance of 0.75ms is applied</w:t>
            </w:r>
          </w:p>
        </w:tc>
      </w:tr>
      <w:tr w:rsidR="00AC7CA9" w:rsidRPr="00AC7CA9" w14:paraId="39CA21F5" w14:textId="77777777" w:rsidTr="001A790C">
        <w:trPr>
          <w:jc w:val="center"/>
        </w:trPr>
        <w:tc>
          <w:tcPr>
            <w:tcW w:w="762" w:type="dxa"/>
            <w:tcBorders>
              <w:top w:val="nil"/>
            </w:tcBorders>
            <w:shd w:val="clear" w:color="auto" w:fill="auto"/>
          </w:tcPr>
          <w:p w14:paraId="0E7DB8C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en-GB"/>
              </w:rPr>
              <w:t>(kHz)</w:t>
            </w:r>
          </w:p>
        </w:tc>
        <w:tc>
          <w:tcPr>
            <w:tcW w:w="2777" w:type="dxa"/>
          </w:tcPr>
          <w:p w14:paraId="08254744"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VIL=0.75ms</w:t>
            </w:r>
          </w:p>
        </w:tc>
        <w:tc>
          <w:tcPr>
            <w:tcW w:w="2835" w:type="dxa"/>
          </w:tcPr>
          <w:p w14:paraId="192BA0F2"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AC7CA9">
              <w:rPr>
                <w:rFonts w:ascii="Arial" w:eastAsia="Times New Roman" w:hAnsi="Arial"/>
                <w:b/>
                <w:sz w:val="18"/>
                <w:lang w:eastAsia="ko-KR"/>
              </w:rPr>
              <w:t>VIL=0.75ms</w:t>
            </w:r>
          </w:p>
        </w:tc>
      </w:tr>
      <w:tr w:rsidR="00AC7CA9" w:rsidRPr="00AC7CA9" w14:paraId="42D1425E" w14:textId="77777777" w:rsidTr="001A790C">
        <w:trPr>
          <w:jc w:val="center"/>
        </w:trPr>
        <w:tc>
          <w:tcPr>
            <w:tcW w:w="762" w:type="dxa"/>
            <w:shd w:val="clear" w:color="auto" w:fill="auto"/>
          </w:tcPr>
          <w:p w14:paraId="1A8576C5"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60</w:t>
            </w:r>
          </w:p>
        </w:tc>
        <w:tc>
          <w:tcPr>
            <w:tcW w:w="2777" w:type="dxa"/>
          </w:tcPr>
          <w:p w14:paraId="0D2A10FA"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3</w:t>
            </w:r>
          </w:p>
        </w:tc>
        <w:tc>
          <w:tcPr>
            <w:tcW w:w="2835" w:type="dxa"/>
          </w:tcPr>
          <w:p w14:paraId="21D9FD25"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3</w:t>
            </w:r>
          </w:p>
        </w:tc>
      </w:tr>
      <w:tr w:rsidR="00AC7CA9" w:rsidRPr="00AC7CA9" w14:paraId="72D42B8C" w14:textId="77777777" w:rsidTr="001A790C">
        <w:trPr>
          <w:jc w:val="center"/>
        </w:trPr>
        <w:tc>
          <w:tcPr>
            <w:tcW w:w="762" w:type="dxa"/>
            <w:shd w:val="clear" w:color="auto" w:fill="auto"/>
          </w:tcPr>
          <w:p w14:paraId="70EBE663"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120</w:t>
            </w:r>
          </w:p>
        </w:tc>
        <w:tc>
          <w:tcPr>
            <w:tcW w:w="2777" w:type="dxa"/>
          </w:tcPr>
          <w:p w14:paraId="24F266C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 xml:space="preserve">6 </w:t>
            </w:r>
          </w:p>
        </w:tc>
        <w:tc>
          <w:tcPr>
            <w:tcW w:w="2835" w:type="dxa"/>
          </w:tcPr>
          <w:p w14:paraId="025E32EC"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AC7CA9">
              <w:rPr>
                <w:rFonts w:ascii="Arial" w:eastAsia="Times New Roman" w:hAnsi="Arial"/>
                <w:sz w:val="18"/>
                <w:lang w:eastAsia="ko-KR"/>
              </w:rPr>
              <w:t>6</w:t>
            </w:r>
          </w:p>
        </w:tc>
      </w:tr>
      <w:tr w:rsidR="00AC7CA9" w:rsidRPr="00AC7CA9" w14:paraId="61FB8C20" w14:textId="77777777" w:rsidTr="001A790C">
        <w:trPr>
          <w:trHeight w:val="436"/>
          <w:jc w:val="center"/>
        </w:trPr>
        <w:tc>
          <w:tcPr>
            <w:tcW w:w="6374" w:type="dxa"/>
            <w:gridSpan w:val="3"/>
          </w:tcPr>
          <w:p w14:paraId="50979352" w14:textId="77777777" w:rsidR="00AC7CA9" w:rsidRPr="00AC7CA9" w:rsidRDefault="00AC7CA9" w:rsidP="00AC7CA9">
            <w:pPr>
              <w:keepNext/>
              <w:keepLines/>
              <w:overflowPunct w:val="0"/>
              <w:autoSpaceDE w:val="0"/>
              <w:autoSpaceDN w:val="0"/>
              <w:adjustRightInd w:val="0"/>
              <w:spacing w:beforeLines="0" w:before="0" w:afterLines="0" w:after="0"/>
              <w:ind w:left="851" w:hanging="851"/>
              <w:textAlignment w:val="baseline"/>
              <w:rPr>
                <w:rFonts w:eastAsia="Times New Roman"/>
                <w:sz w:val="20"/>
                <w:lang w:eastAsia="en-GB"/>
              </w:rPr>
            </w:pPr>
            <w:r w:rsidRPr="00AC7CA9">
              <w:rPr>
                <w:rFonts w:ascii="Arial" w:eastAsia="Times New Roman" w:hAnsi="Arial"/>
                <w:sz w:val="18"/>
                <w:lang w:eastAsia="en-GB"/>
              </w:rPr>
              <w:t>NOTE 1:</w:t>
            </w:r>
            <w:r w:rsidRPr="00AC7CA9">
              <w:rPr>
                <w:rFonts w:ascii="Arial" w:eastAsia="Times New Roman" w:hAnsi="Arial"/>
                <w:sz w:val="18"/>
                <w:lang w:eastAsia="en-GB"/>
              </w:rPr>
              <w:tab/>
              <w:t>Void</w:t>
            </w:r>
          </w:p>
        </w:tc>
      </w:tr>
    </w:tbl>
    <w:p w14:paraId="268245D3" w14:textId="761BA316" w:rsidR="00911BF9" w:rsidRDefault="00AC7CA9" w:rsidP="00911BF9">
      <w:pPr>
        <w:spacing w:before="120" w:after="120"/>
        <w:rPr>
          <w:rFonts w:eastAsiaTheme="minorEastAsia"/>
          <w:lang w:eastAsia="zh-CN"/>
        </w:rPr>
      </w:pPr>
      <w:r>
        <w:rPr>
          <w:rFonts w:eastAsiaTheme="minorEastAsia"/>
          <w:lang w:eastAsia="zh-CN"/>
        </w:rPr>
        <w:t xml:space="preserve">On the other hand, in Table </w:t>
      </w:r>
      <w:r w:rsidRPr="00AC7CA9">
        <w:rPr>
          <w:rFonts w:eastAsiaTheme="minorEastAsia"/>
          <w:lang w:eastAsia="zh-CN"/>
        </w:rPr>
        <w:t>9.1.9.3-2</w:t>
      </w:r>
      <w:r>
        <w:rPr>
          <w:rFonts w:eastAsiaTheme="minorEastAsia"/>
          <w:lang w:eastAsia="zh-CN"/>
        </w:rPr>
        <w:t xml:space="preserve">, there is one special case for per-UE NCSG, which both serving cells and MOs are in FR2. </w:t>
      </w:r>
    </w:p>
    <w:p w14:paraId="5606970D" w14:textId="77777777" w:rsidR="00AC7CA9" w:rsidRPr="00AC7CA9" w:rsidRDefault="00AC7CA9" w:rsidP="00AC7CA9">
      <w:pPr>
        <w:keepNext/>
        <w:keepLines/>
        <w:overflowPunct w:val="0"/>
        <w:autoSpaceDE w:val="0"/>
        <w:autoSpaceDN w:val="0"/>
        <w:adjustRightInd w:val="0"/>
        <w:spacing w:beforeLines="0" w:before="60" w:afterLines="0" w:after="180"/>
        <w:jc w:val="center"/>
        <w:textAlignment w:val="baseline"/>
        <w:rPr>
          <w:rFonts w:ascii="Arial" w:eastAsia="Times New Roman" w:hAnsi="Arial"/>
          <w:b/>
          <w:snapToGrid w:val="0"/>
          <w:sz w:val="20"/>
          <w:lang w:eastAsia="zh-CN"/>
        </w:rPr>
      </w:pPr>
      <w:r w:rsidRPr="00AC7CA9">
        <w:rPr>
          <w:rFonts w:ascii="Arial" w:eastAsia="Times New Roman" w:hAnsi="Arial"/>
          <w:b/>
          <w:snapToGrid w:val="0"/>
          <w:sz w:val="20"/>
          <w:lang w:eastAsia="en-GB"/>
        </w:rPr>
        <w:lastRenderedPageBreak/>
        <w:t>Table 9.1.9.3-2: Applicability for NCSG pattern configurations supported by the UE for NR standalone operation</w:t>
      </w:r>
      <w:r w:rsidRPr="00AC7CA9">
        <w:rPr>
          <w:rFonts w:ascii="Arial" w:eastAsia="Times New Roman" w:hAnsi="Arial"/>
          <w:b/>
          <w:snapToGrid w:val="0"/>
          <w:sz w:val="20"/>
          <w:lang w:eastAsia="zh-CN"/>
        </w:rPr>
        <w:t xml:space="preserve"> with single carrier or 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938"/>
        <w:gridCol w:w="1722"/>
        <w:gridCol w:w="5223"/>
      </w:tblGrid>
      <w:tr w:rsidR="00AC7CA9" w:rsidRPr="00AC7CA9" w14:paraId="21D37476" w14:textId="77777777" w:rsidTr="001A790C">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55DD9EDE"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zh-CN"/>
              </w:rPr>
              <w:t>NCSG pattern</w:t>
            </w:r>
            <w:r w:rsidRPr="00AC7CA9">
              <w:rPr>
                <w:rFonts w:ascii="Arial" w:eastAsia="Times New Roman" w:hAnsi="Arial"/>
                <w:b/>
                <w:sz w:val="18"/>
                <w:lang w:eastAsia="en-GB"/>
              </w:rPr>
              <w:t xml:space="preserve"> configuration</w:t>
            </w:r>
          </w:p>
        </w:tc>
        <w:tc>
          <w:tcPr>
            <w:tcW w:w="925" w:type="pct"/>
            <w:tcBorders>
              <w:top w:val="single" w:sz="4" w:space="0" w:color="auto"/>
              <w:left w:val="single" w:sz="4" w:space="0" w:color="auto"/>
              <w:bottom w:val="single" w:sz="4" w:space="0" w:color="auto"/>
              <w:right w:val="single" w:sz="4" w:space="0" w:color="auto"/>
            </w:tcBorders>
            <w:hideMark/>
          </w:tcPr>
          <w:p w14:paraId="32249FFD"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en-GB"/>
              </w:rPr>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421A719F"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en-GB"/>
              </w:rPr>
              <w:t>Measurement Purpose</w:t>
            </w:r>
            <w:r w:rsidRPr="00AC7CA9">
              <w:rPr>
                <w:rFonts w:ascii="Arial" w:eastAsia="Times New Roman" w:hAnsi="Arial"/>
                <w:b/>
                <w:sz w:val="18"/>
                <w:vertAlign w:val="superscript"/>
                <w:lang w:eastAsia="en-GB"/>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0B85A9E5"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C7CA9">
              <w:rPr>
                <w:rFonts w:ascii="Arial" w:eastAsia="Times New Roman" w:hAnsi="Arial"/>
                <w:b/>
                <w:sz w:val="18"/>
                <w:lang w:eastAsia="en-GB"/>
              </w:rPr>
              <w:t>Applicable NCSG Pattern Id</w:t>
            </w:r>
          </w:p>
        </w:tc>
      </w:tr>
      <w:tr w:rsidR="00AC7CA9" w:rsidRPr="00AC7CA9" w14:paraId="24D66030" w14:textId="77777777" w:rsidTr="001A790C">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4827842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925" w:type="pct"/>
            <w:tcBorders>
              <w:top w:val="single" w:sz="4" w:space="0" w:color="auto"/>
              <w:left w:val="single" w:sz="4" w:space="0" w:color="auto"/>
              <w:bottom w:val="nil"/>
              <w:right w:val="single" w:sz="4" w:space="0" w:color="auto"/>
            </w:tcBorders>
            <w:vAlign w:val="center"/>
          </w:tcPr>
          <w:p w14:paraId="2F065364"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FR1, or</w:t>
            </w:r>
          </w:p>
          <w:p w14:paraId="20BA0124"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FR1 + FR2</w:t>
            </w:r>
          </w:p>
        </w:tc>
        <w:tc>
          <w:tcPr>
            <w:tcW w:w="822" w:type="pct"/>
            <w:tcBorders>
              <w:top w:val="single" w:sz="4" w:space="0" w:color="auto"/>
              <w:left w:val="single" w:sz="4" w:space="0" w:color="auto"/>
              <w:bottom w:val="single" w:sz="4" w:space="0" w:color="auto"/>
              <w:right w:val="single" w:sz="4" w:space="0" w:color="auto"/>
            </w:tcBorders>
            <w:hideMark/>
          </w:tcPr>
          <w:p w14:paraId="1ACA8571"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E-UTRA</w:t>
            </w:r>
          </w:p>
        </w:tc>
        <w:tc>
          <w:tcPr>
            <w:tcW w:w="2493" w:type="pct"/>
            <w:tcBorders>
              <w:top w:val="single" w:sz="4" w:space="0" w:color="auto"/>
              <w:left w:val="single" w:sz="4" w:space="0" w:color="auto"/>
              <w:bottom w:val="single" w:sz="4" w:space="0" w:color="auto"/>
              <w:right w:val="single" w:sz="4" w:space="0" w:color="auto"/>
            </w:tcBorders>
            <w:hideMark/>
          </w:tcPr>
          <w:p w14:paraId="666DFED7"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0,1,2,3</w:t>
            </w:r>
          </w:p>
        </w:tc>
      </w:tr>
      <w:tr w:rsidR="00AC7CA9" w:rsidRPr="00AC7CA9" w14:paraId="34CDD7C1" w14:textId="77777777" w:rsidTr="001A790C">
        <w:trPr>
          <w:cantSplit/>
          <w:trHeight w:val="187"/>
          <w:jc w:val="center"/>
        </w:trPr>
        <w:tc>
          <w:tcPr>
            <w:tcW w:w="0" w:type="auto"/>
            <w:tcBorders>
              <w:top w:val="nil"/>
              <w:left w:val="single" w:sz="4" w:space="0" w:color="auto"/>
              <w:bottom w:val="nil"/>
              <w:right w:val="single" w:sz="4" w:space="0" w:color="auto"/>
            </w:tcBorders>
            <w:vAlign w:val="center"/>
            <w:hideMark/>
          </w:tcPr>
          <w:p w14:paraId="4F34E25C"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3ADCC3D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425279A2"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FR1 and/or FR2</w:t>
            </w:r>
          </w:p>
        </w:tc>
        <w:tc>
          <w:tcPr>
            <w:tcW w:w="2493" w:type="pct"/>
            <w:tcBorders>
              <w:top w:val="single" w:sz="4" w:space="0" w:color="auto"/>
              <w:left w:val="single" w:sz="4" w:space="0" w:color="auto"/>
              <w:bottom w:val="single" w:sz="4" w:space="0" w:color="auto"/>
              <w:right w:val="single" w:sz="4" w:space="0" w:color="auto"/>
            </w:tcBorders>
            <w:hideMark/>
          </w:tcPr>
          <w:p w14:paraId="711103D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0-11</w:t>
            </w:r>
          </w:p>
        </w:tc>
      </w:tr>
      <w:tr w:rsidR="00AC7CA9" w:rsidRPr="00AC7CA9" w14:paraId="7BC86027" w14:textId="77777777" w:rsidTr="001A790C">
        <w:trPr>
          <w:cantSplit/>
          <w:trHeight w:val="187"/>
          <w:jc w:val="center"/>
        </w:trPr>
        <w:tc>
          <w:tcPr>
            <w:tcW w:w="0" w:type="auto"/>
            <w:tcBorders>
              <w:top w:val="nil"/>
              <w:left w:val="single" w:sz="4" w:space="0" w:color="auto"/>
              <w:bottom w:val="nil"/>
              <w:right w:val="single" w:sz="4" w:space="0" w:color="auto"/>
            </w:tcBorders>
            <w:vAlign w:val="center"/>
            <w:hideMark/>
          </w:tcPr>
          <w:p w14:paraId="57DACFDE"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0655FCE"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4C190161"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7656D222"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w:t>
            </w:r>
            <w:r w:rsidRPr="00AC7CA9">
              <w:rPr>
                <w:rFonts w:ascii="Arial" w:eastAsia="Times New Roman" w:hAnsi="Arial"/>
                <w:snapToGrid w:val="0"/>
                <w:sz w:val="18"/>
                <w:lang w:eastAsia="zh-CN"/>
              </w:rPr>
              <w:t>, 1, 2, 3, 4, 6, 7, 8,10</w:t>
            </w:r>
          </w:p>
        </w:tc>
      </w:tr>
      <w:tr w:rsidR="00AC7CA9" w:rsidRPr="00AC7CA9" w14:paraId="25EE04C6" w14:textId="77777777" w:rsidTr="00AC7CA9">
        <w:trPr>
          <w:cantSplit/>
          <w:trHeight w:val="187"/>
          <w:jc w:val="center"/>
        </w:trPr>
        <w:tc>
          <w:tcPr>
            <w:tcW w:w="0" w:type="auto"/>
            <w:tcBorders>
              <w:top w:val="nil"/>
              <w:left w:val="single" w:sz="4" w:space="0" w:color="auto"/>
              <w:bottom w:val="nil"/>
              <w:right w:val="single" w:sz="4" w:space="0" w:color="auto"/>
            </w:tcBorders>
            <w:shd w:val="clear" w:color="auto" w:fill="FFFF00"/>
            <w:vAlign w:val="center"/>
            <w:hideMark/>
          </w:tcPr>
          <w:p w14:paraId="511DB778"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 xml:space="preserve">Per-UE </w:t>
            </w:r>
            <w:r w:rsidRPr="00AC7CA9">
              <w:rPr>
                <w:rFonts w:ascii="Arial" w:eastAsia="Times New Roman" w:hAnsi="Arial"/>
                <w:snapToGrid w:val="0"/>
                <w:sz w:val="18"/>
                <w:lang w:eastAsia="zh-CN"/>
              </w:rPr>
              <w:t>NCSG</w:t>
            </w:r>
          </w:p>
        </w:tc>
        <w:tc>
          <w:tcPr>
            <w:tcW w:w="925" w:type="pct"/>
            <w:tcBorders>
              <w:top w:val="single" w:sz="4" w:space="0" w:color="auto"/>
              <w:left w:val="single" w:sz="4" w:space="0" w:color="auto"/>
              <w:bottom w:val="nil"/>
              <w:right w:val="single" w:sz="4" w:space="0" w:color="auto"/>
            </w:tcBorders>
            <w:shd w:val="clear" w:color="auto" w:fill="FFFF00"/>
            <w:vAlign w:val="center"/>
            <w:hideMark/>
          </w:tcPr>
          <w:p w14:paraId="7C1467CF"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zh-CN"/>
              </w:rPr>
            </w:pPr>
            <w:r w:rsidRPr="00AC7CA9">
              <w:rPr>
                <w:rFonts w:ascii="Arial" w:eastAsia="Times New Roman" w:hAnsi="Arial"/>
                <w:snapToGrid w:val="0"/>
                <w:sz w:val="18"/>
                <w:lang w:eastAsia="en-GB"/>
              </w:rPr>
              <w:t>FR2</w:t>
            </w:r>
          </w:p>
        </w:tc>
        <w:tc>
          <w:tcPr>
            <w:tcW w:w="822" w:type="pct"/>
            <w:tcBorders>
              <w:top w:val="single" w:sz="4" w:space="0" w:color="auto"/>
              <w:left w:val="single" w:sz="4" w:space="0" w:color="auto"/>
              <w:bottom w:val="single" w:sz="4" w:space="0" w:color="auto"/>
              <w:right w:val="single" w:sz="4" w:space="0" w:color="auto"/>
            </w:tcBorders>
            <w:hideMark/>
          </w:tcPr>
          <w:p w14:paraId="35DF5BA6"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vertAlign w:val="superscript"/>
                <w:lang w:eastAsia="en-GB"/>
              </w:rPr>
            </w:pPr>
            <w:r w:rsidRPr="00AC7CA9">
              <w:rPr>
                <w:rFonts w:ascii="Arial" w:eastAsia="Times New Roman" w:hAnsi="Arial"/>
                <w:snapToGrid w:val="0"/>
                <w:sz w:val="18"/>
                <w:lang w:eastAsia="en-GB"/>
              </w:rPr>
              <w:t>E-UTRA</w:t>
            </w:r>
            <w:r w:rsidRPr="00AC7CA9">
              <w:rPr>
                <w:rFonts w:ascii="Arial" w:eastAsia="Times New Roman" w:hAnsi="Arial"/>
                <w:sz w:val="18"/>
                <w:lang w:eastAsia="en-GB"/>
              </w:rPr>
              <w:t xml:space="preserve"> only</w:t>
            </w:r>
            <w:r w:rsidRPr="00AC7CA9">
              <w:rPr>
                <w:rFonts w:ascii="Arial" w:eastAsia="Times New Roman" w:hAnsi="Arial"/>
                <w:sz w:val="18"/>
                <w:vertAlign w:val="superscript"/>
                <w:lang w:eastAsia="en-GB"/>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4CBB51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0,1,2,3</w:t>
            </w:r>
          </w:p>
        </w:tc>
      </w:tr>
      <w:tr w:rsidR="00AC7CA9" w:rsidRPr="00AC7CA9" w14:paraId="29A79377" w14:textId="77777777" w:rsidTr="001A790C">
        <w:trPr>
          <w:cantSplit/>
          <w:trHeight w:val="187"/>
          <w:jc w:val="center"/>
        </w:trPr>
        <w:tc>
          <w:tcPr>
            <w:tcW w:w="0" w:type="auto"/>
            <w:tcBorders>
              <w:top w:val="nil"/>
              <w:left w:val="single" w:sz="4" w:space="0" w:color="auto"/>
              <w:bottom w:val="nil"/>
              <w:right w:val="single" w:sz="4" w:space="0" w:color="auto"/>
            </w:tcBorders>
            <w:vAlign w:val="center"/>
            <w:hideMark/>
          </w:tcPr>
          <w:p w14:paraId="3739F13A" w14:textId="77777777" w:rsidR="00AC7CA9" w:rsidRPr="00AC7CA9" w:rsidRDefault="00AC7CA9" w:rsidP="00AC7CA9">
            <w:pPr>
              <w:keepNext/>
              <w:keepLines/>
              <w:overflowPunct w:val="0"/>
              <w:autoSpaceDE w:val="0"/>
              <w:autoSpaceDN w:val="0"/>
              <w:adjustRightInd w:val="0"/>
              <w:spacing w:beforeLines="0" w:before="0" w:afterLines="0" w:after="0"/>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44E81AFB"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175FF204"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AC7CA9">
              <w:rPr>
                <w:rFonts w:ascii="Arial" w:eastAsia="Times New Roman" w:hAnsi="Arial"/>
                <w:sz w:val="18"/>
                <w:lang w:eastAsia="en-GB"/>
              </w:rPr>
              <w:t>FR1 only</w:t>
            </w:r>
          </w:p>
        </w:tc>
        <w:tc>
          <w:tcPr>
            <w:tcW w:w="2493" w:type="pct"/>
            <w:tcBorders>
              <w:top w:val="single" w:sz="4" w:space="0" w:color="auto"/>
              <w:left w:val="single" w:sz="4" w:space="0" w:color="auto"/>
              <w:bottom w:val="single" w:sz="4" w:space="0" w:color="auto"/>
              <w:right w:val="single" w:sz="4" w:space="0" w:color="auto"/>
            </w:tcBorders>
            <w:hideMark/>
          </w:tcPr>
          <w:p w14:paraId="56D44D55"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0-11</w:t>
            </w:r>
          </w:p>
        </w:tc>
      </w:tr>
      <w:tr w:rsidR="00AC7CA9" w:rsidRPr="00AC7CA9" w14:paraId="061033AD" w14:textId="77777777" w:rsidTr="001A790C">
        <w:trPr>
          <w:cantSplit/>
          <w:trHeight w:val="187"/>
          <w:jc w:val="center"/>
        </w:trPr>
        <w:tc>
          <w:tcPr>
            <w:tcW w:w="0" w:type="auto"/>
            <w:tcBorders>
              <w:top w:val="nil"/>
              <w:left w:val="single" w:sz="4" w:space="0" w:color="auto"/>
              <w:bottom w:val="nil"/>
              <w:right w:val="single" w:sz="4" w:space="0" w:color="auto"/>
            </w:tcBorders>
            <w:vAlign w:val="center"/>
            <w:hideMark/>
          </w:tcPr>
          <w:p w14:paraId="1CD1110D"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1B87EAE1"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484A7455"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z w:val="18"/>
                <w:lang w:eastAsia="en-GB"/>
              </w:rPr>
              <w:t>FR1 and FR2</w:t>
            </w:r>
          </w:p>
        </w:tc>
        <w:tc>
          <w:tcPr>
            <w:tcW w:w="2493" w:type="pct"/>
            <w:tcBorders>
              <w:top w:val="single" w:sz="4" w:space="0" w:color="auto"/>
              <w:left w:val="single" w:sz="4" w:space="0" w:color="auto"/>
              <w:bottom w:val="single" w:sz="4" w:space="0" w:color="auto"/>
              <w:right w:val="single" w:sz="4" w:space="0" w:color="auto"/>
            </w:tcBorders>
            <w:hideMark/>
          </w:tcPr>
          <w:p w14:paraId="6B5DBC5D"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0-11</w:t>
            </w:r>
          </w:p>
        </w:tc>
      </w:tr>
      <w:tr w:rsidR="00AC7CA9" w:rsidRPr="00AC7CA9" w14:paraId="0513277D" w14:textId="77777777" w:rsidTr="001A790C">
        <w:trPr>
          <w:cantSplit/>
          <w:trHeight w:val="187"/>
          <w:jc w:val="center"/>
        </w:trPr>
        <w:tc>
          <w:tcPr>
            <w:tcW w:w="0" w:type="auto"/>
            <w:tcBorders>
              <w:top w:val="nil"/>
              <w:left w:val="single" w:sz="4" w:space="0" w:color="auto"/>
              <w:bottom w:val="nil"/>
              <w:right w:val="single" w:sz="4" w:space="0" w:color="auto"/>
            </w:tcBorders>
            <w:vAlign w:val="center"/>
            <w:hideMark/>
          </w:tcPr>
          <w:p w14:paraId="369B18F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nil"/>
              <w:right w:val="single" w:sz="4" w:space="0" w:color="auto"/>
            </w:tcBorders>
            <w:vAlign w:val="center"/>
            <w:hideMark/>
          </w:tcPr>
          <w:p w14:paraId="771885A7"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hideMark/>
          </w:tcPr>
          <w:p w14:paraId="02CC490A"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E-UTRA and FR1 and/or FR2</w:t>
            </w:r>
          </w:p>
        </w:tc>
        <w:tc>
          <w:tcPr>
            <w:tcW w:w="2493" w:type="pct"/>
            <w:tcBorders>
              <w:top w:val="single" w:sz="4" w:space="0" w:color="auto"/>
              <w:left w:val="single" w:sz="4" w:space="0" w:color="auto"/>
              <w:bottom w:val="single" w:sz="4" w:space="0" w:color="auto"/>
              <w:right w:val="single" w:sz="4" w:space="0" w:color="auto"/>
            </w:tcBorders>
            <w:hideMark/>
          </w:tcPr>
          <w:p w14:paraId="721AB15D"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0</w:t>
            </w:r>
            <w:r w:rsidRPr="00AC7CA9">
              <w:rPr>
                <w:rFonts w:ascii="Arial" w:eastAsia="Times New Roman" w:hAnsi="Arial"/>
                <w:snapToGrid w:val="0"/>
                <w:sz w:val="18"/>
                <w:lang w:eastAsia="zh-CN"/>
              </w:rPr>
              <w:t>, 1, 2, 3, 4, 6, 7, 8,10</w:t>
            </w:r>
          </w:p>
        </w:tc>
      </w:tr>
      <w:tr w:rsidR="00AC7CA9" w:rsidRPr="00AC7CA9" w14:paraId="30C952BB" w14:textId="77777777" w:rsidTr="00AC7CA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ADEA3C7"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5A3DDA10"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p>
        </w:tc>
        <w:tc>
          <w:tcPr>
            <w:tcW w:w="822" w:type="pct"/>
            <w:tcBorders>
              <w:top w:val="single" w:sz="4" w:space="0" w:color="auto"/>
              <w:left w:val="single" w:sz="4" w:space="0" w:color="auto"/>
              <w:bottom w:val="single" w:sz="4" w:space="0" w:color="auto"/>
              <w:right w:val="single" w:sz="4" w:space="0" w:color="auto"/>
            </w:tcBorders>
            <w:shd w:val="clear" w:color="auto" w:fill="FFFF00"/>
            <w:hideMark/>
          </w:tcPr>
          <w:p w14:paraId="11E390AD"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FR2 only</w:t>
            </w:r>
          </w:p>
        </w:tc>
        <w:tc>
          <w:tcPr>
            <w:tcW w:w="2493" w:type="pct"/>
            <w:tcBorders>
              <w:top w:val="single" w:sz="4" w:space="0" w:color="auto"/>
              <w:left w:val="single" w:sz="4" w:space="0" w:color="auto"/>
              <w:bottom w:val="single" w:sz="4" w:space="0" w:color="auto"/>
              <w:right w:val="single" w:sz="4" w:space="0" w:color="auto"/>
            </w:tcBorders>
            <w:hideMark/>
          </w:tcPr>
          <w:p w14:paraId="6231EFCC" w14:textId="77777777" w:rsidR="00AC7CA9" w:rsidRPr="00AC7CA9" w:rsidRDefault="00AC7CA9" w:rsidP="00AC7CA9">
            <w:pPr>
              <w:keepNext/>
              <w:keepLines/>
              <w:overflowPunct w:val="0"/>
              <w:autoSpaceDE w:val="0"/>
              <w:autoSpaceDN w:val="0"/>
              <w:adjustRightInd w:val="0"/>
              <w:spacing w:beforeLines="0" w:before="0" w:afterLines="0" w:after="0"/>
              <w:jc w:val="center"/>
              <w:textAlignment w:val="baseline"/>
              <w:rPr>
                <w:rFonts w:ascii="Arial" w:eastAsia="Times New Roman" w:hAnsi="Arial"/>
                <w:snapToGrid w:val="0"/>
                <w:sz w:val="18"/>
                <w:lang w:eastAsia="en-GB"/>
              </w:rPr>
            </w:pPr>
            <w:r w:rsidRPr="00AC7CA9">
              <w:rPr>
                <w:rFonts w:ascii="Arial" w:eastAsia="Times New Roman" w:hAnsi="Arial"/>
                <w:snapToGrid w:val="0"/>
                <w:sz w:val="18"/>
                <w:lang w:eastAsia="en-GB"/>
              </w:rPr>
              <w:t>12-23</w:t>
            </w:r>
          </w:p>
        </w:tc>
      </w:tr>
    </w:tbl>
    <w:p w14:paraId="02DBE1FA" w14:textId="5C4E8D90" w:rsidR="00AC7CA9" w:rsidRDefault="00FE6C6F" w:rsidP="00911BF9">
      <w:pPr>
        <w:spacing w:before="120" w:after="120"/>
        <w:rPr>
          <w:rFonts w:eastAsiaTheme="minorEastAsia"/>
          <w:lang w:eastAsia="zh-CN"/>
        </w:rPr>
      </w:pPr>
      <w:r>
        <w:rPr>
          <w:rFonts w:eastAsiaTheme="minorEastAsia"/>
          <w:lang w:eastAsia="zh-CN"/>
        </w:rPr>
        <w:t>In our view, for this particular case, the VIL = 0.75ms should apply. This is based on the RAN4#100 agreement as copied below. Technically, the applicable VIL should depend on where the NCSG is used (the impacted serving cells and the MOs) but not the configured NCSG type (per-UE or per-FR).</w:t>
      </w:r>
    </w:p>
    <w:tbl>
      <w:tblPr>
        <w:tblStyle w:val="afa"/>
        <w:tblW w:w="0" w:type="auto"/>
        <w:tblLook w:val="04A0" w:firstRow="1" w:lastRow="0" w:firstColumn="1" w:lastColumn="0" w:noHBand="0" w:noVBand="1"/>
      </w:tblPr>
      <w:tblGrid>
        <w:gridCol w:w="9621"/>
      </w:tblGrid>
      <w:tr w:rsidR="00FE6C6F" w14:paraId="52FE8FF5" w14:textId="77777777" w:rsidTr="00FE6C6F">
        <w:tc>
          <w:tcPr>
            <w:tcW w:w="9621" w:type="dxa"/>
          </w:tcPr>
          <w:p w14:paraId="366F6AAF" w14:textId="77777777" w:rsidR="00FE6C6F" w:rsidRPr="00FE6C6F" w:rsidRDefault="00FE6C6F" w:rsidP="00FE6C6F">
            <w:pPr>
              <w:keepNext/>
              <w:keepLines/>
              <w:overflowPunct w:val="0"/>
              <w:autoSpaceDE w:val="0"/>
              <w:autoSpaceDN w:val="0"/>
              <w:adjustRightInd w:val="0"/>
              <w:spacing w:beforeLines="0" w:before="0" w:afterLines="0" w:after="120"/>
              <w:textAlignment w:val="baseline"/>
              <w:outlineLvl w:val="1"/>
              <w:rPr>
                <w:rFonts w:ascii="Calibri" w:eastAsia="宋体" w:hAnsi="Calibri" w:cs="Calibri"/>
                <w:b/>
                <w:sz w:val="20"/>
                <w:u w:val="single"/>
                <w:lang w:eastAsia="ko-KR"/>
              </w:rPr>
            </w:pPr>
            <w:r w:rsidRPr="00FE6C6F">
              <w:rPr>
                <w:rFonts w:ascii="Calibri" w:eastAsia="宋体" w:hAnsi="Calibri" w:cs="Calibri"/>
                <w:b/>
                <w:sz w:val="20"/>
                <w:u w:val="single"/>
                <w:lang w:eastAsia="ko-KR"/>
              </w:rPr>
              <w:t>Issue 3-4: length of VIL</w:t>
            </w:r>
          </w:p>
          <w:p w14:paraId="6B5C824E" w14:textId="77777777" w:rsidR="00FE6C6F" w:rsidRPr="00FE6C6F" w:rsidRDefault="00FE6C6F" w:rsidP="00FE6C6F">
            <w:pPr>
              <w:numPr>
                <w:ilvl w:val="0"/>
                <w:numId w:val="37"/>
              </w:numPr>
              <w:overflowPunct w:val="0"/>
              <w:autoSpaceDE w:val="0"/>
              <w:autoSpaceDN w:val="0"/>
              <w:adjustRightInd w:val="0"/>
              <w:spacing w:beforeLines="0" w:before="0" w:afterLines="0" w:after="120"/>
              <w:contextualSpacing/>
              <w:jc w:val="both"/>
              <w:textAlignment w:val="baseline"/>
              <w:rPr>
                <w:rFonts w:ascii="Calibri" w:eastAsia="Times New Roman" w:hAnsi="Calibri" w:cs="Calibri"/>
                <w:bCs/>
                <w:sz w:val="20"/>
                <w:lang w:eastAsia="ko-KR"/>
              </w:rPr>
            </w:pPr>
            <w:r w:rsidRPr="00FE6C6F">
              <w:rPr>
                <w:rFonts w:ascii="Calibri" w:eastAsia="Times New Roman" w:hAnsi="Calibri" w:cs="Calibri"/>
                <w:bCs/>
                <w:sz w:val="20"/>
                <w:lang w:eastAsia="ko-KR"/>
              </w:rPr>
              <w:t>Agreements</w:t>
            </w:r>
            <w:r w:rsidRPr="00FE6C6F">
              <w:rPr>
                <w:rFonts w:ascii="Calibri" w:eastAsia="宋体" w:hAnsi="Calibri" w:cs="Calibri"/>
                <w:sz w:val="20"/>
                <w:lang w:eastAsia="zh-CN"/>
              </w:rPr>
              <w:t xml:space="preserve"> in the 1</w:t>
            </w:r>
            <w:r w:rsidRPr="00FE6C6F">
              <w:rPr>
                <w:rFonts w:ascii="Calibri" w:eastAsia="宋体" w:hAnsi="Calibri" w:cs="Calibri"/>
                <w:sz w:val="20"/>
                <w:vertAlign w:val="superscript"/>
                <w:lang w:eastAsia="zh-CN"/>
              </w:rPr>
              <w:t>st</w:t>
            </w:r>
            <w:r w:rsidRPr="00FE6C6F">
              <w:rPr>
                <w:rFonts w:ascii="Calibri" w:eastAsia="宋体" w:hAnsi="Calibri" w:cs="Calibri"/>
                <w:sz w:val="20"/>
                <w:lang w:eastAsia="zh-CN"/>
              </w:rPr>
              <w:t xml:space="preserve"> round</w:t>
            </w:r>
            <w:r w:rsidRPr="00FE6C6F">
              <w:rPr>
                <w:rFonts w:ascii="Calibri" w:eastAsia="Times New Roman" w:hAnsi="Calibri" w:cs="Calibri"/>
                <w:bCs/>
                <w:sz w:val="20"/>
                <w:lang w:eastAsia="ko-KR"/>
              </w:rPr>
              <w:t>:</w:t>
            </w:r>
          </w:p>
          <w:p w14:paraId="32FA9A4F" w14:textId="6D6D289D" w:rsidR="00FE6C6F" w:rsidRPr="00FE6C6F" w:rsidRDefault="00FE6C6F" w:rsidP="00FE6C6F">
            <w:pPr>
              <w:numPr>
                <w:ilvl w:val="1"/>
                <w:numId w:val="36"/>
              </w:numPr>
              <w:overflowPunct w:val="0"/>
              <w:autoSpaceDE w:val="0"/>
              <w:autoSpaceDN w:val="0"/>
              <w:adjustRightInd w:val="0"/>
              <w:spacing w:beforeLines="0" w:before="0" w:afterLines="0" w:after="120"/>
              <w:contextualSpacing/>
              <w:jc w:val="both"/>
              <w:textAlignment w:val="baseline"/>
              <w:rPr>
                <w:rFonts w:ascii="Calibri" w:eastAsia="宋体" w:hAnsi="Calibri" w:cs="Calibri"/>
                <w:bCs/>
                <w:iCs/>
                <w:sz w:val="20"/>
                <w:lang w:eastAsia="zh-CN"/>
              </w:rPr>
            </w:pPr>
            <w:r w:rsidRPr="00FE6C6F">
              <w:rPr>
                <w:rFonts w:ascii="Calibri" w:eastAsia="宋体" w:hAnsi="Calibri" w:cs="Calibri"/>
                <w:bCs/>
                <w:iCs/>
                <w:sz w:val="20"/>
                <w:lang w:eastAsia="zh-CN"/>
              </w:rPr>
              <w:t>Translate [1ms] (FR1) and [0.75ms] (FR2) into the number of interrupted slots for defining the interruption requirements for the synchronous case and one more slot is added for asynchronous case.</w:t>
            </w:r>
          </w:p>
        </w:tc>
      </w:tr>
    </w:tbl>
    <w:p w14:paraId="387B817D" w14:textId="1E9E03F6" w:rsidR="00FE6C6F" w:rsidRDefault="00FE6C6F" w:rsidP="00911BF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herefore, we support option 2 in [1] to update the applicability of VIL such that it depends on the NCSG pattern. Otherwise, if we use 1ms VIL for the highlighted case, it means the VIL for NCSG pattern 12-23 would be 1ms, and it will make NCSG pattern 12-23 exactly same as NCSG pattern 0-11. </w:t>
      </w:r>
    </w:p>
    <w:p w14:paraId="01B31ADE" w14:textId="6A65D80A" w:rsidR="00354FC5" w:rsidRPr="00202A76" w:rsidRDefault="00FE6C6F" w:rsidP="00266E88">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U</w:t>
      </w:r>
      <w:r w:rsidRPr="00FE6C6F">
        <w:rPr>
          <w:rFonts w:eastAsiaTheme="minorEastAsia"/>
          <w:b/>
          <w:lang w:eastAsia="zh-CN"/>
        </w:rPr>
        <w:t>pdate the applicability of VIL such that it depends on the NCSG pattern</w:t>
      </w:r>
      <w:r>
        <w:rPr>
          <w:rFonts w:eastAsiaTheme="minorEastAsia"/>
          <w:b/>
          <w:lang w:eastAsia="zh-CN"/>
        </w:rPr>
        <w:t xml:space="preserve"> rather than NCSG type (per-UE or per-FR).</w:t>
      </w:r>
    </w:p>
    <w:p w14:paraId="35DB815F" w14:textId="77777777" w:rsidR="00FA0C0C" w:rsidRDefault="00FA0C0C" w:rsidP="00C2530C">
      <w:pPr>
        <w:pStyle w:val="1"/>
        <w:jc w:val="both"/>
        <w:rPr>
          <w:lang w:val="en-US"/>
        </w:rPr>
      </w:pPr>
      <w:r>
        <w:rPr>
          <w:lang w:val="en-US"/>
        </w:rPr>
        <w:t>Conclusions</w:t>
      </w:r>
    </w:p>
    <w:p w14:paraId="0F579A8B" w14:textId="1770DE16"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FE6C6F">
        <w:rPr>
          <w:rFonts w:eastAsia="宋体"/>
          <w:lang w:eastAsia="zh-CN"/>
        </w:rPr>
        <w:t>the VIL of NCSG patterns</w:t>
      </w:r>
      <w:r w:rsidR="00D52875">
        <w:rPr>
          <w:rFonts w:eastAsia="宋体"/>
          <w:lang w:eastAsia="zh-CN"/>
        </w:rPr>
        <w:t>.</w:t>
      </w:r>
    </w:p>
    <w:p w14:paraId="3F2774E9" w14:textId="77777777" w:rsidR="00FE6C6F" w:rsidRPr="00202A76" w:rsidRDefault="00FE6C6F" w:rsidP="00FE6C6F">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U</w:t>
      </w:r>
      <w:r w:rsidRPr="00FE6C6F">
        <w:rPr>
          <w:rFonts w:eastAsiaTheme="minorEastAsia"/>
          <w:b/>
          <w:lang w:eastAsia="zh-CN"/>
        </w:rPr>
        <w:t>pdate the applicability of VIL such that it depends on the NCSG pattern</w:t>
      </w:r>
      <w:r>
        <w:rPr>
          <w:rFonts w:eastAsiaTheme="minorEastAsia"/>
          <w:b/>
          <w:lang w:eastAsia="zh-CN"/>
        </w:rPr>
        <w:t xml:space="preserve"> rather than NCSG type (per-UE or per-FR).</w:t>
      </w:r>
    </w:p>
    <w:p w14:paraId="2ED084EA" w14:textId="77777777" w:rsidR="00FA0C0C" w:rsidRDefault="00FA0C0C" w:rsidP="00C2530C">
      <w:pPr>
        <w:pStyle w:val="1"/>
        <w:jc w:val="both"/>
        <w:rPr>
          <w:lang w:val="en-US"/>
        </w:rPr>
      </w:pPr>
      <w:r w:rsidRPr="00C0754F">
        <w:rPr>
          <w:lang w:val="en-US"/>
        </w:rPr>
        <w:t>Reference</w:t>
      </w:r>
    </w:p>
    <w:p w14:paraId="5DBA1C70" w14:textId="575D06B0" w:rsidR="00EB13EC" w:rsidRPr="00984415" w:rsidRDefault="00AC7CA9" w:rsidP="00391983">
      <w:pPr>
        <w:numPr>
          <w:ilvl w:val="0"/>
          <w:numId w:val="5"/>
        </w:numPr>
        <w:spacing w:before="120" w:after="120"/>
        <w:rPr>
          <w:rFonts w:eastAsia="宋体"/>
          <w:lang w:val="en-US" w:eastAsia="zh-CN"/>
        </w:rPr>
      </w:pPr>
      <w:r w:rsidRPr="00AC7CA9">
        <w:rPr>
          <w:rFonts w:eastAsia="宋体"/>
          <w:lang w:val="en-US" w:eastAsia="zh-CN"/>
        </w:rPr>
        <w:t>R4-2410326, WF on clarification of R17 NCSG pattern, OPPO</w:t>
      </w:r>
    </w:p>
    <w:sectPr w:rsidR="00EB13EC" w:rsidRPr="0098441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2759B" w14:textId="77777777" w:rsidR="00887215" w:rsidRDefault="00887215">
      <w:pPr>
        <w:spacing w:before="120" w:after="120"/>
      </w:pPr>
      <w:r>
        <w:separator/>
      </w:r>
    </w:p>
  </w:endnote>
  <w:endnote w:type="continuationSeparator" w:id="0">
    <w:p w14:paraId="3F60E6CE" w14:textId="77777777" w:rsidR="00887215" w:rsidRDefault="0088721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16F63" w14:textId="77777777" w:rsidR="00887215" w:rsidRDefault="00887215">
      <w:pPr>
        <w:spacing w:before="120" w:after="120"/>
      </w:pPr>
      <w:r>
        <w:separator/>
      </w:r>
    </w:p>
  </w:footnote>
  <w:footnote w:type="continuationSeparator" w:id="0">
    <w:p w14:paraId="45A418A9" w14:textId="77777777" w:rsidR="00887215" w:rsidRDefault="0088721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E46354"/>
    <w:multiLevelType w:val="hybridMultilevel"/>
    <w:tmpl w:val="85DE2DFC"/>
    <w:lvl w:ilvl="0" w:tplc="834A5350">
      <w:start w:val="1"/>
      <w:numFmt w:val="bullet"/>
      <w:lvlText w:val=""/>
      <w:lvlJc w:val="left"/>
      <w:pPr>
        <w:ind w:left="780" w:hanging="360"/>
      </w:pPr>
      <w:rPr>
        <w:rFonts w:ascii="Symbol" w:hAnsi="Symbol" w:hint="default"/>
        <w:lang w:val="en-US"/>
      </w:rPr>
    </w:lvl>
    <w:lvl w:ilvl="1" w:tplc="20000003" w:tentative="1">
      <w:start w:val="1"/>
      <w:numFmt w:val="bullet"/>
      <w:lvlText w:val="o"/>
      <w:lvlJc w:val="left"/>
      <w:pPr>
        <w:ind w:left="1860" w:hanging="360"/>
      </w:pPr>
      <w:rPr>
        <w:rFonts w:ascii="Courier New" w:hAnsi="Courier New" w:cs="Courier New" w:hint="default"/>
      </w:rPr>
    </w:lvl>
    <w:lvl w:ilvl="2" w:tplc="20000005" w:tentative="1">
      <w:start w:val="1"/>
      <w:numFmt w:val="bullet"/>
      <w:lvlText w:val=""/>
      <w:lvlJc w:val="left"/>
      <w:pPr>
        <w:ind w:left="2580" w:hanging="360"/>
      </w:pPr>
      <w:rPr>
        <w:rFonts w:ascii="Wingdings" w:hAnsi="Wingdings" w:hint="default"/>
      </w:rPr>
    </w:lvl>
    <w:lvl w:ilvl="3" w:tplc="20000001" w:tentative="1">
      <w:start w:val="1"/>
      <w:numFmt w:val="bullet"/>
      <w:lvlText w:val=""/>
      <w:lvlJc w:val="left"/>
      <w:pPr>
        <w:ind w:left="3300" w:hanging="360"/>
      </w:pPr>
      <w:rPr>
        <w:rFonts w:ascii="Symbol" w:hAnsi="Symbol" w:hint="default"/>
      </w:rPr>
    </w:lvl>
    <w:lvl w:ilvl="4" w:tplc="20000003" w:tentative="1">
      <w:start w:val="1"/>
      <w:numFmt w:val="bullet"/>
      <w:lvlText w:val="o"/>
      <w:lvlJc w:val="left"/>
      <w:pPr>
        <w:ind w:left="4020" w:hanging="360"/>
      </w:pPr>
      <w:rPr>
        <w:rFonts w:ascii="Courier New" w:hAnsi="Courier New" w:cs="Courier New" w:hint="default"/>
      </w:rPr>
    </w:lvl>
    <w:lvl w:ilvl="5" w:tplc="20000005" w:tentative="1">
      <w:start w:val="1"/>
      <w:numFmt w:val="bullet"/>
      <w:lvlText w:val=""/>
      <w:lvlJc w:val="left"/>
      <w:pPr>
        <w:ind w:left="4740" w:hanging="360"/>
      </w:pPr>
      <w:rPr>
        <w:rFonts w:ascii="Wingdings" w:hAnsi="Wingdings" w:hint="default"/>
      </w:rPr>
    </w:lvl>
    <w:lvl w:ilvl="6" w:tplc="20000001" w:tentative="1">
      <w:start w:val="1"/>
      <w:numFmt w:val="bullet"/>
      <w:lvlText w:val=""/>
      <w:lvlJc w:val="left"/>
      <w:pPr>
        <w:ind w:left="5460" w:hanging="360"/>
      </w:pPr>
      <w:rPr>
        <w:rFonts w:ascii="Symbol" w:hAnsi="Symbol" w:hint="default"/>
      </w:rPr>
    </w:lvl>
    <w:lvl w:ilvl="7" w:tplc="20000003" w:tentative="1">
      <w:start w:val="1"/>
      <w:numFmt w:val="bullet"/>
      <w:lvlText w:val="o"/>
      <w:lvlJc w:val="left"/>
      <w:pPr>
        <w:ind w:left="6180" w:hanging="360"/>
      </w:pPr>
      <w:rPr>
        <w:rFonts w:ascii="Courier New" w:hAnsi="Courier New" w:cs="Courier New" w:hint="default"/>
      </w:rPr>
    </w:lvl>
    <w:lvl w:ilvl="8" w:tplc="20000005" w:tentative="1">
      <w:start w:val="1"/>
      <w:numFmt w:val="bullet"/>
      <w:lvlText w:val=""/>
      <w:lvlJc w:val="left"/>
      <w:pPr>
        <w:ind w:left="6900" w:hanging="360"/>
      </w:pPr>
      <w:rPr>
        <w:rFonts w:ascii="Wingdings" w:hAnsi="Wingdings" w:hint="default"/>
      </w:rPr>
    </w:lvl>
  </w:abstractNum>
  <w:abstractNum w:abstractNumId="5"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F46170"/>
    <w:multiLevelType w:val="hybridMultilevel"/>
    <w:tmpl w:val="91EA5F40"/>
    <w:lvl w:ilvl="0" w:tplc="3D729B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6"/>
  </w:num>
  <w:num w:numId="3">
    <w:abstractNumId w:val="35"/>
  </w:num>
  <w:num w:numId="4">
    <w:abstractNumId w:val="8"/>
  </w:num>
  <w:num w:numId="5">
    <w:abstractNumId w:val="12"/>
  </w:num>
  <w:num w:numId="6">
    <w:abstractNumId w:val="25"/>
  </w:num>
  <w:num w:numId="7">
    <w:abstractNumId w:val="17"/>
  </w:num>
  <w:num w:numId="8">
    <w:abstractNumId w:val="36"/>
    <w:lvlOverride w:ilvl="0">
      <w:startOverride w:val="1"/>
    </w:lvlOverride>
  </w:num>
  <w:num w:numId="9">
    <w:abstractNumId w:val="22"/>
  </w:num>
  <w:num w:numId="10">
    <w:abstractNumId w:val="31"/>
  </w:num>
  <w:num w:numId="11">
    <w:abstractNumId w:val="27"/>
  </w:num>
  <w:num w:numId="12">
    <w:abstractNumId w:val="20"/>
  </w:num>
  <w:num w:numId="13">
    <w:abstractNumId w:val="18"/>
  </w:num>
  <w:num w:numId="14">
    <w:abstractNumId w:val="30"/>
  </w:num>
  <w:num w:numId="15">
    <w:abstractNumId w:val="1"/>
  </w:num>
  <w:num w:numId="16">
    <w:abstractNumId w:val="11"/>
  </w:num>
  <w:num w:numId="17">
    <w:abstractNumId w:val="5"/>
  </w:num>
  <w:num w:numId="18">
    <w:abstractNumId w:val="34"/>
  </w:num>
  <w:num w:numId="19">
    <w:abstractNumId w:val="15"/>
  </w:num>
  <w:num w:numId="20">
    <w:abstractNumId w:val="28"/>
  </w:num>
  <w:num w:numId="21">
    <w:abstractNumId w:val="19"/>
  </w:num>
  <w:num w:numId="22">
    <w:abstractNumId w:val="21"/>
  </w:num>
  <w:num w:numId="23">
    <w:abstractNumId w:val="23"/>
  </w:num>
  <w:num w:numId="24">
    <w:abstractNumId w:val="6"/>
  </w:num>
  <w:num w:numId="25">
    <w:abstractNumId w:val="14"/>
  </w:num>
  <w:num w:numId="26">
    <w:abstractNumId w:val="3"/>
  </w:num>
  <w:num w:numId="27">
    <w:abstractNumId w:val="33"/>
  </w:num>
  <w:num w:numId="28">
    <w:abstractNumId w:val="10"/>
  </w:num>
  <w:num w:numId="29">
    <w:abstractNumId w:val="29"/>
  </w:num>
  <w:num w:numId="30">
    <w:abstractNumId w:val="2"/>
  </w:num>
  <w:num w:numId="31">
    <w:abstractNumId w:val="16"/>
  </w:num>
  <w:num w:numId="32">
    <w:abstractNumId w:val="7"/>
  </w:num>
  <w:num w:numId="33">
    <w:abstractNumId w:val="24"/>
  </w:num>
  <w:num w:numId="34">
    <w:abstractNumId w:val="4"/>
  </w:num>
  <w:num w:numId="35">
    <w:abstractNumId w:val="0"/>
  </w:num>
  <w:num w:numId="36">
    <w:abstractNumId w:val="9"/>
  </w:num>
  <w:num w:numId="37">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58B"/>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B0B"/>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BAC"/>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843"/>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A76"/>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6C7"/>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6E88"/>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5F3"/>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88D"/>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4FC5"/>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C38"/>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A5A"/>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2C2"/>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B16"/>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395"/>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17B"/>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F14"/>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DE3"/>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0B"/>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51"/>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45"/>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49F"/>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3E95"/>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44"/>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A1F"/>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17DED"/>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9EC"/>
    <w:rsid w:val="00886B5E"/>
    <w:rsid w:val="00887014"/>
    <w:rsid w:val="00887156"/>
    <w:rsid w:val="00887215"/>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BF9"/>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E5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15"/>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76"/>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97"/>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73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C7CA9"/>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14"/>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394"/>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CB2"/>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047"/>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96"/>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97F"/>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32C"/>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3EC"/>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14A"/>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1AF"/>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8F6"/>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C6F"/>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uiPriority w:val="99"/>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C03A8-7C61-42EC-8313-B3275AF1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15652</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164</cp:revision>
  <cp:lastPrinted>2009-04-22T06:01:00Z</cp:lastPrinted>
  <dcterms:created xsi:type="dcterms:W3CDTF">2023-05-06T02:02:00Z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ies>
</file>