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36BAA" w14:textId="0B8144F1"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w:t>
      </w:r>
      <w:r w:rsidR="00EE28B8">
        <w:rPr>
          <w:rFonts w:ascii="Arial" w:eastAsia="SimSun" w:hAnsi="Arial"/>
          <w:b/>
          <w:szCs w:val="20"/>
        </w:rPr>
        <w:t>1</w:t>
      </w:r>
      <w:r w:rsidR="00413D2B">
        <w:rPr>
          <w:rFonts w:ascii="Arial" w:eastAsia="SimSun" w:hAnsi="Arial"/>
          <w:b/>
          <w:szCs w:val="20"/>
        </w:rPr>
        <w:t>1</w:t>
      </w:r>
      <w:r w:rsidRPr="008C39F7">
        <w:rPr>
          <w:rFonts w:ascii="Arial" w:eastAsia="SimSun" w:hAnsi="Arial"/>
          <w:b/>
          <w:bCs/>
          <w:szCs w:val="20"/>
        </w:rPr>
        <w:tab/>
      </w:r>
      <w:r w:rsidR="00653320" w:rsidRPr="00653320">
        <w:rPr>
          <w:rFonts w:ascii="Arial" w:eastAsia="SimSun" w:hAnsi="Arial"/>
          <w:b/>
          <w:bCs/>
          <w:szCs w:val="20"/>
        </w:rPr>
        <w:t>R4-2412026</w:t>
      </w:r>
    </w:p>
    <w:p w14:paraId="6F362854" w14:textId="233CF653" w:rsidR="00841BCD" w:rsidRPr="002B69F3" w:rsidRDefault="002D4D1D" w:rsidP="00841BCD">
      <w:pPr>
        <w:widowControl w:val="0"/>
        <w:tabs>
          <w:tab w:val="right" w:pos="9639"/>
        </w:tabs>
        <w:overflowPunct w:val="0"/>
        <w:autoSpaceDE w:val="0"/>
        <w:autoSpaceDN w:val="0"/>
        <w:adjustRightInd w:val="0"/>
        <w:textAlignment w:val="baseline"/>
        <w:rPr>
          <w:rFonts w:ascii="Arial" w:eastAsia="SimSun" w:hAnsi="Arial"/>
          <w:b/>
          <w:bCs/>
          <w:szCs w:val="20"/>
        </w:rPr>
      </w:pPr>
      <w:r w:rsidRPr="002D4D1D">
        <w:rPr>
          <w:rFonts w:ascii="Arial" w:eastAsia="SimSun" w:hAnsi="Arial"/>
          <w:b/>
          <w:szCs w:val="20"/>
        </w:rPr>
        <w:t>Maastricht</w:t>
      </w:r>
      <w:r w:rsidR="00413D2B">
        <w:rPr>
          <w:rFonts w:ascii="Arial" w:eastAsia="SimSun" w:hAnsi="Arial"/>
          <w:b/>
          <w:szCs w:val="20"/>
        </w:rPr>
        <w:t xml:space="preserve">, </w:t>
      </w:r>
      <w:r>
        <w:rPr>
          <w:rFonts w:ascii="Arial" w:eastAsia="SimSun" w:hAnsi="Arial"/>
          <w:b/>
          <w:szCs w:val="20"/>
        </w:rPr>
        <w:t>NL</w:t>
      </w:r>
      <w:r w:rsidR="002B69F3" w:rsidRPr="002B69F3">
        <w:rPr>
          <w:rFonts w:ascii="Arial" w:eastAsia="SimSun" w:hAnsi="Arial"/>
          <w:b/>
          <w:szCs w:val="20"/>
        </w:rPr>
        <w:t xml:space="preserve">, </w:t>
      </w:r>
      <w:r w:rsidR="0025508C">
        <w:rPr>
          <w:rFonts w:ascii="Arial" w:eastAsia="SimSun" w:hAnsi="Arial"/>
          <w:b/>
          <w:szCs w:val="20"/>
        </w:rPr>
        <w:t>Aug 19</w:t>
      </w:r>
      <w:r w:rsidR="00A25ECE" w:rsidRPr="00A25ECE">
        <w:rPr>
          <w:rFonts w:ascii="Arial" w:eastAsia="SimSun" w:hAnsi="Arial"/>
          <w:b/>
          <w:szCs w:val="20"/>
          <w:vertAlign w:val="superscript"/>
        </w:rPr>
        <w:t>th</w:t>
      </w:r>
      <w:r w:rsidR="00A25ECE">
        <w:rPr>
          <w:rFonts w:ascii="Arial" w:eastAsia="SimSun" w:hAnsi="Arial"/>
          <w:b/>
          <w:szCs w:val="20"/>
        </w:rPr>
        <w:t xml:space="preserve"> </w:t>
      </w:r>
      <w:r w:rsidR="002B69F3" w:rsidRPr="002B69F3">
        <w:rPr>
          <w:rFonts w:ascii="Arial" w:eastAsia="SimSun" w:hAnsi="Arial"/>
          <w:b/>
          <w:szCs w:val="20"/>
        </w:rPr>
        <w:t>–</w:t>
      </w:r>
      <w:r w:rsidR="00BF0545">
        <w:rPr>
          <w:rFonts w:ascii="Arial" w:eastAsia="SimSun" w:hAnsi="Arial"/>
          <w:b/>
          <w:szCs w:val="20"/>
        </w:rPr>
        <w:t xml:space="preserve"> 2</w:t>
      </w:r>
      <w:r w:rsidR="0025508C">
        <w:rPr>
          <w:rFonts w:ascii="Arial" w:eastAsia="SimSun" w:hAnsi="Arial"/>
          <w:b/>
          <w:szCs w:val="20"/>
        </w:rPr>
        <w:t>3</w:t>
      </w:r>
      <w:r w:rsidR="0025508C" w:rsidRPr="0025508C">
        <w:rPr>
          <w:rFonts w:ascii="Arial" w:eastAsia="SimSun" w:hAnsi="Arial"/>
          <w:b/>
          <w:szCs w:val="20"/>
          <w:vertAlign w:val="superscript"/>
        </w:rPr>
        <w:t>rd</w:t>
      </w:r>
      <w:r w:rsidR="00A25ECE">
        <w:rPr>
          <w:rFonts w:ascii="Arial" w:eastAsia="SimSun" w:hAnsi="Arial"/>
          <w:b/>
          <w:szCs w:val="20"/>
        </w:rPr>
        <w:t>,</w:t>
      </w:r>
      <w:r w:rsidR="002B69F3" w:rsidRPr="002B69F3">
        <w:rPr>
          <w:rFonts w:ascii="Arial" w:eastAsia="SimSun" w:hAnsi="Arial"/>
          <w:b/>
          <w:szCs w:val="20"/>
        </w:rPr>
        <w:t xml:space="preserve"> 202</w:t>
      </w:r>
      <w:r w:rsidR="00ED06DD">
        <w:rPr>
          <w:rFonts w:ascii="Arial" w:eastAsia="SimSun" w:hAnsi="Arial"/>
          <w:b/>
          <w:szCs w:val="20"/>
        </w:rPr>
        <w:t>4</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268341BA"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Nokia</w:t>
      </w:r>
    </w:p>
    <w:p w14:paraId="760AB4AD" w14:textId="0C7A4ACD"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0355DF" w:rsidRPr="000355DF">
        <w:rPr>
          <w:rFonts w:ascii="Arial" w:eastAsia="Calibri" w:hAnsi="Arial" w:cs="Arial"/>
          <w:b/>
          <w:bCs/>
        </w:rPr>
        <w:t>(</w:t>
      </w:r>
      <w:proofErr w:type="spellStart"/>
      <w:r w:rsidR="000355DF" w:rsidRPr="000355DF">
        <w:rPr>
          <w:rFonts w:ascii="Arial" w:eastAsia="Calibri" w:hAnsi="Arial" w:cs="Arial"/>
          <w:b/>
          <w:bCs/>
        </w:rPr>
        <w:t>NR_SmallData_INACTIVE</w:t>
      </w:r>
      <w:proofErr w:type="spellEnd"/>
      <w:r w:rsidR="000355DF" w:rsidRPr="000355DF">
        <w:rPr>
          <w:rFonts w:ascii="Arial" w:eastAsia="Calibri" w:hAnsi="Arial" w:cs="Arial"/>
          <w:b/>
          <w:bCs/>
        </w:rPr>
        <w:t>) Discussion on SDT R17 test parameters</w:t>
      </w:r>
    </w:p>
    <w:p w14:paraId="13C254F3" w14:textId="286BC6FE"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90086A">
        <w:rPr>
          <w:rFonts w:ascii="Arial" w:eastAsia="MS Mincho" w:hAnsi="Arial" w:cs="Arial"/>
          <w:b/>
          <w:bCs/>
          <w:szCs w:val="20"/>
        </w:rPr>
        <w:t>4.5</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20998438" w:rsidR="00A520D9" w:rsidRPr="008C39F7" w:rsidRDefault="008960EA" w:rsidP="005C23A4">
      <w:r>
        <w:t xml:space="preserve">This paper presents Nokia’s views on </w:t>
      </w:r>
      <w:r w:rsidR="00013228">
        <w:t>SDT R17 test parameters for FR2 test cases</w:t>
      </w:r>
      <w:r>
        <w:t xml:space="preserve">. </w:t>
      </w:r>
    </w:p>
    <w:p w14:paraId="761DBB56" w14:textId="77777777" w:rsidR="0060543D" w:rsidRDefault="0060543D" w:rsidP="005C23A4"/>
    <w:p w14:paraId="55AD59E7" w14:textId="2EA8E3C3" w:rsidR="000C3B60" w:rsidRPr="008C39F7" w:rsidRDefault="00F27F49" w:rsidP="005C23A4">
      <w:r>
        <w:t xml:space="preserve">It was identified that the </w:t>
      </w:r>
      <w:r w:rsidR="003605EA">
        <w:t>current spec text ha</w:t>
      </w:r>
      <w:r w:rsidR="00322916">
        <w:t>s</w:t>
      </w:r>
      <w:r w:rsidR="003605EA">
        <w:t xml:space="preserve"> some inconsistencies regarding relationship between power levels, SDT change threshold, and </w:t>
      </w:r>
      <w:r w:rsidR="001A770D">
        <w:t xml:space="preserve">RSRP measurement accuracy. It is important to fix those mistakes </w:t>
      </w:r>
      <w:proofErr w:type="gramStart"/>
      <w:r w:rsidR="001A770D">
        <w:t>in order for</w:t>
      </w:r>
      <w:proofErr w:type="gramEnd"/>
      <w:r w:rsidR="001A770D">
        <w:t xml:space="preserve"> the RAN5 work to be able to proceed. </w:t>
      </w:r>
    </w:p>
    <w:p w14:paraId="6DA8D151" w14:textId="77777777" w:rsidR="003B659E" w:rsidRDefault="003B659E" w:rsidP="00AE56B1">
      <w:pPr>
        <w:pStyle w:val="RAN4H1"/>
      </w:pPr>
      <w:bookmarkStart w:id="4" w:name="_Toc116995842"/>
      <w:r w:rsidRPr="008C39F7">
        <w:t>Discussion</w:t>
      </w:r>
      <w:bookmarkEnd w:id="4"/>
    </w:p>
    <w:p w14:paraId="6980CC22" w14:textId="2AFB2001" w:rsidR="00C93809" w:rsidRDefault="00C93809" w:rsidP="00C93809">
      <w:r>
        <w:t xml:space="preserve">From </w:t>
      </w:r>
      <w:r w:rsidR="00C22E9B">
        <w:t>R4-2407998, we have:</w:t>
      </w:r>
    </w:p>
    <w:p w14:paraId="60E4D038" w14:textId="77777777" w:rsidR="00C22E9B" w:rsidRPr="00C93809" w:rsidRDefault="00C22E9B" w:rsidP="00C93809"/>
    <w:tbl>
      <w:tblPr>
        <w:tblStyle w:val="TableGrid"/>
        <w:tblW w:w="0" w:type="auto"/>
        <w:tblLook w:val="04A0" w:firstRow="1" w:lastRow="0" w:firstColumn="1" w:lastColumn="0" w:noHBand="0" w:noVBand="1"/>
      </w:tblPr>
      <w:tblGrid>
        <w:gridCol w:w="9617"/>
      </w:tblGrid>
      <w:tr w:rsidR="00AF5762" w14:paraId="3F7FF4B1" w14:textId="77777777" w:rsidTr="00AF5762">
        <w:tc>
          <w:tcPr>
            <w:tcW w:w="9617" w:type="dxa"/>
          </w:tcPr>
          <w:p w14:paraId="66FB5E22" w14:textId="77777777" w:rsidR="00C93809" w:rsidRDefault="00C93809" w:rsidP="00C93809">
            <w:pPr>
              <w:pStyle w:val="Heading3"/>
              <w:rPr>
                <w:szCs w:val="16"/>
              </w:rPr>
            </w:pPr>
            <w:bookmarkStart w:id="5" w:name="_Toc116995848"/>
            <w:r w:rsidRPr="00805BE8">
              <w:rPr>
                <w:szCs w:val="16"/>
              </w:rPr>
              <w:t>Sub-</w:t>
            </w:r>
            <w:r>
              <w:rPr>
                <w:szCs w:val="16"/>
              </w:rPr>
              <w:t>topic</w:t>
            </w:r>
            <w:r w:rsidRPr="00805BE8">
              <w:rPr>
                <w:szCs w:val="16"/>
              </w:rPr>
              <w:t xml:space="preserve"> </w:t>
            </w:r>
            <w:r>
              <w:rPr>
                <w:szCs w:val="16"/>
              </w:rPr>
              <w:t>6</w:t>
            </w:r>
            <w:r w:rsidRPr="00805BE8">
              <w:rPr>
                <w:szCs w:val="16"/>
              </w:rPr>
              <w:t>-</w:t>
            </w:r>
            <w:r>
              <w:rPr>
                <w:szCs w:val="16"/>
              </w:rPr>
              <w:t>1: Power levels and thresholds in SDT TCs</w:t>
            </w:r>
          </w:p>
          <w:p w14:paraId="54572F6B" w14:textId="77777777" w:rsidR="00C93809" w:rsidRDefault="00C93809" w:rsidP="00C93809">
            <w:pPr>
              <w:pStyle w:val="ListParagraph"/>
              <w:numPr>
                <w:ilvl w:val="0"/>
                <w:numId w:val="27"/>
              </w:numPr>
              <w:spacing w:after="120"/>
              <w:ind w:left="720"/>
              <w:contextualSpacing w:val="0"/>
              <w:rPr>
                <w:rFonts w:eastAsia="SimSun"/>
                <w:color w:val="0070C0"/>
                <w:lang w:eastAsia="zh-CN"/>
              </w:rPr>
            </w:pPr>
            <w:r>
              <w:rPr>
                <w:rFonts w:eastAsia="SimSun"/>
                <w:color w:val="0070C0"/>
                <w:lang w:eastAsia="zh-CN"/>
              </w:rPr>
              <w:t xml:space="preserve">Proposals </w:t>
            </w:r>
          </w:p>
          <w:p w14:paraId="2FC2F962" w14:textId="77777777" w:rsidR="00C93809" w:rsidRDefault="00C93809" w:rsidP="00C93809">
            <w:pPr>
              <w:pStyle w:val="ListParagraph"/>
              <w:numPr>
                <w:ilvl w:val="1"/>
                <w:numId w:val="27"/>
              </w:numPr>
              <w:spacing w:after="120"/>
              <w:ind w:left="1440"/>
              <w:contextualSpacing w:val="0"/>
              <w:rPr>
                <w:rFonts w:eastAsia="SimSun"/>
                <w:color w:val="0070C0"/>
                <w:lang w:eastAsia="zh-CN"/>
              </w:rPr>
            </w:pPr>
            <w:r w:rsidRPr="00805BE8">
              <w:rPr>
                <w:rFonts w:eastAsia="SimSun"/>
                <w:color w:val="0070C0"/>
                <w:lang w:eastAsia="zh-CN"/>
              </w:rPr>
              <w:t>Option 1</w:t>
            </w:r>
            <w:r>
              <w:rPr>
                <w:rFonts w:eastAsia="SimSun"/>
                <w:color w:val="0070C0"/>
                <w:lang w:eastAsia="zh-CN"/>
              </w:rPr>
              <w:t xml:space="preserve"> (Nokia)</w:t>
            </w:r>
            <w:r w:rsidRPr="00805BE8">
              <w:rPr>
                <w:rFonts w:eastAsia="SimSun"/>
                <w:color w:val="0070C0"/>
                <w:lang w:eastAsia="zh-CN"/>
              </w:rPr>
              <w:t xml:space="preserve">: </w:t>
            </w:r>
          </w:p>
          <w:p w14:paraId="65E5F273" w14:textId="77777777" w:rsidR="00C93809" w:rsidRPr="00571365" w:rsidRDefault="00C93809" w:rsidP="00C93809">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rsidRPr="00571365">
              <w:rPr>
                <w:rFonts w:eastAsia="SimSun"/>
                <w:lang w:eastAsia="zh-CN"/>
              </w:rPr>
              <w:t>The cg-SDT-RSRP-</w:t>
            </w:r>
            <w:proofErr w:type="spellStart"/>
            <w:r w:rsidRPr="00571365">
              <w:rPr>
                <w:rFonts w:eastAsia="SimSun"/>
                <w:lang w:eastAsia="zh-CN"/>
              </w:rPr>
              <w:t>ChangeThreshold</w:t>
            </w:r>
            <w:proofErr w:type="spellEnd"/>
            <w:r w:rsidRPr="00571365">
              <w:rPr>
                <w:rFonts w:eastAsia="SimSun"/>
                <w:lang w:eastAsia="zh-CN"/>
              </w:rPr>
              <w:t xml:space="preserve"> of A.7.2.1 should be changed to 14dB. Same applies for equivalent test in </w:t>
            </w:r>
            <w:proofErr w:type="spellStart"/>
            <w:r w:rsidRPr="00571365">
              <w:rPr>
                <w:rFonts w:eastAsia="SimSun"/>
                <w:lang w:eastAsia="zh-CN"/>
              </w:rPr>
              <w:t>RedCap</w:t>
            </w:r>
            <w:proofErr w:type="spellEnd"/>
            <w:r w:rsidRPr="00571365">
              <w:rPr>
                <w:rFonts w:eastAsia="SimSun"/>
                <w:lang w:eastAsia="zh-CN"/>
              </w:rPr>
              <w:t>. The cd-SDT-RSRP-</w:t>
            </w:r>
            <w:proofErr w:type="spellStart"/>
            <w:r w:rsidRPr="00571365">
              <w:rPr>
                <w:rFonts w:eastAsia="SimSun"/>
                <w:lang w:eastAsia="zh-CN"/>
              </w:rPr>
              <w:t>ChangeThreshold</w:t>
            </w:r>
            <w:proofErr w:type="spellEnd"/>
            <w:r w:rsidRPr="00571365">
              <w:rPr>
                <w:rFonts w:eastAsia="SimSun"/>
                <w:lang w:eastAsia="zh-CN"/>
              </w:rPr>
              <w:t xml:space="preserve"> of A.6.2.1 is suggested changed to 8dB. Same applies for equivalent test in </w:t>
            </w:r>
            <w:proofErr w:type="spellStart"/>
            <w:r w:rsidRPr="00571365">
              <w:rPr>
                <w:rFonts w:eastAsia="SimSun"/>
                <w:lang w:eastAsia="zh-CN"/>
              </w:rPr>
              <w:t>RedCap</w:t>
            </w:r>
            <w:proofErr w:type="spellEnd"/>
            <w:r w:rsidRPr="00571365">
              <w:rPr>
                <w:rFonts w:eastAsia="SimSun"/>
                <w:lang w:eastAsia="zh-CN"/>
              </w:rPr>
              <w:t>.</w:t>
            </w:r>
          </w:p>
          <w:p w14:paraId="41931B6A" w14:textId="77777777" w:rsidR="00C93809" w:rsidRPr="00571365" w:rsidRDefault="00C93809" w:rsidP="00C93809">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rsidRPr="00571365">
              <w:rPr>
                <w:rFonts w:eastAsia="SimSun"/>
                <w:lang w:eastAsia="zh-CN"/>
              </w:rPr>
              <w:t xml:space="preserve">The values for the power in A.7.2.1 for T1, T3 and T6 to be changed from -100 to -104dBm/SCS, power for T2 from -87 to -80dBm/SCS and the values for T4 and T5 to be changed from -75.5dBm to -78dBm. Same applies for equivalent test in </w:t>
            </w:r>
            <w:proofErr w:type="spellStart"/>
            <w:r w:rsidRPr="00571365">
              <w:rPr>
                <w:rFonts w:eastAsia="SimSun"/>
                <w:lang w:eastAsia="zh-CN"/>
              </w:rPr>
              <w:t>RedCap</w:t>
            </w:r>
            <w:proofErr w:type="spellEnd"/>
            <w:r w:rsidRPr="00571365">
              <w:rPr>
                <w:rFonts w:eastAsia="SimSun"/>
                <w:lang w:eastAsia="zh-CN"/>
              </w:rPr>
              <w:t>, resulting in an Io range from -72 to -49 dBm/BW.</w:t>
            </w:r>
          </w:p>
          <w:p w14:paraId="438F9217" w14:textId="77777777" w:rsidR="00C93809" w:rsidRPr="00571365" w:rsidRDefault="00C93809" w:rsidP="00C93809">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rsidRPr="00571365">
              <w:rPr>
                <w:rFonts w:eastAsia="SimSun"/>
                <w:lang w:eastAsia="zh-CN"/>
              </w:rPr>
              <w:t xml:space="preserve">The values for the power in A.6.2.1 for T2 to be changed from -92dBm to -88dBm and the values for T4 andT5 to be changed from -82dBm to -86dBm. Same applies for equivalent test in </w:t>
            </w:r>
            <w:proofErr w:type="spellStart"/>
            <w:r w:rsidRPr="00571365">
              <w:rPr>
                <w:rFonts w:eastAsia="SimSun"/>
                <w:lang w:eastAsia="zh-CN"/>
              </w:rPr>
              <w:t>RedCap</w:t>
            </w:r>
            <w:proofErr w:type="spellEnd"/>
            <w:r w:rsidRPr="00571365">
              <w:rPr>
                <w:rFonts w:eastAsia="SimSun"/>
                <w:lang w:eastAsia="zh-CN"/>
              </w:rPr>
              <w:t>. The range for Io is within the range of -50 to -70dBm/BW.</w:t>
            </w:r>
          </w:p>
          <w:p w14:paraId="75E45B5D" w14:textId="77777777" w:rsidR="00C93809" w:rsidRDefault="00C93809" w:rsidP="00C93809">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rsidRPr="00571365">
              <w:rPr>
                <w:rFonts w:eastAsia="SimSun"/>
                <w:lang w:eastAsia="zh-CN"/>
              </w:rPr>
              <w:t xml:space="preserve">RAN4 to review the P0 value of the </w:t>
            </w:r>
            <w:proofErr w:type="spellStart"/>
            <w:r w:rsidRPr="00571365">
              <w:rPr>
                <w:rFonts w:eastAsia="SimSun"/>
                <w:lang w:eastAsia="zh-CN"/>
              </w:rPr>
              <w:t>RedCap</w:t>
            </w:r>
            <w:proofErr w:type="spellEnd"/>
            <w:r w:rsidRPr="00571365">
              <w:rPr>
                <w:rFonts w:eastAsia="SimSun"/>
                <w:lang w:eastAsia="zh-CN"/>
              </w:rPr>
              <w:t xml:space="preserve"> SDT test for FR2. For SDT </w:t>
            </w:r>
            <w:proofErr w:type="spellStart"/>
            <w:r w:rsidRPr="00571365">
              <w:rPr>
                <w:rFonts w:eastAsia="SimSun"/>
                <w:lang w:eastAsia="zh-CN"/>
              </w:rPr>
              <w:t>RedCap</w:t>
            </w:r>
            <w:proofErr w:type="spellEnd"/>
            <w:r w:rsidRPr="00571365">
              <w:rPr>
                <w:rFonts w:eastAsia="SimSun"/>
                <w:lang w:eastAsia="zh-CN"/>
              </w:rPr>
              <w:t xml:space="preserve"> test case, a value of -104dBm/BW is suggested.</w:t>
            </w:r>
          </w:p>
          <w:p w14:paraId="5491E4E9" w14:textId="77777777" w:rsidR="00C93809" w:rsidRPr="00805BE8" w:rsidRDefault="00C93809" w:rsidP="00C93809">
            <w:pPr>
              <w:pStyle w:val="ListParagraph"/>
              <w:numPr>
                <w:ilvl w:val="0"/>
                <w:numId w:val="27"/>
              </w:numPr>
              <w:spacing w:after="120"/>
              <w:ind w:left="720"/>
              <w:contextualSpacing w:val="0"/>
              <w:rPr>
                <w:rFonts w:eastAsia="SimSun"/>
                <w:color w:val="0070C0"/>
                <w:lang w:eastAsia="zh-CN"/>
              </w:rPr>
            </w:pPr>
            <w:r w:rsidRPr="00805BE8">
              <w:rPr>
                <w:rFonts w:eastAsia="SimSun"/>
                <w:color w:val="0070C0"/>
                <w:lang w:eastAsia="zh-CN"/>
              </w:rPr>
              <w:t>Recommended WF</w:t>
            </w:r>
          </w:p>
          <w:p w14:paraId="30E44035" w14:textId="45E6FE96" w:rsidR="00AF5762" w:rsidRPr="00C93809" w:rsidRDefault="00C93809" w:rsidP="00212A6B">
            <w:pPr>
              <w:pStyle w:val="ListParagraph"/>
              <w:keepNext/>
              <w:numPr>
                <w:ilvl w:val="1"/>
                <w:numId w:val="27"/>
              </w:numPr>
              <w:spacing w:after="120"/>
              <w:ind w:left="1440"/>
              <w:contextualSpacing w:val="0"/>
              <w:rPr>
                <w:rFonts w:eastAsia="SimSun"/>
                <w:color w:val="0070C0"/>
                <w:lang w:eastAsia="zh-CN"/>
              </w:rPr>
            </w:pPr>
            <w:r>
              <w:rPr>
                <w:rFonts w:eastAsia="SimSun"/>
                <w:color w:val="0070C0"/>
                <w:lang w:eastAsia="zh-CN"/>
              </w:rPr>
              <w:t>Discuss the options</w:t>
            </w:r>
          </w:p>
        </w:tc>
      </w:tr>
    </w:tbl>
    <w:p w14:paraId="5EA2C4F9" w14:textId="5A4AFACA" w:rsidR="00AF5762" w:rsidRDefault="00212A6B" w:rsidP="00212A6B">
      <w:pPr>
        <w:pStyle w:val="Caption"/>
      </w:pPr>
      <w:bookmarkStart w:id="6" w:name="_Ref170123349"/>
      <w:r>
        <w:t xml:space="preserve">Table </w:t>
      </w:r>
      <w:r>
        <w:fldChar w:fldCharType="begin"/>
      </w:r>
      <w:r>
        <w:instrText xml:space="preserve"> SEQ Table \* ARABIC </w:instrText>
      </w:r>
      <w:r>
        <w:fldChar w:fldCharType="separate"/>
      </w:r>
      <w:r w:rsidR="007B566E">
        <w:rPr>
          <w:noProof/>
        </w:rPr>
        <w:t>1</w:t>
      </w:r>
      <w:r>
        <w:fldChar w:fldCharType="end"/>
      </w:r>
      <w:bookmarkEnd w:id="6"/>
      <w:r>
        <w:t xml:space="preserve">: </w:t>
      </w:r>
      <w:r w:rsidR="00330F7F">
        <w:t xml:space="preserve">Topic summary for maintenance on Small Data from </w:t>
      </w:r>
      <w:r w:rsidR="00F41E53">
        <w:t>R4-2407998.</w:t>
      </w:r>
    </w:p>
    <w:p w14:paraId="257D1F38" w14:textId="7BC4A28E" w:rsidR="00AF5762" w:rsidRDefault="00212A6B" w:rsidP="004C580B">
      <w:pPr>
        <w:jc w:val="both"/>
      </w:pPr>
      <w:r>
        <w:t xml:space="preserve">The </w:t>
      </w:r>
      <w:r w:rsidR="00F41E53">
        <w:t xml:space="preserve">options in </w:t>
      </w:r>
      <w:r w:rsidR="00F41E53">
        <w:fldChar w:fldCharType="begin"/>
      </w:r>
      <w:r w:rsidR="00F41E53">
        <w:instrText xml:space="preserve"> REF _Ref170123349 \h </w:instrText>
      </w:r>
      <w:r w:rsidR="00F41E53">
        <w:fldChar w:fldCharType="separate"/>
      </w:r>
      <w:r w:rsidR="00F41E53">
        <w:t xml:space="preserve">Table </w:t>
      </w:r>
      <w:r w:rsidR="00F41E53">
        <w:rPr>
          <w:noProof/>
        </w:rPr>
        <w:t>1</w:t>
      </w:r>
      <w:r w:rsidR="00F41E53">
        <w:fldChar w:fldCharType="end"/>
      </w:r>
      <w:r w:rsidR="00E33378">
        <w:t xml:space="preserve"> are based upon the lat</w:t>
      </w:r>
      <w:r w:rsidR="00187747">
        <w:t>est</w:t>
      </w:r>
      <w:r w:rsidR="00E33378">
        <w:t xml:space="preserve"> Nokia discussion paper on the topic, </w:t>
      </w:r>
      <w:r w:rsidR="00EB624F">
        <w:t>R4-2409134</w:t>
      </w:r>
      <w:r w:rsidR="00187747">
        <w:t xml:space="preserve">, which is again based on the RAN5 analysis of the SDT test cases for R17, where the problems in lacking rules setting the parameters have not been observed, see </w:t>
      </w:r>
      <w:r w:rsidR="00187747">
        <w:fldChar w:fldCharType="begin"/>
      </w:r>
      <w:r w:rsidR="00187747">
        <w:instrText xml:space="preserve"> REF _Ref158456886 \h </w:instrText>
      </w:r>
      <w:r w:rsidR="00187747">
        <w:fldChar w:fldCharType="separate"/>
      </w:r>
      <w:r w:rsidR="00187747">
        <w:t xml:space="preserve">Figure </w:t>
      </w:r>
      <w:r w:rsidR="00187747">
        <w:rPr>
          <w:noProof/>
        </w:rPr>
        <w:t>1</w:t>
      </w:r>
      <w:r w:rsidR="00187747">
        <w:fldChar w:fldCharType="end"/>
      </w:r>
      <w:r w:rsidR="00187747">
        <w:t>.</w:t>
      </w:r>
    </w:p>
    <w:p w14:paraId="00A30F3D" w14:textId="0E584A76" w:rsidR="00A93DAC" w:rsidRDefault="00A93DAC" w:rsidP="00A93DAC">
      <w:pPr>
        <w:keepNext/>
      </w:pPr>
    </w:p>
    <w:p w14:paraId="615E416B" w14:textId="0355D1A5" w:rsidR="00180E0C" w:rsidRDefault="00180E0C" w:rsidP="00A93DAC">
      <w:pPr>
        <w:keepNext/>
      </w:pPr>
      <w:r w:rsidRPr="00180E0C">
        <w:rPr>
          <w:noProof/>
        </w:rPr>
        <w:drawing>
          <wp:inline distT="0" distB="0" distL="0" distR="0" wp14:anchorId="3D949A4E" wp14:editId="44E43F1B">
            <wp:extent cx="6107430" cy="4718685"/>
            <wp:effectExtent l="0" t="0" r="0" b="5715"/>
            <wp:docPr id="526068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7430" cy="4718685"/>
                    </a:xfrm>
                    <a:prstGeom prst="rect">
                      <a:avLst/>
                    </a:prstGeom>
                    <a:noFill/>
                    <a:ln>
                      <a:noFill/>
                    </a:ln>
                  </pic:spPr>
                </pic:pic>
              </a:graphicData>
            </a:graphic>
          </wp:inline>
        </w:drawing>
      </w:r>
    </w:p>
    <w:p w14:paraId="519B7F92" w14:textId="17ABBB78" w:rsidR="00013228" w:rsidRPr="00013228" w:rsidRDefault="00A93DAC" w:rsidP="004C580B">
      <w:pPr>
        <w:pStyle w:val="Caption"/>
        <w:jc w:val="both"/>
        <w:rPr>
          <w:szCs w:val="24"/>
        </w:rPr>
      </w:pPr>
      <w:bookmarkStart w:id="7" w:name="_Ref158456886"/>
      <w:r>
        <w:t xml:space="preserve">Figure </w:t>
      </w:r>
      <w:r>
        <w:fldChar w:fldCharType="begin"/>
      </w:r>
      <w:r>
        <w:instrText xml:space="preserve"> SEQ Figure \* ARABIC </w:instrText>
      </w:r>
      <w:r>
        <w:fldChar w:fldCharType="separate"/>
      </w:r>
      <w:r>
        <w:rPr>
          <w:noProof/>
        </w:rPr>
        <w:t>1</w:t>
      </w:r>
      <w:r>
        <w:fldChar w:fldCharType="end"/>
      </w:r>
      <w:bookmarkEnd w:id="7"/>
      <w:r>
        <w:t>: The parameters from the SDT FR2 test from section A.7.2.1 drawn in real proportional dimensions based on version i40 of TS 38.133. The yellow boxes illustrate the valid range of measurement results at the UE during the test. The figure is based on figure A.7.2.1.1.1-1 and the measurement</w:t>
      </w:r>
      <w:r w:rsidR="00070B0F">
        <w:t xml:space="preserve"> relative</w:t>
      </w:r>
      <w:r>
        <w:t xml:space="preserve"> uncertainty is taken from table 10.1.3.1.</w:t>
      </w:r>
      <w:r w:rsidR="00070B0F">
        <w:t>2</w:t>
      </w:r>
      <w:r>
        <w:t xml:space="preserve">-1, for normal condition. In this case +/-6dB. </w:t>
      </w:r>
    </w:p>
    <w:p w14:paraId="4183382D" w14:textId="2E60212A" w:rsidR="007E4703" w:rsidRDefault="007E4703">
      <w:pPr>
        <w:jc w:val="both"/>
      </w:pPr>
      <w:r>
        <w:t>The rules observed in R4-2409134 are summarized as:</w:t>
      </w:r>
    </w:p>
    <w:p w14:paraId="467FCB9A" w14:textId="77777777" w:rsidR="007E4703" w:rsidRDefault="007E4703">
      <w:pPr>
        <w:jc w:val="both"/>
      </w:pPr>
    </w:p>
    <w:p w14:paraId="497CCD6C" w14:textId="77777777" w:rsidR="00867BEC" w:rsidRDefault="00867BEC" w:rsidP="00867BEC">
      <w:pPr>
        <w:rPr>
          <w:lang w:eastAsia="ja-JP"/>
        </w:rPr>
      </w:pPr>
    </w:p>
    <w:p w14:paraId="0D1FA663" w14:textId="40582B0D" w:rsidR="00867BEC" w:rsidRDefault="00CE469D" w:rsidP="00867BEC">
      <w:pPr>
        <w:rPr>
          <w:lang w:eastAsia="ja-JP"/>
        </w:rPr>
      </w:pPr>
      <w:r>
        <w:rPr>
          <w:lang w:eastAsia="ja-JP"/>
        </w:rPr>
        <w:t>R</w:t>
      </w:r>
      <w:r w:rsidR="00E061AD">
        <w:rPr>
          <w:lang w:eastAsia="ja-JP"/>
        </w:rPr>
        <w:t xml:space="preserve">elations between </w:t>
      </w:r>
      <w:r w:rsidR="00E814A9">
        <w:rPr>
          <w:lang w:eastAsia="ja-JP"/>
        </w:rPr>
        <w:t>cg-SDT-RSRP-</w:t>
      </w:r>
      <w:proofErr w:type="spellStart"/>
      <w:r w:rsidR="00E814A9">
        <w:rPr>
          <w:lang w:eastAsia="ja-JP"/>
        </w:rPr>
        <w:t>ChangeThreshold</w:t>
      </w:r>
      <w:proofErr w:type="spellEnd"/>
      <w:r w:rsidR="00E814A9">
        <w:rPr>
          <w:lang w:eastAsia="ja-JP"/>
        </w:rPr>
        <w:t xml:space="preserve">, relative measurement uncertainty, </w:t>
      </w:r>
      <w:r w:rsidR="00E061AD">
        <w:rPr>
          <w:lang w:eastAsia="ja-JP"/>
        </w:rPr>
        <w:t xml:space="preserve">P0, P1 and P2 </w:t>
      </w:r>
      <w:r>
        <w:rPr>
          <w:lang w:eastAsia="ja-JP"/>
        </w:rPr>
        <w:t>are</w:t>
      </w:r>
      <w:r w:rsidR="00E061AD">
        <w:rPr>
          <w:lang w:eastAsia="ja-JP"/>
        </w:rPr>
        <w:t>:</w:t>
      </w:r>
    </w:p>
    <w:p w14:paraId="4A93E3F7" w14:textId="1A4CC5FA" w:rsidR="00606C57" w:rsidRDefault="003725CE" w:rsidP="003643A9">
      <w:pPr>
        <w:rPr>
          <w:lang w:eastAsia="ja-JP"/>
        </w:rPr>
      </w:pPr>
      <m:oMathPara>
        <m:oMath>
          <m:r>
            <m:rPr>
              <m:sty m:val="p"/>
            </m:rPr>
            <w:rPr>
              <w:rFonts w:ascii="Cambria Math" w:hAnsi="Cambria Math"/>
              <w:lang w:eastAsia="ja-JP"/>
            </w:rPr>
            <m:t>cg-SDT-RSRP-ChangeThreshold≥2*uncertainty</m:t>
          </m:r>
        </m:oMath>
      </m:oMathPara>
    </w:p>
    <w:p w14:paraId="0156B52E" w14:textId="0B40A8AE" w:rsidR="00606C57" w:rsidRDefault="00606C57" w:rsidP="00867BEC">
      <w:pPr>
        <w:rPr>
          <w:lang w:eastAsia="ja-JP"/>
        </w:rPr>
      </w:pPr>
      <w:r>
        <w:rPr>
          <w:lang w:eastAsia="ja-JP"/>
        </w:rPr>
        <w:t>And:</w:t>
      </w:r>
    </w:p>
    <w:p w14:paraId="25F9153F" w14:textId="18B3ED14" w:rsidR="00E061AD" w:rsidRPr="00B054FC" w:rsidRDefault="00973D47" w:rsidP="00867BEC">
      <w:pPr>
        <w:rPr>
          <w:lang w:eastAsia="ja-JP"/>
        </w:rPr>
      </w:pPr>
      <m:oMathPara>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1±</m:t>
                  </m:r>
                  <m:r>
                    <w:rPr>
                      <w:rFonts w:ascii="Cambria Math" w:hAnsi="Cambria Math"/>
                      <w:lang w:eastAsia="ja-JP"/>
                    </w:rPr>
                    <m:t>uncertainty</m:t>
                  </m:r>
                </m:e>
              </m:d>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oMath>
      </m:oMathPara>
    </w:p>
    <w:p w14:paraId="1EBCCCDC" w14:textId="622CF755" w:rsidR="00B054FC" w:rsidRDefault="00B054FC" w:rsidP="00867BEC">
      <w:pPr>
        <w:rPr>
          <w:lang w:eastAsia="ja-JP"/>
        </w:rPr>
      </w:pPr>
      <w:r>
        <w:rPr>
          <w:lang w:eastAsia="ja-JP"/>
        </w:rPr>
        <w:t>And:</w:t>
      </w:r>
    </w:p>
    <w:p w14:paraId="4F1114AC" w14:textId="4B9DD274" w:rsidR="00B054FC" w:rsidRDefault="00973D47" w:rsidP="00867BEC">
      <w:pPr>
        <w:rPr>
          <w:lang w:eastAsia="ja-JP"/>
        </w:rPr>
      </w:pPr>
      <m:oMathPara>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0±</m:t>
                  </m:r>
                  <m:r>
                    <w:rPr>
                      <w:rFonts w:ascii="Cambria Math" w:hAnsi="Cambria Math"/>
                      <w:lang w:eastAsia="ja-JP"/>
                    </w:rPr>
                    <m:t>uncertainty</m:t>
                  </m:r>
                </m:e>
              </m:d>
            </m:e>
          </m:d>
          <m:r>
            <w:rPr>
              <w:rFonts w:ascii="Cambria Math" w:hAnsi="Cambria Math"/>
              <w:lang w:eastAsia="ja-JP"/>
            </w:rPr>
            <m:t>&gt;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oMath>
      </m:oMathPara>
    </w:p>
    <w:p w14:paraId="32326D4A" w14:textId="77777777" w:rsidR="00584233" w:rsidRDefault="00584233" w:rsidP="00867BEC">
      <w:pPr>
        <w:rPr>
          <w:lang w:eastAsia="ja-JP"/>
        </w:rPr>
      </w:pPr>
    </w:p>
    <w:p w14:paraId="49B34DA0" w14:textId="68C6EB01" w:rsidR="00E061AD" w:rsidRDefault="00E061AD" w:rsidP="00867BEC">
      <w:pPr>
        <w:rPr>
          <w:lang w:eastAsia="ja-JP"/>
        </w:rPr>
      </w:pPr>
      <w:r>
        <w:rPr>
          <w:lang w:eastAsia="ja-JP"/>
        </w:rPr>
        <w:t>Translated into the exact test case, this applies:</w:t>
      </w:r>
    </w:p>
    <w:p w14:paraId="68AFE8E9" w14:textId="7B1AEE7C" w:rsidR="00584233" w:rsidRPr="00B054FC" w:rsidRDefault="00973D47" w:rsidP="003643A9">
      <w:pPr>
        <w:rPr>
          <w:lang w:eastAsia="ja-JP"/>
        </w:rPr>
      </w:pPr>
      <m:oMathPara>
        <m:oMath>
          <m:d>
            <m:dPr>
              <m:ctrlPr>
                <w:rPr>
                  <w:rFonts w:ascii="Cambria Math" w:hAnsi="Cambria Math"/>
                  <w:lang w:eastAsia="ja-JP"/>
                </w:rPr>
              </m:ctrlPr>
            </m:dPr>
            <m:e>
              <m:r>
                <m:rPr>
                  <m:sty m:val="p"/>
                </m:rPr>
                <w:rPr>
                  <w:rFonts w:ascii="Cambria Math" w:hAnsi="Cambria Math"/>
                  <w:lang w:eastAsia="ja-JP"/>
                </w:rPr>
                <m:t>P2-uncertainty</m:t>
              </m:r>
            </m:e>
          </m:d>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P0+uncertainty</m:t>
              </m:r>
            </m:e>
          </m:d>
          <m:r>
            <m:rPr>
              <m:sty m:val="p"/>
            </m:rPr>
            <w:rPr>
              <w:rFonts w:ascii="Cambria Math" w:hAnsi="Cambria Math"/>
              <w:lang w:eastAsia="ja-JP"/>
            </w:rPr>
            <m:t>&gt;cg-SDT-RSRP-ChangeThreshold</m:t>
          </m:r>
          <m:box>
            <m:boxPr>
              <m:opEmu m:val="1"/>
              <m:ctrlPr>
                <w:rPr>
                  <w:rFonts w:ascii="Cambria Math" w:hAnsi="Cambria Math"/>
                  <w:lang w:eastAsia="ja-JP"/>
                </w:rPr>
              </m:ctrlPr>
            </m:boxPr>
            <m:e/>
          </m:box>
          <m:r>
            <m:rPr>
              <m:sty m:val="p"/>
            </m:rPr>
            <w:rPr>
              <w:lang w:eastAsia="ja-JP"/>
            </w:rPr>
            <w:br/>
          </m:r>
        </m:oMath>
        <m:oMath>
          <m:r>
            <m:rPr>
              <m:sty m:val="p"/>
            </m:rPr>
            <w:rPr>
              <w:rFonts w:ascii="Cambria Math" w:hAnsi="Cambria Math"/>
              <w:lang w:eastAsia="ja-JP"/>
            </w:rPr>
            <m:t>⇒P2-P0-2*uncertainty&gt;cg-SDT-RSRP-ChangeTheshold</m:t>
          </m:r>
          <m:r>
            <m:rPr>
              <m:sty m:val="p"/>
            </m:rPr>
            <w:rPr>
              <w:lang w:eastAsia="ja-JP"/>
            </w:rPr>
            <w:br/>
          </m:r>
        </m:oMath>
        <m:oMath>
          <m:r>
            <m:rPr>
              <m:sty m:val="p"/>
            </m:rPr>
            <w:rPr>
              <w:rFonts w:ascii="Cambria Math" w:hAnsi="Cambria Math"/>
              <w:lang w:eastAsia="ja-JP"/>
            </w:rPr>
            <m:t>⇒P2&gt;g-SDT-RSRP-ChangeThreshold+P0+2*uncertainty</m:t>
          </m:r>
        </m:oMath>
      </m:oMathPara>
    </w:p>
    <w:p w14:paraId="6098EF95" w14:textId="18647806" w:rsidR="00584233" w:rsidRPr="00584233" w:rsidRDefault="00584233" w:rsidP="00867BEC">
      <w:pPr>
        <w:rPr>
          <w:lang w:eastAsia="ja-JP"/>
        </w:rPr>
      </w:pPr>
    </w:p>
    <w:p w14:paraId="78332001" w14:textId="6811F648" w:rsidR="00B054FC" w:rsidRDefault="00B054FC" w:rsidP="00867BEC">
      <w:pPr>
        <w:rPr>
          <w:lang w:eastAsia="ja-JP"/>
        </w:rPr>
      </w:pPr>
      <w:r>
        <w:rPr>
          <w:lang w:eastAsia="ja-JP"/>
        </w:rPr>
        <w:t>And:</w:t>
      </w:r>
    </w:p>
    <w:p w14:paraId="763781DF" w14:textId="77777777" w:rsidR="00B054FC" w:rsidRPr="00B054FC" w:rsidRDefault="00B054FC" w:rsidP="00867BEC">
      <w:pPr>
        <w:rPr>
          <w:lang w:eastAsia="ja-JP"/>
        </w:rPr>
      </w:pPr>
    </w:p>
    <w:p w14:paraId="2E6FE4B7" w14:textId="0C629690" w:rsidR="00B054FC" w:rsidRPr="00B054FC" w:rsidRDefault="00973D47" w:rsidP="00B054FC">
      <w:pPr>
        <w:rPr>
          <w:lang w:eastAsia="ja-JP"/>
        </w:rPr>
      </w:pPr>
      <m:oMathPara>
        <m:oMath>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1-</m:t>
              </m:r>
              <m:r>
                <w:rPr>
                  <w:rFonts w:ascii="Cambria Math" w:hAnsi="Cambria Math"/>
                  <w:lang w:eastAsia="ja-JP"/>
                </w:rPr>
                <m:t>uncertainty</m:t>
              </m:r>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r>
            <m:rPr>
              <m:sty m:val="p"/>
            </m:rPr>
            <w:rPr>
              <w:rFonts w:ascii="Cambria Math" w:hAnsi="Cambria Math"/>
              <w:lang w:eastAsia="ja-JP"/>
            </w:rPr>
            <w:br/>
          </m:r>
        </m:oMath>
        <m:oMath>
          <m:r>
            <w:rPr>
              <w:rFonts w:ascii="Cambria Math" w:hAnsi="Cambria Math"/>
              <w:lang w:eastAsia="ja-JP"/>
            </w:rPr>
            <m:t>⇒</m:t>
          </m:r>
          <m:r>
            <w:rPr>
              <w:rFonts w:ascii="Cambria Math" w:hAnsi="Cambria Math"/>
              <w:lang w:eastAsia="ja-JP"/>
            </w:rPr>
            <m:t>P</m:t>
          </m:r>
          <m:r>
            <w:rPr>
              <w:rFonts w:ascii="Cambria Math" w:hAnsi="Cambria Math"/>
              <w:lang w:eastAsia="ja-JP"/>
            </w:rPr>
            <m:t>2-</m:t>
          </m:r>
          <m:r>
            <w:rPr>
              <w:rFonts w:ascii="Cambria Math" w:hAnsi="Cambria Math"/>
              <w:lang w:eastAsia="ja-JP"/>
            </w:rPr>
            <m:t>P</m:t>
          </m:r>
          <m:r>
            <w:rPr>
              <w:rFonts w:ascii="Cambria Math" w:hAnsi="Cambria Math"/>
              <w:lang w:eastAsia="ja-JP"/>
            </w:rPr>
            <m:t>1+2*</m:t>
          </m:r>
          <m:r>
            <w:rPr>
              <w:rFonts w:ascii="Cambria Math" w:hAnsi="Cambria Math"/>
              <w:lang w:eastAsia="ja-JP"/>
            </w:rPr>
            <m:t>uncertainty</m:t>
          </m:r>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es</m:t>
          </m:r>
          <m:r>
            <w:rPr>
              <w:rFonts w:ascii="Cambria Math" w:hAnsi="Cambria Math"/>
              <w:lang w:eastAsia="ja-JP"/>
            </w:rPr>
            <m:t>h</m:t>
          </m:r>
          <m:r>
            <w:rPr>
              <w:rFonts w:ascii="Cambria Math" w:hAnsi="Cambria Math"/>
              <w:lang w:eastAsia="ja-JP"/>
            </w:rPr>
            <m:t>old</m:t>
          </m:r>
          <m:r>
            <m:rPr>
              <m:sty m:val="p"/>
            </m:rPr>
            <w:rPr>
              <w:rFonts w:ascii="Cambria Math" w:hAnsi="Cambria Math"/>
              <w:lang w:eastAsia="ja-JP"/>
            </w:rPr>
            <w:br/>
          </m:r>
        </m:oMath>
        <m:oMath>
          <m:r>
            <w:rPr>
              <w:rFonts w:ascii="Cambria Math" w:hAnsi="Cambria Math"/>
              <w:lang w:eastAsia="ja-JP"/>
            </w:rPr>
            <m:t>⇒</m:t>
          </m:r>
          <m:r>
            <w:rPr>
              <w:rFonts w:ascii="Cambria Math" w:hAnsi="Cambria Math"/>
              <w:lang w:eastAsia="ja-JP"/>
            </w:rPr>
            <m:t>P</m:t>
          </m:r>
          <m:r>
            <w:rPr>
              <w:rFonts w:ascii="Cambria Math" w:hAnsi="Cambria Math"/>
              <w:lang w:eastAsia="ja-JP"/>
            </w:rPr>
            <m:t>2≤</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r>
            <w:rPr>
              <w:rFonts w:ascii="Cambria Math" w:hAnsi="Cambria Math"/>
              <w:lang w:eastAsia="ja-JP"/>
            </w:rPr>
            <m:t>+</m:t>
          </m:r>
          <m:r>
            <w:rPr>
              <w:rFonts w:ascii="Cambria Math" w:hAnsi="Cambria Math"/>
              <w:lang w:eastAsia="ja-JP"/>
            </w:rPr>
            <m:t>P</m:t>
          </m:r>
          <m:r>
            <w:rPr>
              <w:rFonts w:ascii="Cambria Math" w:hAnsi="Cambria Math"/>
              <w:lang w:eastAsia="ja-JP"/>
            </w:rPr>
            <m:t>1-2*</m:t>
          </m:r>
          <m:r>
            <w:rPr>
              <w:rFonts w:ascii="Cambria Math" w:hAnsi="Cambria Math"/>
              <w:lang w:eastAsia="ja-JP"/>
            </w:rPr>
            <m:t>uncertainty</m:t>
          </m:r>
          <m:r>
            <w:rPr>
              <w:rFonts w:ascii="Cambria Math" w:hAnsi="Cambria Math"/>
              <w:lang w:eastAsia="ja-JP"/>
            </w:rPr>
            <m:t xml:space="preserve"> </m:t>
          </m:r>
          <m:r>
            <w:rPr>
              <w:rFonts w:ascii="Cambria Math" w:hAnsi="Cambria Math"/>
              <w:lang w:eastAsia="ja-JP"/>
            </w:rPr>
            <m:t>or</m:t>
          </m:r>
          <m:r>
            <m:rPr>
              <m:sty m:val="p"/>
            </m:rPr>
            <w:rPr>
              <w:rFonts w:ascii="Cambria Math" w:hAnsi="Cambria Math"/>
              <w:lang w:eastAsia="ja-JP"/>
            </w:rPr>
            <w:br/>
          </m:r>
        </m:oMath>
        <m:oMath>
          <m:r>
            <w:rPr>
              <w:rFonts w:ascii="Cambria Math" w:hAnsi="Cambria Math"/>
              <w:lang w:eastAsia="ja-JP"/>
            </w:rPr>
            <m:t>P</m:t>
          </m:r>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e>
          </m:d>
          <m:r>
            <w:rPr>
              <w:rFonts w:ascii="Cambria Math" w:hAnsi="Cambria Math"/>
              <w:lang w:eastAsia="ja-JP"/>
            </w:rPr>
            <m:t>+2*</m:t>
          </m:r>
          <m:r>
            <w:rPr>
              <w:rFonts w:ascii="Cambria Math" w:hAnsi="Cambria Math"/>
              <w:lang w:eastAsia="ja-JP"/>
            </w:rPr>
            <m:t>uncertainty</m:t>
          </m:r>
          <m:r>
            <w:rPr>
              <w:rFonts w:ascii="Cambria Math" w:hAnsi="Cambria Math"/>
              <w:lang w:eastAsia="ja-JP"/>
            </w:rPr>
            <m:t>≤</m:t>
          </m:r>
          <m:r>
            <w:rPr>
              <w:rFonts w:ascii="Cambria Math" w:hAnsi="Cambria Math"/>
              <w:lang w:eastAsia="ja-JP"/>
            </w:rPr>
            <m:t>P</m:t>
          </m:r>
          <m:r>
            <w:rPr>
              <w:rFonts w:ascii="Cambria Math" w:hAnsi="Cambria Math"/>
              <w:lang w:eastAsia="ja-JP"/>
            </w:rPr>
            <m:t>1</m:t>
          </m:r>
        </m:oMath>
      </m:oMathPara>
    </w:p>
    <w:p w14:paraId="43143F8D" w14:textId="77777777" w:rsidR="00B054FC" w:rsidRDefault="00B054FC" w:rsidP="00867BEC">
      <w:pPr>
        <w:rPr>
          <w:lang w:eastAsia="ja-JP"/>
        </w:rPr>
      </w:pPr>
    </w:p>
    <w:p w14:paraId="20C7C1C9" w14:textId="302DFF11" w:rsidR="00CE469D" w:rsidRDefault="00466DD8" w:rsidP="00867BEC">
      <w:pPr>
        <w:rPr>
          <w:lang w:eastAsia="ja-JP"/>
        </w:rPr>
      </w:pPr>
      <w:r>
        <w:rPr>
          <w:lang w:eastAsia="ja-JP"/>
        </w:rPr>
        <w:t xml:space="preserve">Besides the above relations, </w:t>
      </w:r>
      <w:r w:rsidR="0071519F">
        <w:rPr>
          <w:lang w:eastAsia="ja-JP"/>
        </w:rPr>
        <w:t xml:space="preserve">RAN5 has requirements for the </w:t>
      </w:r>
      <w:r>
        <w:rPr>
          <w:lang w:eastAsia="ja-JP"/>
        </w:rPr>
        <w:t xml:space="preserve">Io power levels of the test cases </w:t>
      </w:r>
      <w:r w:rsidR="0071519F">
        <w:rPr>
          <w:lang w:eastAsia="ja-JP"/>
        </w:rPr>
        <w:t>to</w:t>
      </w:r>
      <w:r>
        <w:rPr>
          <w:lang w:eastAsia="ja-JP"/>
        </w:rPr>
        <w:t xml:space="preserve"> be within the dynamic range of -50 to -70 dBm.</w:t>
      </w:r>
    </w:p>
    <w:p w14:paraId="4458535B" w14:textId="77777777" w:rsidR="00466DD8" w:rsidRDefault="00466DD8" w:rsidP="00867BEC">
      <w:pPr>
        <w:rPr>
          <w:lang w:eastAsia="ja-JP"/>
        </w:rPr>
      </w:pPr>
    </w:p>
    <w:p w14:paraId="2D24483F" w14:textId="488500AF" w:rsidR="00466DD8" w:rsidRDefault="00263E07" w:rsidP="00867BEC">
      <w:pPr>
        <w:rPr>
          <w:lang w:eastAsia="ja-JP"/>
        </w:rPr>
      </w:pPr>
      <w:r>
        <w:rPr>
          <w:lang w:eastAsia="ja-JP"/>
        </w:rPr>
        <w:t>As a result</w:t>
      </w:r>
      <w:r w:rsidR="00A04F11">
        <w:rPr>
          <w:lang w:eastAsia="ja-JP"/>
        </w:rPr>
        <w:t xml:space="preserve">, </w:t>
      </w:r>
      <w:r>
        <w:rPr>
          <w:lang w:eastAsia="ja-JP"/>
        </w:rPr>
        <w:t xml:space="preserve">during RAN4 #111 </w:t>
      </w:r>
      <w:r w:rsidR="00A04F11">
        <w:rPr>
          <w:lang w:eastAsia="ja-JP"/>
        </w:rPr>
        <w:t xml:space="preserve">it has been suggested to adjust the number of resource blocks in the test and to remove the noise in the Io calculations to try and fix the problem of </w:t>
      </w:r>
      <w:r w:rsidR="00327883">
        <w:rPr>
          <w:lang w:eastAsia="ja-JP"/>
        </w:rPr>
        <w:t>the dynamic range and</w:t>
      </w:r>
      <w:r w:rsidR="00BE719A">
        <w:rPr>
          <w:lang w:eastAsia="ja-JP"/>
        </w:rPr>
        <w:t xml:space="preserve"> P0 values.</w:t>
      </w:r>
    </w:p>
    <w:p w14:paraId="4FFF9B1F" w14:textId="77777777" w:rsidR="00D07EEE" w:rsidRDefault="00D07EEE" w:rsidP="00867BEC">
      <w:pPr>
        <w:rPr>
          <w:lang w:eastAsia="ja-JP"/>
        </w:rPr>
      </w:pPr>
    </w:p>
    <w:p w14:paraId="1D60E3C8" w14:textId="57AD5BDD" w:rsidR="00BE719A" w:rsidRDefault="00BE719A" w:rsidP="00BE719A">
      <w:pPr>
        <w:pStyle w:val="RAN4observation0"/>
        <w:rPr>
          <w:lang w:eastAsia="ja-JP"/>
        </w:rPr>
      </w:pPr>
      <w:bookmarkStart w:id="8" w:name="_Toc170817197"/>
      <w:r>
        <w:rPr>
          <w:lang w:eastAsia="ja-JP"/>
        </w:rPr>
        <w:t>It has been suggested to adjust the number of resource blocks in the tests to mitigate dynamic range problems for the Io values.</w:t>
      </w:r>
      <w:bookmarkEnd w:id="8"/>
    </w:p>
    <w:p w14:paraId="3BFBB40F" w14:textId="5065496E" w:rsidR="00BE719A" w:rsidRPr="00BE719A" w:rsidRDefault="00BE719A" w:rsidP="00BE719A">
      <w:pPr>
        <w:pStyle w:val="RAN4observation0"/>
        <w:rPr>
          <w:lang w:eastAsia="ja-JP"/>
        </w:rPr>
      </w:pPr>
      <w:bookmarkStart w:id="9" w:name="_Toc170817198"/>
      <w:r>
        <w:rPr>
          <w:lang w:eastAsia="ja-JP"/>
        </w:rPr>
        <w:t>It has been suggested to remove noise from the Io values to mitigate the dynamic range problems.</w:t>
      </w:r>
      <w:bookmarkEnd w:id="9"/>
    </w:p>
    <w:p w14:paraId="0DABA497" w14:textId="77777777" w:rsidR="00CE469D" w:rsidRDefault="00CE469D" w:rsidP="00867BEC">
      <w:pPr>
        <w:rPr>
          <w:lang w:eastAsia="ja-JP"/>
        </w:rPr>
      </w:pPr>
    </w:p>
    <w:p w14:paraId="27A7B9D4" w14:textId="24CFAB00" w:rsidR="00BE719A" w:rsidRDefault="00156891" w:rsidP="00867BEC">
      <w:pPr>
        <w:rPr>
          <w:lang w:eastAsia="ja-JP"/>
        </w:rPr>
      </w:pPr>
      <w:r>
        <w:rPr>
          <w:lang w:eastAsia="ja-JP"/>
        </w:rPr>
        <w:t xml:space="preserve">To reduce the </w:t>
      </w:r>
      <w:r w:rsidR="005F7DFA">
        <w:rPr>
          <w:lang w:eastAsia="ja-JP"/>
        </w:rPr>
        <w:t>amount of power levels presented, this paper will focus on P0, P1 and P2 levels, instead of T1 to T6 values.</w:t>
      </w:r>
      <w:r w:rsidR="00340A95">
        <w:rPr>
          <w:lang w:eastAsia="ja-JP"/>
        </w:rPr>
        <w:t xml:space="preserve"> P</w:t>
      </w:r>
      <w:r w:rsidR="00A210D7">
        <w:rPr>
          <w:lang w:eastAsia="ja-JP"/>
        </w:rPr>
        <w:t>0 is the power level for T1, T3 and T6. P1 is the power level for T2. P2 is the power level for T4 and T5.</w:t>
      </w:r>
    </w:p>
    <w:p w14:paraId="5C8BDAC4" w14:textId="77777777" w:rsidR="00D07EEE" w:rsidRDefault="00D07EEE" w:rsidP="00D07EEE">
      <w:pPr>
        <w:pStyle w:val="RAN4observation0"/>
        <w:numPr>
          <w:ilvl w:val="0"/>
          <w:numId w:val="0"/>
        </w:numPr>
        <w:rPr>
          <w:lang w:eastAsia="ja-JP"/>
        </w:rPr>
      </w:pPr>
    </w:p>
    <w:p w14:paraId="2DC2B1CD" w14:textId="34668868" w:rsidR="00BE719A" w:rsidRDefault="00965672" w:rsidP="00965672">
      <w:pPr>
        <w:pStyle w:val="RAN4observation0"/>
        <w:rPr>
          <w:lang w:eastAsia="ja-JP"/>
        </w:rPr>
      </w:pPr>
      <w:bookmarkStart w:id="10" w:name="_Toc170817199"/>
      <w:r>
        <w:rPr>
          <w:lang w:eastAsia="ja-JP"/>
        </w:rPr>
        <w:t>P0 is the power level for T1, T3 and T6. P1 is the power level for T2. P2 is the power level for T4 and T5.</w:t>
      </w:r>
      <w:bookmarkEnd w:id="10"/>
    </w:p>
    <w:p w14:paraId="1AB71BE7" w14:textId="77777777" w:rsidR="00965672" w:rsidRDefault="00965672" w:rsidP="00867BEC">
      <w:pPr>
        <w:rPr>
          <w:lang w:eastAsia="ja-JP"/>
        </w:rPr>
      </w:pPr>
    </w:p>
    <w:p w14:paraId="6A921E2B" w14:textId="0992E274" w:rsidR="00FE7D5F" w:rsidRPr="00FE7D5F" w:rsidRDefault="00682A6D" w:rsidP="00AB3537">
      <w:pPr>
        <w:pStyle w:val="RAN4observation0"/>
        <w:rPr>
          <w:lang w:eastAsia="ja-JP"/>
        </w:rPr>
      </w:pPr>
      <w:bookmarkStart w:id="11" w:name="_Toc170817200"/>
      <w:r>
        <w:rPr>
          <w:lang w:eastAsia="ja-JP"/>
        </w:rPr>
        <w:t xml:space="preserve">The number of RB’s used </w:t>
      </w:r>
      <w:r w:rsidR="0027245F">
        <w:rPr>
          <w:lang w:eastAsia="ja-JP"/>
        </w:rPr>
        <w:t>will be as suggested,</w:t>
      </w:r>
      <w:r>
        <w:rPr>
          <w:lang w:eastAsia="ja-JP"/>
        </w:rPr>
        <w:t xml:space="preserve"> </w:t>
      </w:r>
      <w:r w:rsidR="00FE7D5F">
        <w:rPr>
          <w:lang w:eastAsia="ja-JP"/>
        </w:rPr>
        <w:t>66 vs 24, corresponding to 95.04MHz and 34.56MHz respectively.</w:t>
      </w:r>
      <w:bookmarkEnd w:id="11"/>
    </w:p>
    <w:p w14:paraId="520014C1" w14:textId="77777777" w:rsidR="00E921E7" w:rsidRPr="00E921E7" w:rsidRDefault="00E921E7" w:rsidP="00E921E7">
      <w:pPr>
        <w:rPr>
          <w:lang w:eastAsia="ja-JP"/>
        </w:rPr>
      </w:pPr>
    </w:p>
    <w:p w14:paraId="4B21E894" w14:textId="6A47A2A2" w:rsidR="007A31FD" w:rsidRDefault="007A31FD" w:rsidP="00867BEC">
      <w:pPr>
        <w:rPr>
          <w:lang w:eastAsia="ja-JP"/>
        </w:rPr>
      </w:pPr>
      <w:r>
        <w:rPr>
          <w:lang w:eastAsia="ja-JP"/>
        </w:rPr>
        <w:t xml:space="preserve">With the above, </w:t>
      </w:r>
      <w:r w:rsidR="00A420D8">
        <w:rPr>
          <w:lang w:eastAsia="ja-JP"/>
        </w:rPr>
        <w:t>the following table is presented:</w:t>
      </w:r>
    </w:p>
    <w:p w14:paraId="789BBB35" w14:textId="77777777" w:rsidR="005636D2" w:rsidRDefault="005636D2" w:rsidP="00867BEC">
      <w:pPr>
        <w:rPr>
          <w:lang w:eastAsia="ja-JP"/>
        </w:rPr>
      </w:pPr>
    </w:p>
    <w:tbl>
      <w:tblPr>
        <w:tblW w:w="7580" w:type="dxa"/>
        <w:tblLook w:val="04A0" w:firstRow="1" w:lastRow="0" w:firstColumn="1" w:lastColumn="0" w:noHBand="0" w:noVBand="1"/>
      </w:tblPr>
      <w:tblGrid>
        <w:gridCol w:w="1820"/>
        <w:gridCol w:w="966"/>
        <w:gridCol w:w="948"/>
        <w:gridCol w:w="966"/>
        <w:gridCol w:w="966"/>
        <w:gridCol w:w="948"/>
        <w:gridCol w:w="966"/>
      </w:tblGrid>
      <w:tr w:rsidR="005636D2" w14:paraId="0865094F" w14:textId="77777777" w:rsidTr="005636D2">
        <w:trPr>
          <w:trHeight w:val="300"/>
        </w:trPr>
        <w:tc>
          <w:tcPr>
            <w:tcW w:w="1820" w:type="dxa"/>
            <w:tcBorders>
              <w:top w:val="nil"/>
              <w:left w:val="nil"/>
              <w:bottom w:val="nil"/>
              <w:right w:val="nil"/>
            </w:tcBorders>
            <w:shd w:val="clear" w:color="auto" w:fill="auto"/>
            <w:noWrap/>
            <w:vAlign w:val="bottom"/>
            <w:hideMark/>
          </w:tcPr>
          <w:p w14:paraId="2DAC65C4" w14:textId="77777777" w:rsidR="005636D2" w:rsidRDefault="005636D2">
            <w:pPr>
              <w:rPr>
                <w:sz w:val="20"/>
                <w:szCs w:val="20"/>
              </w:rPr>
            </w:pPr>
          </w:p>
        </w:tc>
        <w:tc>
          <w:tcPr>
            <w:tcW w:w="2880" w:type="dxa"/>
            <w:gridSpan w:val="3"/>
            <w:tcBorders>
              <w:top w:val="single" w:sz="12" w:space="0" w:color="auto"/>
              <w:left w:val="single" w:sz="12" w:space="0" w:color="auto"/>
              <w:bottom w:val="single" w:sz="4" w:space="0" w:color="auto"/>
              <w:right w:val="single" w:sz="12" w:space="0" w:color="000000"/>
            </w:tcBorders>
            <w:shd w:val="clear" w:color="auto" w:fill="auto"/>
            <w:noWrap/>
            <w:vAlign w:val="bottom"/>
            <w:hideMark/>
          </w:tcPr>
          <w:p w14:paraId="49C8E146" w14:textId="77777777" w:rsidR="005636D2" w:rsidRDefault="005636D2">
            <w:pPr>
              <w:jc w:val="center"/>
              <w:rPr>
                <w:rFonts w:ascii="Calibri" w:hAnsi="Calibri" w:cs="Calibri"/>
                <w:color w:val="000000"/>
                <w:sz w:val="22"/>
                <w:szCs w:val="22"/>
              </w:rPr>
            </w:pPr>
            <w:r>
              <w:rPr>
                <w:rFonts w:ascii="Calibri" w:hAnsi="Calibri" w:cs="Calibri"/>
                <w:color w:val="000000"/>
                <w:sz w:val="22"/>
                <w:szCs w:val="22"/>
              </w:rPr>
              <w:t>With Noise</w:t>
            </w:r>
          </w:p>
        </w:tc>
        <w:tc>
          <w:tcPr>
            <w:tcW w:w="2880" w:type="dxa"/>
            <w:gridSpan w:val="3"/>
            <w:tcBorders>
              <w:top w:val="single" w:sz="12" w:space="0" w:color="auto"/>
              <w:left w:val="nil"/>
              <w:bottom w:val="single" w:sz="4" w:space="0" w:color="auto"/>
              <w:right w:val="single" w:sz="12" w:space="0" w:color="000000"/>
            </w:tcBorders>
            <w:shd w:val="clear" w:color="auto" w:fill="auto"/>
            <w:noWrap/>
            <w:vAlign w:val="bottom"/>
            <w:hideMark/>
          </w:tcPr>
          <w:p w14:paraId="3A7728CD" w14:textId="77777777" w:rsidR="005636D2" w:rsidRDefault="005636D2">
            <w:pPr>
              <w:jc w:val="center"/>
              <w:rPr>
                <w:rFonts w:ascii="Calibri" w:hAnsi="Calibri" w:cs="Calibri"/>
                <w:color w:val="000000"/>
                <w:sz w:val="22"/>
                <w:szCs w:val="22"/>
              </w:rPr>
            </w:pPr>
            <w:r>
              <w:rPr>
                <w:rFonts w:ascii="Calibri" w:hAnsi="Calibri" w:cs="Calibri"/>
                <w:color w:val="000000"/>
                <w:sz w:val="22"/>
                <w:szCs w:val="22"/>
              </w:rPr>
              <w:t>Without Noise</w:t>
            </w:r>
          </w:p>
        </w:tc>
      </w:tr>
      <w:tr w:rsidR="005636D2" w14:paraId="49313434" w14:textId="77777777" w:rsidTr="005636D2">
        <w:trPr>
          <w:trHeight w:val="300"/>
        </w:trPr>
        <w:tc>
          <w:tcPr>
            <w:tcW w:w="1820" w:type="dxa"/>
            <w:tcBorders>
              <w:top w:val="nil"/>
              <w:left w:val="nil"/>
              <w:bottom w:val="nil"/>
              <w:right w:val="nil"/>
            </w:tcBorders>
            <w:shd w:val="clear" w:color="auto" w:fill="auto"/>
            <w:noWrap/>
            <w:vAlign w:val="bottom"/>
            <w:hideMark/>
          </w:tcPr>
          <w:p w14:paraId="2722BE18" w14:textId="77777777" w:rsidR="005636D2" w:rsidRDefault="005636D2">
            <w:pPr>
              <w:jc w:val="center"/>
              <w:rPr>
                <w:rFonts w:ascii="Calibri" w:hAnsi="Calibri" w:cs="Calibri"/>
                <w:color w:val="000000"/>
                <w:sz w:val="22"/>
                <w:szCs w:val="22"/>
              </w:rPr>
            </w:pPr>
          </w:p>
        </w:tc>
        <w:tc>
          <w:tcPr>
            <w:tcW w:w="966" w:type="dxa"/>
            <w:tcBorders>
              <w:top w:val="nil"/>
              <w:left w:val="single" w:sz="12" w:space="0" w:color="auto"/>
              <w:bottom w:val="single" w:sz="12" w:space="0" w:color="auto"/>
              <w:right w:val="single" w:sz="4" w:space="0" w:color="auto"/>
            </w:tcBorders>
            <w:shd w:val="clear" w:color="auto" w:fill="auto"/>
            <w:noWrap/>
            <w:vAlign w:val="bottom"/>
            <w:hideMark/>
          </w:tcPr>
          <w:p w14:paraId="7AE36081" w14:textId="77777777" w:rsidR="005636D2" w:rsidRDefault="005636D2">
            <w:pPr>
              <w:rPr>
                <w:rFonts w:ascii="Calibri" w:hAnsi="Calibri" w:cs="Calibri"/>
                <w:color w:val="000000"/>
                <w:sz w:val="22"/>
                <w:szCs w:val="22"/>
              </w:rPr>
            </w:pPr>
            <w:r>
              <w:rPr>
                <w:rFonts w:ascii="Calibri" w:hAnsi="Calibri" w:cs="Calibri"/>
                <w:color w:val="000000"/>
                <w:sz w:val="22"/>
                <w:szCs w:val="22"/>
              </w:rPr>
              <w:t>P0</w:t>
            </w:r>
          </w:p>
        </w:tc>
        <w:tc>
          <w:tcPr>
            <w:tcW w:w="948" w:type="dxa"/>
            <w:tcBorders>
              <w:top w:val="nil"/>
              <w:left w:val="nil"/>
              <w:bottom w:val="single" w:sz="12" w:space="0" w:color="auto"/>
              <w:right w:val="single" w:sz="4" w:space="0" w:color="auto"/>
            </w:tcBorders>
            <w:shd w:val="clear" w:color="auto" w:fill="auto"/>
            <w:noWrap/>
            <w:vAlign w:val="bottom"/>
            <w:hideMark/>
          </w:tcPr>
          <w:p w14:paraId="7FFA2122" w14:textId="77777777" w:rsidR="005636D2" w:rsidRDefault="005636D2">
            <w:pPr>
              <w:rPr>
                <w:rFonts w:ascii="Calibri" w:hAnsi="Calibri" w:cs="Calibri"/>
                <w:color w:val="000000"/>
                <w:sz w:val="22"/>
                <w:szCs w:val="22"/>
              </w:rPr>
            </w:pPr>
            <w:r>
              <w:rPr>
                <w:rFonts w:ascii="Calibri" w:hAnsi="Calibri" w:cs="Calibri"/>
                <w:color w:val="000000"/>
                <w:sz w:val="22"/>
                <w:szCs w:val="22"/>
              </w:rPr>
              <w:t>P1</w:t>
            </w:r>
          </w:p>
        </w:tc>
        <w:tc>
          <w:tcPr>
            <w:tcW w:w="966" w:type="dxa"/>
            <w:tcBorders>
              <w:top w:val="nil"/>
              <w:left w:val="nil"/>
              <w:bottom w:val="single" w:sz="12" w:space="0" w:color="auto"/>
              <w:right w:val="single" w:sz="12" w:space="0" w:color="auto"/>
            </w:tcBorders>
            <w:shd w:val="clear" w:color="auto" w:fill="auto"/>
            <w:noWrap/>
            <w:vAlign w:val="bottom"/>
            <w:hideMark/>
          </w:tcPr>
          <w:p w14:paraId="39D60153" w14:textId="77777777" w:rsidR="005636D2" w:rsidRDefault="005636D2">
            <w:pPr>
              <w:rPr>
                <w:rFonts w:ascii="Calibri" w:hAnsi="Calibri" w:cs="Calibri"/>
                <w:color w:val="000000"/>
                <w:sz w:val="22"/>
                <w:szCs w:val="22"/>
              </w:rPr>
            </w:pPr>
            <w:r>
              <w:rPr>
                <w:rFonts w:ascii="Calibri" w:hAnsi="Calibri" w:cs="Calibri"/>
                <w:color w:val="000000"/>
                <w:sz w:val="22"/>
                <w:szCs w:val="22"/>
              </w:rPr>
              <w:t>P2</w:t>
            </w:r>
          </w:p>
        </w:tc>
        <w:tc>
          <w:tcPr>
            <w:tcW w:w="966" w:type="dxa"/>
            <w:tcBorders>
              <w:top w:val="nil"/>
              <w:left w:val="nil"/>
              <w:bottom w:val="single" w:sz="12" w:space="0" w:color="auto"/>
              <w:right w:val="single" w:sz="4" w:space="0" w:color="auto"/>
            </w:tcBorders>
            <w:shd w:val="clear" w:color="auto" w:fill="auto"/>
            <w:noWrap/>
            <w:vAlign w:val="bottom"/>
            <w:hideMark/>
          </w:tcPr>
          <w:p w14:paraId="61FD9D40" w14:textId="77777777" w:rsidR="005636D2" w:rsidRDefault="005636D2">
            <w:pPr>
              <w:rPr>
                <w:rFonts w:ascii="Calibri" w:hAnsi="Calibri" w:cs="Calibri"/>
                <w:color w:val="000000"/>
                <w:sz w:val="22"/>
                <w:szCs w:val="22"/>
              </w:rPr>
            </w:pPr>
            <w:r>
              <w:rPr>
                <w:rFonts w:ascii="Calibri" w:hAnsi="Calibri" w:cs="Calibri"/>
                <w:color w:val="000000"/>
                <w:sz w:val="22"/>
                <w:szCs w:val="22"/>
              </w:rPr>
              <w:t>P0</w:t>
            </w:r>
          </w:p>
        </w:tc>
        <w:tc>
          <w:tcPr>
            <w:tcW w:w="948" w:type="dxa"/>
            <w:tcBorders>
              <w:top w:val="nil"/>
              <w:left w:val="nil"/>
              <w:bottom w:val="single" w:sz="12" w:space="0" w:color="auto"/>
              <w:right w:val="single" w:sz="4" w:space="0" w:color="auto"/>
            </w:tcBorders>
            <w:shd w:val="clear" w:color="auto" w:fill="auto"/>
            <w:noWrap/>
            <w:vAlign w:val="bottom"/>
            <w:hideMark/>
          </w:tcPr>
          <w:p w14:paraId="598680C2" w14:textId="77777777" w:rsidR="005636D2" w:rsidRDefault="005636D2">
            <w:pPr>
              <w:rPr>
                <w:rFonts w:ascii="Calibri" w:hAnsi="Calibri" w:cs="Calibri"/>
                <w:color w:val="000000"/>
                <w:sz w:val="22"/>
                <w:szCs w:val="22"/>
              </w:rPr>
            </w:pPr>
            <w:r>
              <w:rPr>
                <w:rFonts w:ascii="Calibri" w:hAnsi="Calibri" w:cs="Calibri"/>
                <w:color w:val="000000"/>
                <w:sz w:val="22"/>
                <w:szCs w:val="22"/>
              </w:rPr>
              <w:t>P1</w:t>
            </w:r>
          </w:p>
        </w:tc>
        <w:tc>
          <w:tcPr>
            <w:tcW w:w="966" w:type="dxa"/>
            <w:tcBorders>
              <w:top w:val="nil"/>
              <w:left w:val="nil"/>
              <w:bottom w:val="single" w:sz="12" w:space="0" w:color="auto"/>
              <w:right w:val="single" w:sz="12" w:space="0" w:color="auto"/>
            </w:tcBorders>
            <w:shd w:val="clear" w:color="auto" w:fill="auto"/>
            <w:noWrap/>
            <w:vAlign w:val="bottom"/>
            <w:hideMark/>
          </w:tcPr>
          <w:p w14:paraId="18066A85" w14:textId="77777777" w:rsidR="005636D2" w:rsidRDefault="005636D2">
            <w:pPr>
              <w:rPr>
                <w:rFonts w:ascii="Calibri" w:hAnsi="Calibri" w:cs="Calibri"/>
                <w:color w:val="000000"/>
                <w:sz w:val="22"/>
                <w:szCs w:val="22"/>
              </w:rPr>
            </w:pPr>
            <w:r>
              <w:rPr>
                <w:rFonts w:ascii="Calibri" w:hAnsi="Calibri" w:cs="Calibri"/>
                <w:color w:val="000000"/>
                <w:sz w:val="22"/>
                <w:szCs w:val="22"/>
              </w:rPr>
              <w:t>P2</w:t>
            </w:r>
          </w:p>
        </w:tc>
      </w:tr>
      <w:tr w:rsidR="005636D2" w14:paraId="50C9C539" w14:textId="77777777" w:rsidTr="005636D2">
        <w:trPr>
          <w:trHeight w:val="300"/>
        </w:trPr>
        <w:tc>
          <w:tcPr>
            <w:tcW w:w="1820" w:type="dxa"/>
            <w:tcBorders>
              <w:top w:val="single" w:sz="12" w:space="0" w:color="auto"/>
              <w:left w:val="single" w:sz="12" w:space="0" w:color="auto"/>
              <w:bottom w:val="single" w:sz="4" w:space="0" w:color="auto"/>
              <w:right w:val="nil"/>
            </w:tcBorders>
            <w:shd w:val="clear" w:color="auto" w:fill="auto"/>
            <w:noWrap/>
            <w:vAlign w:val="bottom"/>
            <w:hideMark/>
          </w:tcPr>
          <w:p w14:paraId="7FAC7818" w14:textId="77777777" w:rsidR="005636D2" w:rsidRDefault="005636D2">
            <w:pPr>
              <w:rPr>
                <w:rFonts w:ascii="Calibri" w:hAnsi="Calibri" w:cs="Calibri"/>
                <w:color w:val="000000"/>
                <w:sz w:val="22"/>
                <w:szCs w:val="22"/>
              </w:rPr>
            </w:pPr>
            <w:r>
              <w:rPr>
                <w:rFonts w:ascii="Calibri" w:hAnsi="Calibri" w:cs="Calibri"/>
                <w:color w:val="000000"/>
                <w:sz w:val="22"/>
                <w:szCs w:val="22"/>
              </w:rPr>
              <w:t>FR2 SS-RSRP [dBm]</w:t>
            </w:r>
          </w:p>
        </w:tc>
        <w:tc>
          <w:tcPr>
            <w:tcW w:w="966" w:type="dxa"/>
            <w:tcBorders>
              <w:top w:val="nil"/>
              <w:left w:val="single" w:sz="12" w:space="0" w:color="auto"/>
              <w:bottom w:val="single" w:sz="4" w:space="0" w:color="auto"/>
              <w:right w:val="single" w:sz="4" w:space="0" w:color="auto"/>
            </w:tcBorders>
            <w:shd w:val="clear" w:color="000000" w:fill="D9D9D9"/>
            <w:noWrap/>
            <w:vAlign w:val="bottom"/>
            <w:hideMark/>
          </w:tcPr>
          <w:p w14:paraId="16881C52" w14:textId="77777777" w:rsidR="005636D2" w:rsidRDefault="005636D2">
            <w:pPr>
              <w:rPr>
                <w:rFonts w:ascii="Calibri" w:hAnsi="Calibri" w:cs="Calibri"/>
                <w:color w:val="000000"/>
                <w:sz w:val="22"/>
                <w:szCs w:val="22"/>
              </w:rPr>
            </w:pPr>
            <w:r>
              <w:rPr>
                <w:rFonts w:ascii="Calibri" w:hAnsi="Calibri" w:cs="Calibri"/>
                <w:color w:val="000000"/>
                <w:sz w:val="22"/>
                <w:szCs w:val="22"/>
              </w:rPr>
              <w:t>-104</w:t>
            </w:r>
          </w:p>
        </w:tc>
        <w:tc>
          <w:tcPr>
            <w:tcW w:w="948" w:type="dxa"/>
            <w:tcBorders>
              <w:top w:val="nil"/>
              <w:left w:val="nil"/>
              <w:bottom w:val="single" w:sz="4" w:space="0" w:color="auto"/>
              <w:right w:val="single" w:sz="4" w:space="0" w:color="auto"/>
            </w:tcBorders>
            <w:shd w:val="clear" w:color="000000" w:fill="D9D9D9"/>
            <w:noWrap/>
            <w:vAlign w:val="bottom"/>
            <w:hideMark/>
          </w:tcPr>
          <w:p w14:paraId="7EB322F8" w14:textId="77777777" w:rsidR="005636D2" w:rsidRDefault="005636D2">
            <w:pPr>
              <w:rPr>
                <w:rFonts w:ascii="Calibri" w:hAnsi="Calibri" w:cs="Calibri"/>
                <w:color w:val="000000"/>
                <w:sz w:val="22"/>
                <w:szCs w:val="22"/>
              </w:rPr>
            </w:pPr>
            <w:r>
              <w:rPr>
                <w:rFonts w:ascii="Calibri" w:hAnsi="Calibri" w:cs="Calibri"/>
                <w:color w:val="000000"/>
                <w:sz w:val="22"/>
                <w:szCs w:val="22"/>
              </w:rPr>
              <w:t>-78</w:t>
            </w:r>
          </w:p>
        </w:tc>
        <w:tc>
          <w:tcPr>
            <w:tcW w:w="966" w:type="dxa"/>
            <w:tcBorders>
              <w:top w:val="nil"/>
              <w:left w:val="nil"/>
              <w:bottom w:val="single" w:sz="4" w:space="0" w:color="auto"/>
              <w:right w:val="single" w:sz="12" w:space="0" w:color="auto"/>
            </w:tcBorders>
            <w:shd w:val="clear" w:color="000000" w:fill="D9D9D9"/>
            <w:noWrap/>
            <w:vAlign w:val="bottom"/>
            <w:hideMark/>
          </w:tcPr>
          <w:p w14:paraId="3951723D" w14:textId="77777777" w:rsidR="005636D2" w:rsidRDefault="005636D2">
            <w:pPr>
              <w:rPr>
                <w:rFonts w:ascii="Calibri" w:hAnsi="Calibri" w:cs="Calibri"/>
                <w:color w:val="000000"/>
                <w:sz w:val="22"/>
                <w:szCs w:val="22"/>
              </w:rPr>
            </w:pPr>
            <w:r>
              <w:rPr>
                <w:rFonts w:ascii="Calibri" w:hAnsi="Calibri" w:cs="Calibri"/>
                <w:color w:val="000000"/>
                <w:sz w:val="22"/>
                <w:szCs w:val="22"/>
              </w:rPr>
              <w:t>-77</w:t>
            </w:r>
          </w:p>
        </w:tc>
        <w:tc>
          <w:tcPr>
            <w:tcW w:w="966" w:type="dxa"/>
            <w:tcBorders>
              <w:top w:val="nil"/>
              <w:left w:val="nil"/>
              <w:bottom w:val="single" w:sz="4" w:space="0" w:color="auto"/>
              <w:right w:val="single" w:sz="4" w:space="0" w:color="auto"/>
            </w:tcBorders>
            <w:shd w:val="clear" w:color="auto" w:fill="auto"/>
            <w:noWrap/>
            <w:vAlign w:val="bottom"/>
            <w:hideMark/>
          </w:tcPr>
          <w:p w14:paraId="0498689A" w14:textId="77777777" w:rsidR="005636D2" w:rsidRDefault="005636D2">
            <w:pPr>
              <w:rPr>
                <w:rFonts w:ascii="Calibri" w:hAnsi="Calibri" w:cs="Calibri"/>
                <w:color w:val="000000"/>
                <w:sz w:val="22"/>
                <w:szCs w:val="22"/>
              </w:rPr>
            </w:pPr>
            <w:r>
              <w:rPr>
                <w:rFonts w:ascii="Calibri" w:hAnsi="Calibri" w:cs="Calibri"/>
                <w:color w:val="000000"/>
                <w:sz w:val="22"/>
                <w:szCs w:val="22"/>
              </w:rPr>
              <w:t>-104</w:t>
            </w:r>
          </w:p>
        </w:tc>
        <w:tc>
          <w:tcPr>
            <w:tcW w:w="948" w:type="dxa"/>
            <w:tcBorders>
              <w:top w:val="nil"/>
              <w:left w:val="nil"/>
              <w:bottom w:val="single" w:sz="4" w:space="0" w:color="auto"/>
              <w:right w:val="single" w:sz="4" w:space="0" w:color="auto"/>
            </w:tcBorders>
            <w:shd w:val="clear" w:color="auto" w:fill="auto"/>
            <w:noWrap/>
            <w:vAlign w:val="bottom"/>
            <w:hideMark/>
          </w:tcPr>
          <w:p w14:paraId="65F198A3" w14:textId="77777777" w:rsidR="005636D2" w:rsidRDefault="005636D2">
            <w:pPr>
              <w:rPr>
                <w:rFonts w:ascii="Calibri" w:hAnsi="Calibri" w:cs="Calibri"/>
                <w:color w:val="000000"/>
                <w:sz w:val="22"/>
                <w:szCs w:val="22"/>
              </w:rPr>
            </w:pPr>
            <w:r>
              <w:rPr>
                <w:rFonts w:ascii="Calibri" w:hAnsi="Calibri" w:cs="Calibri"/>
                <w:color w:val="000000"/>
                <w:sz w:val="22"/>
                <w:szCs w:val="22"/>
              </w:rPr>
              <w:t>-78</w:t>
            </w:r>
          </w:p>
        </w:tc>
        <w:tc>
          <w:tcPr>
            <w:tcW w:w="966" w:type="dxa"/>
            <w:tcBorders>
              <w:top w:val="nil"/>
              <w:left w:val="nil"/>
              <w:bottom w:val="single" w:sz="4" w:space="0" w:color="auto"/>
              <w:right w:val="single" w:sz="12" w:space="0" w:color="auto"/>
            </w:tcBorders>
            <w:shd w:val="clear" w:color="auto" w:fill="auto"/>
            <w:noWrap/>
            <w:vAlign w:val="bottom"/>
            <w:hideMark/>
          </w:tcPr>
          <w:p w14:paraId="00798401" w14:textId="77777777" w:rsidR="005636D2" w:rsidRDefault="005636D2">
            <w:pPr>
              <w:rPr>
                <w:rFonts w:ascii="Calibri" w:hAnsi="Calibri" w:cs="Calibri"/>
                <w:color w:val="000000"/>
                <w:sz w:val="22"/>
                <w:szCs w:val="22"/>
              </w:rPr>
            </w:pPr>
            <w:r>
              <w:rPr>
                <w:rFonts w:ascii="Calibri" w:hAnsi="Calibri" w:cs="Calibri"/>
                <w:color w:val="000000"/>
                <w:sz w:val="22"/>
                <w:szCs w:val="22"/>
              </w:rPr>
              <w:t>-77</w:t>
            </w:r>
          </w:p>
        </w:tc>
      </w:tr>
      <w:tr w:rsidR="005636D2" w14:paraId="49C1648E" w14:textId="77777777" w:rsidTr="005636D2">
        <w:trPr>
          <w:trHeight w:val="288"/>
        </w:trPr>
        <w:tc>
          <w:tcPr>
            <w:tcW w:w="1820" w:type="dxa"/>
            <w:tcBorders>
              <w:top w:val="nil"/>
              <w:left w:val="single" w:sz="12" w:space="0" w:color="auto"/>
              <w:bottom w:val="single" w:sz="4" w:space="0" w:color="auto"/>
              <w:right w:val="nil"/>
            </w:tcBorders>
            <w:shd w:val="clear" w:color="auto" w:fill="auto"/>
            <w:noWrap/>
            <w:vAlign w:val="bottom"/>
            <w:hideMark/>
          </w:tcPr>
          <w:p w14:paraId="679FF1A6" w14:textId="77777777" w:rsidR="005636D2" w:rsidRDefault="005636D2">
            <w:pPr>
              <w:rPr>
                <w:rFonts w:ascii="Calibri" w:hAnsi="Calibri" w:cs="Calibri"/>
                <w:color w:val="000000"/>
                <w:sz w:val="22"/>
                <w:szCs w:val="22"/>
              </w:rPr>
            </w:pPr>
            <w:r>
              <w:rPr>
                <w:rFonts w:ascii="Calibri" w:hAnsi="Calibri" w:cs="Calibri"/>
                <w:color w:val="000000"/>
                <w:sz w:val="22"/>
                <w:szCs w:val="22"/>
              </w:rPr>
              <w:t>Es/Noc [dB]</w:t>
            </w:r>
          </w:p>
        </w:tc>
        <w:tc>
          <w:tcPr>
            <w:tcW w:w="966" w:type="dxa"/>
            <w:tcBorders>
              <w:top w:val="nil"/>
              <w:left w:val="single" w:sz="12" w:space="0" w:color="auto"/>
              <w:bottom w:val="single" w:sz="4" w:space="0" w:color="auto"/>
              <w:right w:val="single" w:sz="4" w:space="0" w:color="auto"/>
            </w:tcBorders>
            <w:shd w:val="clear" w:color="000000" w:fill="D9D9D9"/>
            <w:noWrap/>
            <w:vAlign w:val="bottom"/>
            <w:hideMark/>
          </w:tcPr>
          <w:p w14:paraId="7E065FB7" w14:textId="77777777" w:rsidR="005636D2" w:rsidRDefault="005636D2">
            <w:pPr>
              <w:rPr>
                <w:rFonts w:ascii="Calibri" w:hAnsi="Calibri" w:cs="Calibri"/>
                <w:color w:val="000000"/>
                <w:sz w:val="22"/>
                <w:szCs w:val="22"/>
              </w:rPr>
            </w:pPr>
            <w:r>
              <w:rPr>
                <w:rFonts w:ascii="Calibri" w:hAnsi="Calibri" w:cs="Calibri"/>
                <w:color w:val="000000"/>
                <w:sz w:val="22"/>
                <w:szCs w:val="22"/>
              </w:rPr>
              <w:t>0</w:t>
            </w:r>
          </w:p>
        </w:tc>
        <w:tc>
          <w:tcPr>
            <w:tcW w:w="948" w:type="dxa"/>
            <w:tcBorders>
              <w:top w:val="nil"/>
              <w:left w:val="nil"/>
              <w:bottom w:val="single" w:sz="4" w:space="0" w:color="auto"/>
              <w:right w:val="single" w:sz="4" w:space="0" w:color="auto"/>
            </w:tcBorders>
            <w:shd w:val="clear" w:color="000000" w:fill="D9D9D9"/>
            <w:noWrap/>
            <w:vAlign w:val="bottom"/>
            <w:hideMark/>
          </w:tcPr>
          <w:p w14:paraId="5592FDB2" w14:textId="77777777" w:rsidR="005636D2" w:rsidRDefault="005636D2">
            <w:pPr>
              <w:rPr>
                <w:rFonts w:ascii="Calibri" w:hAnsi="Calibri" w:cs="Calibri"/>
                <w:color w:val="000000"/>
                <w:sz w:val="22"/>
                <w:szCs w:val="22"/>
              </w:rPr>
            </w:pPr>
            <w:r>
              <w:rPr>
                <w:rFonts w:ascii="Calibri" w:hAnsi="Calibri" w:cs="Calibri"/>
                <w:color w:val="000000"/>
                <w:sz w:val="22"/>
                <w:szCs w:val="22"/>
              </w:rPr>
              <w:t>26</w:t>
            </w:r>
          </w:p>
        </w:tc>
        <w:tc>
          <w:tcPr>
            <w:tcW w:w="966" w:type="dxa"/>
            <w:tcBorders>
              <w:top w:val="nil"/>
              <w:left w:val="nil"/>
              <w:bottom w:val="single" w:sz="4" w:space="0" w:color="auto"/>
              <w:right w:val="single" w:sz="12" w:space="0" w:color="auto"/>
            </w:tcBorders>
            <w:shd w:val="clear" w:color="000000" w:fill="D9D9D9"/>
            <w:noWrap/>
            <w:vAlign w:val="bottom"/>
            <w:hideMark/>
          </w:tcPr>
          <w:p w14:paraId="031B6637" w14:textId="77777777" w:rsidR="005636D2" w:rsidRDefault="005636D2">
            <w:pPr>
              <w:rPr>
                <w:rFonts w:ascii="Calibri" w:hAnsi="Calibri" w:cs="Calibri"/>
                <w:color w:val="000000"/>
                <w:sz w:val="22"/>
                <w:szCs w:val="22"/>
              </w:rPr>
            </w:pPr>
            <w:r>
              <w:rPr>
                <w:rFonts w:ascii="Calibri" w:hAnsi="Calibri" w:cs="Calibri"/>
                <w:color w:val="000000"/>
                <w:sz w:val="22"/>
                <w:szCs w:val="22"/>
              </w:rPr>
              <w:t>27</w:t>
            </w:r>
          </w:p>
        </w:tc>
        <w:tc>
          <w:tcPr>
            <w:tcW w:w="966" w:type="dxa"/>
            <w:tcBorders>
              <w:top w:val="nil"/>
              <w:left w:val="nil"/>
              <w:bottom w:val="single" w:sz="4" w:space="0" w:color="auto"/>
              <w:right w:val="single" w:sz="4" w:space="0" w:color="auto"/>
            </w:tcBorders>
            <w:shd w:val="clear" w:color="auto" w:fill="auto"/>
            <w:noWrap/>
            <w:vAlign w:val="bottom"/>
            <w:hideMark/>
          </w:tcPr>
          <w:p w14:paraId="4D2D0992" w14:textId="77777777" w:rsidR="005636D2" w:rsidRDefault="005636D2">
            <w:pPr>
              <w:rPr>
                <w:rFonts w:ascii="Calibri" w:hAnsi="Calibri" w:cs="Calibri"/>
                <w:color w:val="000000"/>
                <w:sz w:val="22"/>
                <w:szCs w:val="22"/>
              </w:rPr>
            </w:pPr>
            <w:r>
              <w:rPr>
                <w:rFonts w:ascii="Calibri" w:hAnsi="Calibri" w:cs="Calibri"/>
                <w:color w:val="000000"/>
                <w:sz w:val="22"/>
                <w:szCs w:val="22"/>
              </w:rPr>
              <w:t>0</w:t>
            </w:r>
          </w:p>
        </w:tc>
        <w:tc>
          <w:tcPr>
            <w:tcW w:w="948" w:type="dxa"/>
            <w:tcBorders>
              <w:top w:val="nil"/>
              <w:left w:val="nil"/>
              <w:bottom w:val="single" w:sz="4" w:space="0" w:color="auto"/>
              <w:right w:val="single" w:sz="4" w:space="0" w:color="auto"/>
            </w:tcBorders>
            <w:shd w:val="clear" w:color="auto" w:fill="auto"/>
            <w:noWrap/>
            <w:vAlign w:val="bottom"/>
            <w:hideMark/>
          </w:tcPr>
          <w:p w14:paraId="53D50BB8" w14:textId="77777777" w:rsidR="005636D2" w:rsidRDefault="005636D2">
            <w:pPr>
              <w:rPr>
                <w:rFonts w:ascii="Calibri" w:hAnsi="Calibri" w:cs="Calibri"/>
                <w:color w:val="000000"/>
                <w:sz w:val="22"/>
                <w:szCs w:val="22"/>
              </w:rPr>
            </w:pPr>
            <w:r>
              <w:rPr>
                <w:rFonts w:ascii="Calibri" w:hAnsi="Calibri" w:cs="Calibri"/>
                <w:color w:val="000000"/>
                <w:sz w:val="22"/>
                <w:szCs w:val="22"/>
              </w:rPr>
              <w:t>26</w:t>
            </w:r>
          </w:p>
        </w:tc>
        <w:tc>
          <w:tcPr>
            <w:tcW w:w="966" w:type="dxa"/>
            <w:tcBorders>
              <w:top w:val="nil"/>
              <w:left w:val="nil"/>
              <w:bottom w:val="single" w:sz="4" w:space="0" w:color="auto"/>
              <w:right w:val="single" w:sz="12" w:space="0" w:color="auto"/>
            </w:tcBorders>
            <w:shd w:val="clear" w:color="auto" w:fill="auto"/>
            <w:noWrap/>
            <w:vAlign w:val="bottom"/>
            <w:hideMark/>
          </w:tcPr>
          <w:p w14:paraId="2F2F6EFB" w14:textId="77777777" w:rsidR="005636D2" w:rsidRDefault="005636D2">
            <w:pPr>
              <w:rPr>
                <w:rFonts w:ascii="Calibri" w:hAnsi="Calibri" w:cs="Calibri"/>
                <w:color w:val="000000"/>
                <w:sz w:val="22"/>
                <w:szCs w:val="22"/>
              </w:rPr>
            </w:pPr>
            <w:r>
              <w:rPr>
                <w:rFonts w:ascii="Calibri" w:hAnsi="Calibri" w:cs="Calibri"/>
                <w:color w:val="000000"/>
                <w:sz w:val="22"/>
                <w:szCs w:val="22"/>
              </w:rPr>
              <w:t>27</w:t>
            </w:r>
          </w:p>
        </w:tc>
      </w:tr>
      <w:tr w:rsidR="005636D2" w14:paraId="53085FEF" w14:textId="77777777" w:rsidTr="005636D2">
        <w:trPr>
          <w:trHeight w:val="288"/>
        </w:trPr>
        <w:tc>
          <w:tcPr>
            <w:tcW w:w="1820" w:type="dxa"/>
            <w:tcBorders>
              <w:top w:val="nil"/>
              <w:left w:val="single" w:sz="12" w:space="0" w:color="auto"/>
              <w:bottom w:val="single" w:sz="4" w:space="0" w:color="auto"/>
              <w:right w:val="nil"/>
            </w:tcBorders>
            <w:shd w:val="clear" w:color="auto" w:fill="auto"/>
            <w:noWrap/>
            <w:vAlign w:val="bottom"/>
            <w:hideMark/>
          </w:tcPr>
          <w:p w14:paraId="1B3B7F78" w14:textId="77777777" w:rsidR="005636D2" w:rsidRDefault="005636D2">
            <w:pPr>
              <w:rPr>
                <w:rFonts w:ascii="Calibri" w:hAnsi="Calibri" w:cs="Calibri"/>
                <w:color w:val="000000"/>
                <w:sz w:val="22"/>
                <w:szCs w:val="22"/>
              </w:rPr>
            </w:pPr>
            <w:r>
              <w:rPr>
                <w:rFonts w:ascii="Calibri" w:hAnsi="Calibri" w:cs="Calibri"/>
                <w:color w:val="000000"/>
                <w:sz w:val="22"/>
                <w:szCs w:val="22"/>
              </w:rPr>
              <w:t>BW [MHz]</w:t>
            </w:r>
          </w:p>
        </w:tc>
        <w:tc>
          <w:tcPr>
            <w:tcW w:w="966" w:type="dxa"/>
            <w:tcBorders>
              <w:top w:val="nil"/>
              <w:left w:val="single" w:sz="12" w:space="0" w:color="auto"/>
              <w:bottom w:val="single" w:sz="4" w:space="0" w:color="auto"/>
              <w:right w:val="single" w:sz="4" w:space="0" w:color="auto"/>
            </w:tcBorders>
            <w:shd w:val="clear" w:color="000000" w:fill="D9D9D9"/>
            <w:noWrap/>
            <w:vAlign w:val="bottom"/>
            <w:hideMark/>
          </w:tcPr>
          <w:p w14:paraId="5495D6F0" w14:textId="77777777" w:rsidR="005636D2" w:rsidRDefault="005636D2">
            <w:pPr>
              <w:rPr>
                <w:rFonts w:ascii="Calibri" w:hAnsi="Calibri" w:cs="Calibri"/>
                <w:color w:val="000000"/>
                <w:sz w:val="22"/>
                <w:szCs w:val="22"/>
              </w:rPr>
            </w:pPr>
            <w:r>
              <w:rPr>
                <w:rFonts w:ascii="Calibri" w:hAnsi="Calibri" w:cs="Calibri"/>
                <w:color w:val="000000"/>
                <w:sz w:val="22"/>
                <w:szCs w:val="22"/>
              </w:rPr>
              <w:t>95.04</w:t>
            </w:r>
          </w:p>
        </w:tc>
        <w:tc>
          <w:tcPr>
            <w:tcW w:w="948" w:type="dxa"/>
            <w:tcBorders>
              <w:top w:val="nil"/>
              <w:left w:val="nil"/>
              <w:bottom w:val="single" w:sz="4" w:space="0" w:color="auto"/>
              <w:right w:val="single" w:sz="4" w:space="0" w:color="auto"/>
            </w:tcBorders>
            <w:shd w:val="clear" w:color="000000" w:fill="D9D9D9"/>
            <w:noWrap/>
            <w:vAlign w:val="bottom"/>
            <w:hideMark/>
          </w:tcPr>
          <w:p w14:paraId="1363A5CF" w14:textId="77777777" w:rsidR="005636D2" w:rsidRDefault="005636D2">
            <w:pPr>
              <w:rPr>
                <w:rFonts w:ascii="Calibri" w:hAnsi="Calibri" w:cs="Calibri"/>
                <w:color w:val="000000"/>
                <w:sz w:val="22"/>
                <w:szCs w:val="22"/>
              </w:rPr>
            </w:pPr>
            <w:r>
              <w:rPr>
                <w:rFonts w:ascii="Calibri" w:hAnsi="Calibri" w:cs="Calibri"/>
                <w:color w:val="000000"/>
                <w:sz w:val="22"/>
                <w:szCs w:val="22"/>
              </w:rPr>
              <w:t>95.04</w:t>
            </w:r>
          </w:p>
        </w:tc>
        <w:tc>
          <w:tcPr>
            <w:tcW w:w="966" w:type="dxa"/>
            <w:tcBorders>
              <w:top w:val="nil"/>
              <w:left w:val="nil"/>
              <w:bottom w:val="single" w:sz="4" w:space="0" w:color="auto"/>
              <w:right w:val="single" w:sz="12" w:space="0" w:color="auto"/>
            </w:tcBorders>
            <w:shd w:val="clear" w:color="000000" w:fill="D9D9D9"/>
            <w:noWrap/>
            <w:vAlign w:val="bottom"/>
            <w:hideMark/>
          </w:tcPr>
          <w:p w14:paraId="70DCA9E6" w14:textId="77777777" w:rsidR="005636D2" w:rsidRDefault="005636D2">
            <w:pPr>
              <w:rPr>
                <w:rFonts w:ascii="Calibri" w:hAnsi="Calibri" w:cs="Calibri"/>
                <w:color w:val="000000"/>
                <w:sz w:val="22"/>
                <w:szCs w:val="22"/>
              </w:rPr>
            </w:pPr>
            <w:r>
              <w:rPr>
                <w:rFonts w:ascii="Calibri" w:hAnsi="Calibri" w:cs="Calibri"/>
                <w:color w:val="000000"/>
                <w:sz w:val="22"/>
                <w:szCs w:val="22"/>
              </w:rPr>
              <w:t>95.04</w:t>
            </w:r>
          </w:p>
        </w:tc>
        <w:tc>
          <w:tcPr>
            <w:tcW w:w="966" w:type="dxa"/>
            <w:tcBorders>
              <w:top w:val="nil"/>
              <w:left w:val="nil"/>
              <w:bottom w:val="single" w:sz="4" w:space="0" w:color="auto"/>
              <w:right w:val="single" w:sz="4" w:space="0" w:color="auto"/>
            </w:tcBorders>
            <w:shd w:val="clear" w:color="auto" w:fill="auto"/>
            <w:noWrap/>
            <w:vAlign w:val="bottom"/>
            <w:hideMark/>
          </w:tcPr>
          <w:p w14:paraId="5C6EC321" w14:textId="77777777" w:rsidR="005636D2" w:rsidRDefault="005636D2">
            <w:pPr>
              <w:rPr>
                <w:rFonts w:ascii="Calibri" w:hAnsi="Calibri" w:cs="Calibri"/>
                <w:color w:val="000000"/>
                <w:sz w:val="22"/>
                <w:szCs w:val="22"/>
              </w:rPr>
            </w:pPr>
            <w:r>
              <w:rPr>
                <w:rFonts w:ascii="Calibri" w:hAnsi="Calibri" w:cs="Calibri"/>
                <w:color w:val="000000"/>
                <w:sz w:val="22"/>
                <w:szCs w:val="22"/>
              </w:rPr>
              <w:t>95.04</w:t>
            </w:r>
          </w:p>
        </w:tc>
        <w:tc>
          <w:tcPr>
            <w:tcW w:w="948" w:type="dxa"/>
            <w:tcBorders>
              <w:top w:val="nil"/>
              <w:left w:val="nil"/>
              <w:bottom w:val="single" w:sz="4" w:space="0" w:color="auto"/>
              <w:right w:val="single" w:sz="4" w:space="0" w:color="auto"/>
            </w:tcBorders>
            <w:shd w:val="clear" w:color="auto" w:fill="auto"/>
            <w:noWrap/>
            <w:vAlign w:val="bottom"/>
            <w:hideMark/>
          </w:tcPr>
          <w:p w14:paraId="2040BC74" w14:textId="77777777" w:rsidR="005636D2" w:rsidRDefault="005636D2">
            <w:pPr>
              <w:rPr>
                <w:rFonts w:ascii="Calibri" w:hAnsi="Calibri" w:cs="Calibri"/>
                <w:color w:val="000000"/>
                <w:sz w:val="22"/>
                <w:szCs w:val="22"/>
              </w:rPr>
            </w:pPr>
            <w:r>
              <w:rPr>
                <w:rFonts w:ascii="Calibri" w:hAnsi="Calibri" w:cs="Calibri"/>
                <w:color w:val="000000"/>
                <w:sz w:val="22"/>
                <w:szCs w:val="22"/>
              </w:rPr>
              <w:t>95.04</w:t>
            </w:r>
          </w:p>
        </w:tc>
        <w:tc>
          <w:tcPr>
            <w:tcW w:w="966" w:type="dxa"/>
            <w:tcBorders>
              <w:top w:val="nil"/>
              <w:left w:val="nil"/>
              <w:bottom w:val="single" w:sz="4" w:space="0" w:color="auto"/>
              <w:right w:val="single" w:sz="12" w:space="0" w:color="auto"/>
            </w:tcBorders>
            <w:shd w:val="clear" w:color="auto" w:fill="auto"/>
            <w:noWrap/>
            <w:vAlign w:val="bottom"/>
            <w:hideMark/>
          </w:tcPr>
          <w:p w14:paraId="6E8A8475" w14:textId="77777777" w:rsidR="005636D2" w:rsidRDefault="005636D2">
            <w:pPr>
              <w:rPr>
                <w:rFonts w:ascii="Calibri" w:hAnsi="Calibri" w:cs="Calibri"/>
                <w:color w:val="000000"/>
                <w:sz w:val="22"/>
                <w:szCs w:val="22"/>
              </w:rPr>
            </w:pPr>
            <w:r>
              <w:rPr>
                <w:rFonts w:ascii="Calibri" w:hAnsi="Calibri" w:cs="Calibri"/>
                <w:color w:val="000000"/>
                <w:sz w:val="22"/>
                <w:szCs w:val="22"/>
              </w:rPr>
              <w:t>95.04</w:t>
            </w:r>
          </w:p>
        </w:tc>
      </w:tr>
      <w:tr w:rsidR="005636D2" w14:paraId="48202B18" w14:textId="77777777" w:rsidTr="005636D2">
        <w:trPr>
          <w:trHeight w:val="300"/>
        </w:trPr>
        <w:tc>
          <w:tcPr>
            <w:tcW w:w="1820" w:type="dxa"/>
            <w:tcBorders>
              <w:top w:val="nil"/>
              <w:left w:val="single" w:sz="12" w:space="0" w:color="auto"/>
              <w:bottom w:val="single" w:sz="12" w:space="0" w:color="auto"/>
              <w:right w:val="nil"/>
            </w:tcBorders>
            <w:shd w:val="clear" w:color="auto" w:fill="auto"/>
            <w:noWrap/>
            <w:vAlign w:val="bottom"/>
            <w:hideMark/>
          </w:tcPr>
          <w:p w14:paraId="03552F2A" w14:textId="77777777" w:rsidR="005636D2" w:rsidRDefault="005636D2">
            <w:pPr>
              <w:rPr>
                <w:rFonts w:ascii="Calibri" w:hAnsi="Calibri" w:cs="Calibri"/>
                <w:color w:val="000000"/>
                <w:sz w:val="22"/>
                <w:szCs w:val="22"/>
              </w:rPr>
            </w:pPr>
            <w:r>
              <w:rPr>
                <w:rFonts w:ascii="Calibri" w:hAnsi="Calibri" w:cs="Calibri"/>
                <w:color w:val="000000"/>
                <w:sz w:val="22"/>
                <w:szCs w:val="22"/>
              </w:rPr>
              <w:t>Io [dBm/BW]</w:t>
            </w:r>
          </w:p>
        </w:tc>
        <w:tc>
          <w:tcPr>
            <w:tcW w:w="966" w:type="dxa"/>
            <w:tcBorders>
              <w:top w:val="nil"/>
              <w:left w:val="single" w:sz="12" w:space="0" w:color="auto"/>
              <w:bottom w:val="single" w:sz="12" w:space="0" w:color="auto"/>
              <w:right w:val="single" w:sz="4" w:space="0" w:color="auto"/>
            </w:tcBorders>
            <w:shd w:val="clear" w:color="000000" w:fill="D9D9D9"/>
            <w:noWrap/>
            <w:vAlign w:val="bottom"/>
            <w:hideMark/>
          </w:tcPr>
          <w:p w14:paraId="75FF21D7" w14:textId="77777777" w:rsidR="005636D2" w:rsidRDefault="005636D2">
            <w:pPr>
              <w:rPr>
                <w:rFonts w:ascii="Calibri" w:hAnsi="Calibri" w:cs="Calibri"/>
                <w:color w:val="000000"/>
                <w:sz w:val="22"/>
                <w:szCs w:val="22"/>
              </w:rPr>
            </w:pPr>
            <w:r>
              <w:rPr>
                <w:rFonts w:ascii="Calibri" w:hAnsi="Calibri" w:cs="Calibri"/>
                <w:color w:val="000000"/>
                <w:sz w:val="22"/>
                <w:szCs w:val="22"/>
              </w:rPr>
              <w:t>-72</w:t>
            </w:r>
          </w:p>
        </w:tc>
        <w:tc>
          <w:tcPr>
            <w:tcW w:w="948" w:type="dxa"/>
            <w:tcBorders>
              <w:top w:val="nil"/>
              <w:left w:val="nil"/>
              <w:bottom w:val="single" w:sz="12" w:space="0" w:color="auto"/>
              <w:right w:val="single" w:sz="4" w:space="0" w:color="auto"/>
            </w:tcBorders>
            <w:shd w:val="clear" w:color="000000" w:fill="D9D9D9"/>
            <w:noWrap/>
            <w:vAlign w:val="bottom"/>
            <w:hideMark/>
          </w:tcPr>
          <w:p w14:paraId="57C22F2A" w14:textId="77777777" w:rsidR="005636D2" w:rsidRDefault="005636D2">
            <w:pPr>
              <w:rPr>
                <w:rFonts w:ascii="Calibri" w:hAnsi="Calibri" w:cs="Calibri"/>
                <w:color w:val="000000"/>
                <w:sz w:val="22"/>
                <w:szCs w:val="22"/>
              </w:rPr>
            </w:pPr>
            <w:r>
              <w:rPr>
                <w:rFonts w:ascii="Calibri" w:hAnsi="Calibri" w:cs="Calibri"/>
                <w:color w:val="000000"/>
                <w:sz w:val="22"/>
                <w:szCs w:val="22"/>
              </w:rPr>
              <w:t>-49</w:t>
            </w:r>
          </w:p>
        </w:tc>
        <w:tc>
          <w:tcPr>
            <w:tcW w:w="966" w:type="dxa"/>
            <w:tcBorders>
              <w:top w:val="nil"/>
              <w:left w:val="nil"/>
              <w:bottom w:val="single" w:sz="12" w:space="0" w:color="auto"/>
              <w:right w:val="single" w:sz="12" w:space="0" w:color="auto"/>
            </w:tcBorders>
            <w:shd w:val="clear" w:color="000000" w:fill="D9D9D9"/>
            <w:noWrap/>
            <w:vAlign w:val="bottom"/>
            <w:hideMark/>
          </w:tcPr>
          <w:p w14:paraId="4F984AFA" w14:textId="77777777" w:rsidR="005636D2" w:rsidRDefault="005636D2">
            <w:pPr>
              <w:rPr>
                <w:rFonts w:ascii="Calibri" w:hAnsi="Calibri" w:cs="Calibri"/>
                <w:color w:val="000000"/>
                <w:sz w:val="22"/>
                <w:szCs w:val="22"/>
              </w:rPr>
            </w:pPr>
            <w:r>
              <w:rPr>
                <w:rFonts w:ascii="Calibri" w:hAnsi="Calibri" w:cs="Calibri"/>
                <w:color w:val="000000"/>
                <w:sz w:val="22"/>
                <w:szCs w:val="22"/>
              </w:rPr>
              <w:t>-48</w:t>
            </w:r>
          </w:p>
        </w:tc>
        <w:tc>
          <w:tcPr>
            <w:tcW w:w="966" w:type="dxa"/>
            <w:tcBorders>
              <w:top w:val="nil"/>
              <w:left w:val="nil"/>
              <w:bottom w:val="single" w:sz="12" w:space="0" w:color="auto"/>
              <w:right w:val="single" w:sz="4" w:space="0" w:color="auto"/>
            </w:tcBorders>
            <w:shd w:val="clear" w:color="auto" w:fill="auto"/>
            <w:noWrap/>
            <w:vAlign w:val="bottom"/>
            <w:hideMark/>
          </w:tcPr>
          <w:p w14:paraId="2081482A" w14:textId="77777777" w:rsidR="005636D2" w:rsidRDefault="005636D2">
            <w:pPr>
              <w:rPr>
                <w:rFonts w:ascii="Calibri" w:hAnsi="Calibri" w:cs="Calibri"/>
                <w:color w:val="000000"/>
                <w:sz w:val="22"/>
                <w:szCs w:val="22"/>
              </w:rPr>
            </w:pPr>
            <w:r>
              <w:rPr>
                <w:rFonts w:ascii="Calibri" w:hAnsi="Calibri" w:cs="Calibri"/>
                <w:color w:val="000000"/>
                <w:sz w:val="22"/>
                <w:szCs w:val="22"/>
              </w:rPr>
              <w:t>-75</w:t>
            </w:r>
          </w:p>
        </w:tc>
        <w:tc>
          <w:tcPr>
            <w:tcW w:w="948" w:type="dxa"/>
            <w:tcBorders>
              <w:top w:val="nil"/>
              <w:left w:val="nil"/>
              <w:bottom w:val="single" w:sz="12" w:space="0" w:color="auto"/>
              <w:right w:val="single" w:sz="4" w:space="0" w:color="auto"/>
            </w:tcBorders>
            <w:shd w:val="clear" w:color="auto" w:fill="auto"/>
            <w:noWrap/>
            <w:vAlign w:val="bottom"/>
            <w:hideMark/>
          </w:tcPr>
          <w:p w14:paraId="1ABA49F4" w14:textId="77777777" w:rsidR="005636D2" w:rsidRDefault="005636D2">
            <w:pPr>
              <w:rPr>
                <w:rFonts w:ascii="Calibri" w:hAnsi="Calibri" w:cs="Calibri"/>
                <w:color w:val="000000"/>
                <w:sz w:val="22"/>
                <w:szCs w:val="22"/>
              </w:rPr>
            </w:pPr>
            <w:r>
              <w:rPr>
                <w:rFonts w:ascii="Calibri" w:hAnsi="Calibri" w:cs="Calibri"/>
                <w:color w:val="000000"/>
                <w:sz w:val="22"/>
                <w:szCs w:val="22"/>
              </w:rPr>
              <w:t>-49</w:t>
            </w:r>
          </w:p>
        </w:tc>
        <w:tc>
          <w:tcPr>
            <w:tcW w:w="966" w:type="dxa"/>
            <w:tcBorders>
              <w:top w:val="nil"/>
              <w:left w:val="nil"/>
              <w:bottom w:val="single" w:sz="12" w:space="0" w:color="auto"/>
              <w:right w:val="single" w:sz="12" w:space="0" w:color="auto"/>
            </w:tcBorders>
            <w:shd w:val="clear" w:color="auto" w:fill="auto"/>
            <w:noWrap/>
            <w:vAlign w:val="bottom"/>
            <w:hideMark/>
          </w:tcPr>
          <w:p w14:paraId="77B3CF2F" w14:textId="77777777" w:rsidR="005636D2" w:rsidRDefault="005636D2">
            <w:pPr>
              <w:rPr>
                <w:rFonts w:ascii="Calibri" w:hAnsi="Calibri" w:cs="Calibri"/>
                <w:color w:val="000000"/>
                <w:sz w:val="22"/>
                <w:szCs w:val="22"/>
              </w:rPr>
            </w:pPr>
            <w:r>
              <w:rPr>
                <w:rFonts w:ascii="Calibri" w:hAnsi="Calibri" w:cs="Calibri"/>
                <w:color w:val="000000"/>
                <w:sz w:val="22"/>
                <w:szCs w:val="22"/>
              </w:rPr>
              <w:t>-48</w:t>
            </w:r>
          </w:p>
        </w:tc>
      </w:tr>
      <w:tr w:rsidR="005636D2" w14:paraId="1AFD21A6" w14:textId="77777777" w:rsidTr="005636D2">
        <w:trPr>
          <w:trHeight w:val="300"/>
        </w:trPr>
        <w:tc>
          <w:tcPr>
            <w:tcW w:w="1820" w:type="dxa"/>
            <w:tcBorders>
              <w:top w:val="nil"/>
              <w:left w:val="single" w:sz="12" w:space="0" w:color="auto"/>
              <w:bottom w:val="single" w:sz="4" w:space="0" w:color="auto"/>
              <w:right w:val="nil"/>
            </w:tcBorders>
            <w:shd w:val="clear" w:color="auto" w:fill="auto"/>
            <w:noWrap/>
            <w:vAlign w:val="bottom"/>
            <w:hideMark/>
          </w:tcPr>
          <w:p w14:paraId="15221CA6" w14:textId="77777777" w:rsidR="005636D2" w:rsidRDefault="005636D2">
            <w:pPr>
              <w:rPr>
                <w:rFonts w:ascii="Calibri" w:hAnsi="Calibri" w:cs="Calibri"/>
                <w:color w:val="000000"/>
                <w:sz w:val="22"/>
                <w:szCs w:val="22"/>
              </w:rPr>
            </w:pPr>
            <w:r>
              <w:rPr>
                <w:rFonts w:ascii="Calibri" w:hAnsi="Calibri" w:cs="Calibri"/>
                <w:color w:val="000000"/>
                <w:sz w:val="22"/>
                <w:szCs w:val="22"/>
              </w:rPr>
              <w:t>FR2 SS-RSRP [dBm]</w:t>
            </w:r>
          </w:p>
        </w:tc>
        <w:tc>
          <w:tcPr>
            <w:tcW w:w="966" w:type="dxa"/>
            <w:tcBorders>
              <w:top w:val="nil"/>
              <w:left w:val="single" w:sz="12" w:space="0" w:color="auto"/>
              <w:bottom w:val="single" w:sz="4" w:space="0" w:color="auto"/>
              <w:right w:val="single" w:sz="4" w:space="0" w:color="auto"/>
            </w:tcBorders>
            <w:shd w:val="clear" w:color="auto" w:fill="auto"/>
            <w:noWrap/>
            <w:vAlign w:val="bottom"/>
            <w:hideMark/>
          </w:tcPr>
          <w:p w14:paraId="58B1D97B" w14:textId="77777777" w:rsidR="005636D2" w:rsidRDefault="005636D2">
            <w:pPr>
              <w:rPr>
                <w:rFonts w:ascii="Calibri" w:hAnsi="Calibri" w:cs="Calibri"/>
                <w:color w:val="000000"/>
                <w:sz w:val="22"/>
                <w:szCs w:val="22"/>
              </w:rPr>
            </w:pPr>
            <w:r>
              <w:rPr>
                <w:rFonts w:ascii="Calibri" w:hAnsi="Calibri" w:cs="Calibri"/>
                <w:color w:val="000000"/>
                <w:sz w:val="22"/>
                <w:szCs w:val="22"/>
              </w:rPr>
              <w:t>-102</w:t>
            </w:r>
          </w:p>
        </w:tc>
        <w:tc>
          <w:tcPr>
            <w:tcW w:w="948" w:type="dxa"/>
            <w:tcBorders>
              <w:top w:val="nil"/>
              <w:left w:val="nil"/>
              <w:bottom w:val="single" w:sz="4" w:space="0" w:color="auto"/>
              <w:right w:val="single" w:sz="4" w:space="0" w:color="auto"/>
            </w:tcBorders>
            <w:shd w:val="clear" w:color="auto" w:fill="auto"/>
            <w:noWrap/>
            <w:vAlign w:val="bottom"/>
            <w:hideMark/>
          </w:tcPr>
          <w:p w14:paraId="39F120F8" w14:textId="77777777" w:rsidR="005636D2" w:rsidRDefault="005636D2">
            <w:pPr>
              <w:rPr>
                <w:rFonts w:ascii="Calibri" w:hAnsi="Calibri" w:cs="Calibri"/>
                <w:color w:val="000000"/>
                <w:sz w:val="22"/>
                <w:szCs w:val="22"/>
              </w:rPr>
            </w:pPr>
            <w:r>
              <w:rPr>
                <w:rFonts w:ascii="Calibri" w:hAnsi="Calibri" w:cs="Calibri"/>
                <w:color w:val="000000"/>
                <w:sz w:val="22"/>
                <w:szCs w:val="22"/>
              </w:rPr>
              <w:t>-76</w:t>
            </w:r>
          </w:p>
        </w:tc>
        <w:tc>
          <w:tcPr>
            <w:tcW w:w="966" w:type="dxa"/>
            <w:tcBorders>
              <w:top w:val="nil"/>
              <w:left w:val="nil"/>
              <w:bottom w:val="single" w:sz="4" w:space="0" w:color="auto"/>
              <w:right w:val="single" w:sz="12" w:space="0" w:color="auto"/>
            </w:tcBorders>
            <w:shd w:val="clear" w:color="auto" w:fill="auto"/>
            <w:noWrap/>
            <w:vAlign w:val="bottom"/>
            <w:hideMark/>
          </w:tcPr>
          <w:p w14:paraId="728AA966" w14:textId="77777777" w:rsidR="005636D2" w:rsidRDefault="005636D2">
            <w:pPr>
              <w:rPr>
                <w:rFonts w:ascii="Calibri" w:hAnsi="Calibri" w:cs="Calibri"/>
                <w:color w:val="000000"/>
                <w:sz w:val="22"/>
                <w:szCs w:val="22"/>
              </w:rPr>
            </w:pPr>
            <w:r>
              <w:rPr>
                <w:rFonts w:ascii="Calibri" w:hAnsi="Calibri" w:cs="Calibri"/>
                <w:color w:val="000000"/>
                <w:sz w:val="22"/>
                <w:szCs w:val="22"/>
              </w:rPr>
              <w:t>-75</w:t>
            </w:r>
          </w:p>
        </w:tc>
        <w:tc>
          <w:tcPr>
            <w:tcW w:w="966" w:type="dxa"/>
            <w:tcBorders>
              <w:top w:val="nil"/>
              <w:left w:val="nil"/>
              <w:bottom w:val="single" w:sz="4" w:space="0" w:color="auto"/>
              <w:right w:val="single" w:sz="4" w:space="0" w:color="auto"/>
            </w:tcBorders>
            <w:shd w:val="clear" w:color="000000" w:fill="D9D9D9"/>
            <w:noWrap/>
            <w:vAlign w:val="bottom"/>
            <w:hideMark/>
          </w:tcPr>
          <w:p w14:paraId="4C91B00E" w14:textId="77777777" w:rsidR="005636D2" w:rsidRDefault="005636D2">
            <w:pPr>
              <w:rPr>
                <w:rFonts w:ascii="Calibri" w:hAnsi="Calibri" w:cs="Calibri"/>
                <w:color w:val="000000"/>
                <w:sz w:val="22"/>
                <w:szCs w:val="22"/>
              </w:rPr>
            </w:pPr>
            <w:r>
              <w:rPr>
                <w:rFonts w:ascii="Calibri" w:hAnsi="Calibri" w:cs="Calibri"/>
                <w:color w:val="000000"/>
                <w:sz w:val="22"/>
                <w:szCs w:val="22"/>
              </w:rPr>
              <w:t>-102</w:t>
            </w:r>
          </w:p>
        </w:tc>
        <w:tc>
          <w:tcPr>
            <w:tcW w:w="948" w:type="dxa"/>
            <w:tcBorders>
              <w:top w:val="nil"/>
              <w:left w:val="nil"/>
              <w:bottom w:val="single" w:sz="4" w:space="0" w:color="auto"/>
              <w:right w:val="single" w:sz="4" w:space="0" w:color="auto"/>
            </w:tcBorders>
            <w:shd w:val="clear" w:color="000000" w:fill="D9D9D9"/>
            <w:noWrap/>
            <w:vAlign w:val="bottom"/>
            <w:hideMark/>
          </w:tcPr>
          <w:p w14:paraId="0C1BE89F" w14:textId="77777777" w:rsidR="005636D2" w:rsidRDefault="005636D2">
            <w:pPr>
              <w:rPr>
                <w:rFonts w:ascii="Calibri" w:hAnsi="Calibri" w:cs="Calibri"/>
                <w:color w:val="000000"/>
                <w:sz w:val="22"/>
                <w:szCs w:val="22"/>
              </w:rPr>
            </w:pPr>
            <w:r>
              <w:rPr>
                <w:rFonts w:ascii="Calibri" w:hAnsi="Calibri" w:cs="Calibri"/>
                <w:color w:val="000000"/>
                <w:sz w:val="22"/>
                <w:szCs w:val="22"/>
              </w:rPr>
              <w:t>-76</w:t>
            </w:r>
          </w:p>
        </w:tc>
        <w:tc>
          <w:tcPr>
            <w:tcW w:w="966" w:type="dxa"/>
            <w:tcBorders>
              <w:top w:val="nil"/>
              <w:left w:val="nil"/>
              <w:bottom w:val="single" w:sz="4" w:space="0" w:color="auto"/>
              <w:right w:val="single" w:sz="12" w:space="0" w:color="auto"/>
            </w:tcBorders>
            <w:shd w:val="clear" w:color="000000" w:fill="D9D9D9"/>
            <w:noWrap/>
            <w:vAlign w:val="bottom"/>
            <w:hideMark/>
          </w:tcPr>
          <w:p w14:paraId="25B7E5F1" w14:textId="77777777" w:rsidR="005636D2" w:rsidRDefault="005636D2">
            <w:pPr>
              <w:rPr>
                <w:rFonts w:ascii="Calibri" w:hAnsi="Calibri" w:cs="Calibri"/>
                <w:color w:val="000000"/>
                <w:sz w:val="22"/>
                <w:szCs w:val="22"/>
              </w:rPr>
            </w:pPr>
            <w:r>
              <w:rPr>
                <w:rFonts w:ascii="Calibri" w:hAnsi="Calibri" w:cs="Calibri"/>
                <w:color w:val="000000"/>
                <w:sz w:val="22"/>
                <w:szCs w:val="22"/>
              </w:rPr>
              <w:t>-75</w:t>
            </w:r>
          </w:p>
        </w:tc>
      </w:tr>
      <w:tr w:rsidR="005636D2" w14:paraId="666FA4D2" w14:textId="77777777" w:rsidTr="005636D2">
        <w:trPr>
          <w:trHeight w:val="288"/>
        </w:trPr>
        <w:tc>
          <w:tcPr>
            <w:tcW w:w="1820" w:type="dxa"/>
            <w:tcBorders>
              <w:top w:val="nil"/>
              <w:left w:val="single" w:sz="12" w:space="0" w:color="auto"/>
              <w:bottom w:val="single" w:sz="4" w:space="0" w:color="auto"/>
              <w:right w:val="nil"/>
            </w:tcBorders>
            <w:shd w:val="clear" w:color="auto" w:fill="auto"/>
            <w:noWrap/>
            <w:vAlign w:val="bottom"/>
            <w:hideMark/>
          </w:tcPr>
          <w:p w14:paraId="7C00A1A3" w14:textId="77777777" w:rsidR="005636D2" w:rsidRDefault="005636D2">
            <w:pPr>
              <w:rPr>
                <w:rFonts w:ascii="Calibri" w:hAnsi="Calibri" w:cs="Calibri"/>
                <w:color w:val="000000"/>
                <w:sz w:val="22"/>
                <w:szCs w:val="22"/>
              </w:rPr>
            </w:pPr>
            <w:r>
              <w:rPr>
                <w:rFonts w:ascii="Calibri" w:hAnsi="Calibri" w:cs="Calibri"/>
                <w:color w:val="000000"/>
                <w:sz w:val="22"/>
                <w:szCs w:val="22"/>
              </w:rPr>
              <w:t>Es/Noc [dB]</w:t>
            </w:r>
          </w:p>
        </w:tc>
        <w:tc>
          <w:tcPr>
            <w:tcW w:w="966" w:type="dxa"/>
            <w:tcBorders>
              <w:top w:val="nil"/>
              <w:left w:val="single" w:sz="12" w:space="0" w:color="auto"/>
              <w:bottom w:val="single" w:sz="4" w:space="0" w:color="auto"/>
              <w:right w:val="single" w:sz="4" w:space="0" w:color="auto"/>
            </w:tcBorders>
            <w:shd w:val="clear" w:color="auto" w:fill="auto"/>
            <w:noWrap/>
            <w:vAlign w:val="bottom"/>
            <w:hideMark/>
          </w:tcPr>
          <w:p w14:paraId="3F45DD3B" w14:textId="77777777" w:rsidR="005636D2" w:rsidRDefault="005636D2">
            <w:pPr>
              <w:rPr>
                <w:rFonts w:ascii="Calibri" w:hAnsi="Calibri" w:cs="Calibri"/>
                <w:color w:val="000000"/>
                <w:sz w:val="22"/>
                <w:szCs w:val="22"/>
              </w:rPr>
            </w:pPr>
            <w:r>
              <w:rPr>
                <w:rFonts w:ascii="Calibri" w:hAnsi="Calibri" w:cs="Calibri"/>
                <w:color w:val="000000"/>
                <w:sz w:val="22"/>
                <w:szCs w:val="22"/>
              </w:rPr>
              <w:t>0</w:t>
            </w:r>
          </w:p>
        </w:tc>
        <w:tc>
          <w:tcPr>
            <w:tcW w:w="948" w:type="dxa"/>
            <w:tcBorders>
              <w:top w:val="nil"/>
              <w:left w:val="nil"/>
              <w:bottom w:val="single" w:sz="4" w:space="0" w:color="auto"/>
              <w:right w:val="single" w:sz="4" w:space="0" w:color="auto"/>
            </w:tcBorders>
            <w:shd w:val="clear" w:color="auto" w:fill="auto"/>
            <w:noWrap/>
            <w:vAlign w:val="bottom"/>
            <w:hideMark/>
          </w:tcPr>
          <w:p w14:paraId="7644F360" w14:textId="77777777" w:rsidR="005636D2" w:rsidRDefault="005636D2">
            <w:pPr>
              <w:rPr>
                <w:rFonts w:ascii="Calibri" w:hAnsi="Calibri" w:cs="Calibri"/>
                <w:color w:val="000000"/>
                <w:sz w:val="22"/>
                <w:szCs w:val="22"/>
              </w:rPr>
            </w:pPr>
            <w:r>
              <w:rPr>
                <w:rFonts w:ascii="Calibri" w:hAnsi="Calibri" w:cs="Calibri"/>
                <w:color w:val="000000"/>
                <w:sz w:val="22"/>
                <w:szCs w:val="22"/>
              </w:rPr>
              <w:t>26</w:t>
            </w:r>
          </w:p>
        </w:tc>
        <w:tc>
          <w:tcPr>
            <w:tcW w:w="966" w:type="dxa"/>
            <w:tcBorders>
              <w:top w:val="nil"/>
              <w:left w:val="nil"/>
              <w:bottom w:val="single" w:sz="4" w:space="0" w:color="auto"/>
              <w:right w:val="single" w:sz="12" w:space="0" w:color="auto"/>
            </w:tcBorders>
            <w:shd w:val="clear" w:color="auto" w:fill="auto"/>
            <w:noWrap/>
            <w:vAlign w:val="bottom"/>
            <w:hideMark/>
          </w:tcPr>
          <w:p w14:paraId="4E39AD00" w14:textId="77777777" w:rsidR="005636D2" w:rsidRDefault="005636D2">
            <w:pPr>
              <w:rPr>
                <w:rFonts w:ascii="Calibri" w:hAnsi="Calibri" w:cs="Calibri"/>
                <w:color w:val="000000"/>
                <w:sz w:val="22"/>
                <w:szCs w:val="22"/>
              </w:rPr>
            </w:pPr>
            <w:r>
              <w:rPr>
                <w:rFonts w:ascii="Calibri" w:hAnsi="Calibri" w:cs="Calibri"/>
                <w:color w:val="000000"/>
                <w:sz w:val="22"/>
                <w:szCs w:val="22"/>
              </w:rPr>
              <w:t>27</w:t>
            </w:r>
          </w:p>
        </w:tc>
        <w:tc>
          <w:tcPr>
            <w:tcW w:w="966" w:type="dxa"/>
            <w:tcBorders>
              <w:top w:val="nil"/>
              <w:left w:val="nil"/>
              <w:bottom w:val="single" w:sz="4" w:space="0" w:color="auto"/>
              <w:right w:val="single" w:sz="4" w:space="0" w:color="auto"/>
            </w:tcBorders>
            <w:shd w:val="clear" w:color="000000" w:fill="D9D9D9"/>
            <w:noWrap/>
            <w:vAlign w:val="bottom"/>
            <w:hideMark/>
          </w:tcPr>
          <w:p w14:paraId="15AEAE0C" w14:textId="77777777" w:rsidR="005636D2" w:rsidRDefault="005636D2">
            <w:pPr>
              <w:rPr>
                <w:rFonts w:ascii="Calibri" w:hAnsi="Calibri" w:cs="Calibri"/>
                <w:color w:val="000000"/>
                <w:sz w:val="22"/>
                <w:szCs w:val="22"/>
              </w:rPr>
            </w:pPr>
            <w:r>
              <w:rPr>
                <w:rFonts w:ascii="Calibri" w:hAnsi="Calibri" w:cs="Calibri"/>
                <w:color w:val="000000"/>
                <w:sz w:val="22"/>
                <w:szCs w:val="22"/>
              </w:rPr>
              <w:t>0</w:t>
            </w:r>
          </w:p>
        </w:tc>
        <w:tc>
          <w:tcPr>
            <w:tcW w:w="948" w:type="dxa"/>
            <w:tcBorders>
              <w:top w:val="nil"/>
              <w:left w:val="nil"/>
              <w:bottom w:val="single" w:sz="4" w:space="0" w:color="auto"/>
              <w:right w:val="single" w:sz="4" w:space="0" w:color="auto"/>
            </w:tcBorders>
            <w:shd w:val="clear" w:color="000000" w:fill="D9D9D9"/>
            <w:noWrap/>
            <w:vAlign w:val="bottom"/>
            <w:hideMark/>
          </w:tcPr>
          <w:p w14:paraId="6957BC0D" w14:textId="77777777" w:rsidR="005636D2" w:rsidRDefault="005636D2">
            <w:pPr>
              <w:rPr>
                <w:rFonts w:ascii="Calibri" w:hAnsi="Calibri" w:cs="Calibri"/>
                <w:color w:val="000000"/>
                <w:sz w:val="22"/>
                <w:szCs w:val="22"/>
              </w:rPr>
            </w:pPr>
            <w:r>
              <w:rPr>
                <w:rFonts w:ascii="Calibri" w:hAnsi="Calibri" w:cs="Calibri"/>
                <w:color w:val="000000"/>
                <w:sz w:val="22"/>
                <w:szCs w:val="22"/>
              </w:rPr>
              <w:t>26</w:t>
            </w:r>
          </w:p>
        </w:tc>
        <w:tc>
          <w:tcPr>
            <w:tcW w:w="966" w:type="dxa"/>
            <w:tcBorders>
              <w:top w:val="nil"/>
              <w:left w:val="nil"/>
              <w:bottom w:val="single" w:sz="4" w:space="0" w:color="auto"/>
              <w:right w:val="single" w:sz="12" w:space="0" w:color="auto"/>
            </w:tcBorders>
            <w:shd w:val="clear" w:color="000000" w:fill="D9D9D9"/>
            <w:noWrap/>
            <w:vAlign w:val="bottom"/>
            <w:hideMark/>
          </w:tcPr>
          <w:p w14:paraId="65D639AE" w14:textId="77777777" w:rsidR="005636D2" w:rsidRDefault="005636D2">
            <w:pPr>
              <w:rPr>
                <w:rFonts w:ascii="Calibri" w:hAnsi="Calibri" w:cs="Calibri"/>
                <w:color w:val="000000"/>
                <w:sz w:val="22"/>
                <w:szCs w:val="22"/>
              </w:rPr>
            </w:pPr>
            <w:r>
              <w:rPr>
                <w:rFonts w:ascii="Calibri" w:hAnsi="Calibri" w:cs="Calibri"/>
                <w:color w:val="000000"/>
                <w:sz w:val="22"/>
                <w:szCs w:val="22"/>
              </w:rPr>
              <w:t>27</w:t>
            </w:r>
          </w:p>
        </w:tc>
      </w:tr>
      <w:tr w:rsidR="005636D2" w14:paraId="79ECDD1E" w14:textId="77777777" w:rsidTr="005636D2">
        <w:trPr>
          <w:trHeight w:val="288"/>
        </w:trPr>
        <w:tc>
          <w:tcPr>
            <w:tcW w:w="1820" w:type="dxa"/>
            <w:tcBorders>
              <w:top w:val="nil"/>
              <w:left w:val="single" w:sz="12" w:space="0" w:color="auto"/>
              <w:bottom w:val="single" w:sz="4" w:space="0" w:color="auto"/>
              <w:right w:val="nil"/>
            </w:tcBorders>
            <w:shd w:val="clear" w:color="auto" w:fill="auto"/>
            <w:noWrap/>
            <w:vAlign w:val="bottom"/>
            <w:hideMark/>
          </w:tcPr>
          <w:p w14:paraId="6412F99C" w14:textId="77777777" w:rsidR="005636D2" w:rsidRDefault="005636D2">
            <w:pPr>
              <w:rPr>
                <w:rFonts w:ascii="Calibri" w:hAnsi="Calibri" w:cs="Calibri"/>
                <w:color w:val="000000"/>
                <w:sz w:val="22"/>
                <w:szCs w:val="22"/>
              </w:rPr>
            </w:pPr>
            <w:r>
              <w:rPr>
                <w:rFonts w:ascii="Calibri" w:hAnsi="Calibri" w:cs="Calibri"/>
                <w:color w:val="000000"/>
                <w:sz w:val="22"/>
                <w:szCs w:val="22"/>
              </w:rPr>
              <w:t>BW [MHz]</w:t>
            </w:r>
          </w:p>
        </w:tc>
        <w:tc>
          <w:tcPr>
            <w:tcW w:w="966" w:type="dxa"/>
            <w:tcBorders>
              <w:top w:val="nil"/>
              <w:left w:val="single" w:sz="12" w:space="0" w:color="auto"/>
              <w:bottom w:val="single" w:sz="4" w:space="0" w:color="auto"/>
              <w:right w:val="single" w:sz="4" w:space="0" w:color="auto"/>
            </w:tcBorders>
            <w:shd w:val="clear" w:color="auto" w:fill="auto"/>
            <w:noWrap/>
            <w:vAlign w:val="bottom"/>
            <w:hideMark/>
          </w:tcPr>
          <w:p w14:paraId="46FEB009" w14:textId="77777777" w:rsidR="005636D2" w:rsidRDefault="005636D2">
            <w:pPr>
              <w:rPr>
                <w:rFonts w:ascii="Calibri" w:hAnsi="Calibri" w:cs="Calibri"/>
                <w:color w:val="000000"/>
                <w:sz w:val="22"/>
                <w:szCs w:val="22"/>
              </w:rPr>
            </w:pPr>
            <w:r>
              <w:rPr>
                <w:rFonts w:ascii="Calibri" w:hAnsi="Calibri" w:cs="Calibri"/>
                <w:color w:val="000000"/>
                <w:sz w:val="22"/>
                <w:szCs w:val="22"/>
              </w:rPr>
              <w:t>34.56</w:t>
            </w:r>
          </w:p>
        </w:tc>
        <w:tc>
          <w:tcPr>
            <w:tcW w:w="948" w:type="dxa"/>
            <w:tcBorders>
              <w:top w:val="nil"/>
              <w:left w:val="nil"/>
              <w:bottom w:val="single" w:sz="4" w:space="0" w:color="auto"/>
              <w:right w:val="single" w:sz="4" w:space="0" w:color="auto"/>
            </w:tcBorders>
            <w:shd w:val="clear" w:color="auto" w:fill="auto"/>
            <w:noWrap/>
            <w:vAlign w:val="bottom"/>
            <w:hideMark/>
          </w:tcPr>
          <w:p w14:paraId="33B4255C" w14:textId="77777777" w:rsidR="005636D2" w:rsidRDefault="005636D2">
            <w:pPr>
              <w:rPr>
                <w:rFonts w:ascii="Calibri" w:hAnsi="Calibri" w:cs="Calibri"/>
                <w:color w:val="000000"/>
                <w:sz w:val="22"/>
                <w:szCs w:val="22"/>
              </w:rPr>
            </w:pPr>
            <w:r>
              <w:rPr>
                <w:rFonts w:ascii="Calibri" w:hAnsi="Calibri" w:cs="Calibri"/>
                <w:color w:val="000000"/>
                <w:sz w:val="22"/>
                <w:szCs w:val="22"/>
              </w:rPr>
              <w:t>34.56</w:t>
            </w:r>
          </w:p>
        </w:tc>
        <w:tc>
          <w:tcPr>
            <w:tcW w:w="966" w:type="dxa"/>
            <w:tcBorders>
              <w:top w:val="nil"/>
              <w:left w:val="nil"/>
              <w:bottom w:val="single" w:sz="4" w:space="0" w:color="auto"/>
              <w:right w:val="single" w:sz="12" w:space="0" w:color="auto"/>
            </w:tcBorders>
            <w:shd w:val="clear" w:color="auto" w:fill="auto"/>
            <w:noWrap/>
            <w:vAlign w:val="bottom"/>
            <w:hideMark/>
          </w:tcPr>
          <w:p w14:paraId="2109F6F7" w14:textId="77777777" w:rsidR="005636D2" w:rsidRDefault="005636D2">
            <w:pPr>
              <w:rPr>
                <w:rFonts w:ascii="Calibri" w:hAnsi="Calibri" w:cs="Calibri"/>
                <w:color w:val="000000"/>
                <w:sz w:val="22"/>
                <w:szCs w:val="22"/>
              </w:rPr>
            </w:pPr>
            <w:r>
              <w:rPr>
                <w:rFonts w:ascii="Calibri" w:hAnsi="Calibri" w:cs="Calibri"/>
                <w:color w:val="000000"/>
                <w:sz w:val="22"/>
                <w:szCs w:val="22"/>
              </w:rPr>
              <w:t>34.56</w:t>
            </w:r>
          </w:p>
        </w:tc>
        <w:tc>
          <w:tcPr>
            <w:tcW w:w="966" w:type="dxa"/>
            <w:tcBorders>
              <w:top w:val="nil"/>
              <w:left w:val="nil"/>
              <w:bottom w:val="single" w:sz="4" w:space="0" w:color="auto"/>
              <w:right w:val="single" w:sz="4" w:space="0" w:color="auto"/>
            </w:tcBorders>
            <w:shd w:val="clear" w:color="000000" w:fill="D9D9D9"/>
            <w:noWrap/>
            <w:vAlign w:val="bottom"/>
            <w:hideMark/>
          </w:tcPr>
          <w:p w14:paraId="16543295" w14:textId="77777777" w:rsidR="005636D2" w:rsidRDefault="005636D2">
            <w:pPr>
              <w:rPr>
                <w:rFonts w:ascii="Calibri" w:hAnsi="Calibri" w:cs="Calibri"/>
                <w:color w:val="000000"/>
                <w:sz w:val="22"/>
                <w:szCs w:val="22"/>
              </w:rPr>
            </w:pPr>
            <w:r>
              <w:rPr>
                <w:rFonts w:ascii="Calibri" w:hAnsi="Calibri" w:cs="Calibri"/>
                <w:color w:val="000000"/>
                <w:sz w:val="22"/>
                <w:szCs w:val="22"/>
              </w:rPr>
              <w:t>34.56</w:t>
            </w:r>
          </w:p>
        </w:tc>
        <w:tc>
          <w:tcPr>
            <w:tcW w:w="948" w:type="dxa"/>
            <w:tcBorders>
              <w:top w:val="nil"/>
              <w:left w:val="nil"/>
              <w:bottom w:val="single" w:sz="4" w:space="0" w:color="auto"/>
              <w:right w:val="single" w:sz="4" w:space="0" w:color="auto"/>
            </w:tcBorders>
            <w:shd w:val="clear" w:color="000000" w:fill="D9D9D9"/>
            <w:noWrap/>
            <w:vAlign w:val="bottom"/>
            <w:hideMark/>
          </w:tcPr>
          <w:p w14:paraId="3725313B" w14:textId="77777777" w:rsidR="005636D2" w:rsidRDefault="005636D2">
            <w:pPr>
              <w:rPr>
                <w:rFonts w:ascii="Calibri" w:hAnsi="Calibri" w:cs="Calibri"/>
                <w:color w:val="000000"/>
                <w:sz w:val="22"/>
                <w:szCs w:val="22"/>
              </w:rPr>
            </w:pPr>
            <w:r>
              <w:rPr>
                <w:rFonts w:ascii="Calibri" w:hAnsi="Calibri" w:cs="Calibri"/>
                <w:color w:val="000000"/>
                <w:sz w:val="22"/>
                <w:szCs w:val="22"/>
              </w:rPr>
              <w:t>34.56</w:t>
            </w:r>
          </w:p>
        </w:tc>
        <w:tc>
          <w:tcPr>
            <w:tcW w:w="966" w:type="dxa"/>
            <w:tcBorders>
              <w:top w:val="nil"/>
              <w:left w:val="nil"/>
              <w:bottom w:val="single" w:sz="4" w:space="0" w:color="auto"/>
              <w:right w:val="single" w:sz="12" w:space="0" w:color="auto"/>
            </w:tcBorders>
            <w:shd w:val="clear" w:color="000000" w:fill="D9D9D9"/>
            <w:noWrap/>
            <w:vAlign w:val="bottom"/>
            <w:hideMark/>
          </w:tcPr>
          <w:p w14:paraId="28DE79A1" w14:textId="77777777" w:rsidR="005636D2" w:rsidRDefault="005636D2">
            <w:pPr>
              <w:rPr>
                <w:rFonts w:ascii="Calibri" w:hAnsi="Calibri" w:cs="Calibri"/>
                <w:color w:val="000000"/>
                <w:sz w:val="22"/>
                <w:szCs w:val="22"/>
              </w:rPr>
            </w:pPr>
            <w:r>
              <w:rPr>
                <w:rFonts w:ascii="Calibri" w:hAnsi="Calibri" w:cs="Calibri"/>
                <w:color w:val="000000"/>
                <w:sz w:val="22"/>
                <w:szCs w:val="22"/>
              </w:rPr>
              <w:t>34.56</w:t>
            </w:r>
          </w:p>
        </w:tc>
      </w:tr>
      <w:tr w:rsidR="005636D2" w14:paraId="4116C789" w14:textId="77777777" w:rsidTr="005636D2">
        <w:trPr>
          <w:trHeight w:val="300"/>
        </w:trPr>
        <w:tc>
          <w:tcPr>
            <w:tcW w:w="1820" w:type="dxa"/>
            <w:tcBorders>
              <w:top w:val="nil"/>
              <w:left w:val="single" w:sz="12" w:space="0" w:color="auto"/>
              <w:bottom w:val="single" w:sz="12" w:space="0" w:color="auto"/>
              <w:right w:val="nil"/>
            </w:tcBorders>
            <w:shd w:val="clear" w:color="auto" w:fill="auto"/>
            <w:noWrap/>
            <w:vAlign w:val="bottom"/>
            <w:hideMark/>
          </w:tcPr>
          <w:p w14:paraId="0EEBBA9E" w14:textId="77777777" w:rsidR="005636D2" w:rsidRDefault="005636D2">
            <w:pPr>
              <w:rPr>
                <w:rFonts w:ascii="Calibri" w:hAnsi="Calibri" w:cs="Calibri"/>
                <w:color w:val="000000"/>
                <w:sz w:val="22"/>
                <w:szCs w:val="22"/>
              </w:rPr>
            </w:pPr>
            <w:r>
              <w:rPr>
                <w:rFonts w:ascii="Calibri" w:hAnsi="Calibri" w:cs="Calibri"/>
                <w:color w:val="000000"/>
                <w:sz w:val="22"/>
                <w:szCs w:val="22"/>
              </w:rPr>
              <w:t>Io [dBm/BW]</w:t>
            </w:r>
          </w:p>
        </w:tc>
        <w:tc>
          <w:tcPr>
            <w:tcW w:w="966" w:type="dxa"/>
            <w:tcBorders>
              <w:top w:val="nil"/>
              <w:left w:val="single" w:sz="12" w:space="0" w:color="auto"/>
              <w:bottom w:val="single" w:sz="12" w:space="0" w:color="auto"/>
              <w:right w:val="single" w:sz="4" w:space="0" w:color="auto"/>
            </w:tcBorders>
            <w:shd w:val="clear" w:color="auto" w:fill="auto"/>
            <w:noWrap/>
            <w:vAlign w:val="bottom"/>
            <w:hideMark/>
          </w:tcPr>
          <w:p w14:paraId="0462F67A" w14:textId="77777777" w:rsidR="005636D2" w:rsidRDefault="005636D2">
            <w:pPr>
              <w:rPr>
                <w:rFonts w:ascii="Calibri" w:hAnsi="Calibri" w:cs="Calibri"/>
                <w:color w:val="000000"/>
                <w:sz w:val="22"/>
                <w:szCs w:val="22"/>
              </w:rPr>
            </w:pPr>
            <w:r>
              <w:rPr>
                <w:rFonts w:ascii="Calibri" w:hAnsi="Calibri" w:cs="Calibri"/>
                <w:color w:val="000000"/>
                <w:sz w:val="22"/>
                <w:szCs w:val="22"/>
              </w:rPr>
              <w:t>-74.4</w:t>
            </w:r>
          </w:p>
        </w:tc>
        <w:tc>
          <w:tcPr>
            <w:tcW w:w="948" w:type="dxa"/>
            <w:tcBorders>
              <w:top w:val="nil"/>
              <w:left w:val="nil"/>
              <w:bottom w:val="single" w:sz="12" w:space="0" w:color="auto"/>
              <w:right w:val="single" w:sz="4" w:space="0" w:color="auto"/>
            </w:tcBorders>
            <w:shd w:val="clear" w:color="auto" w:fill="auto"/>
            <w:noWrap/>
            <w:vAlign w:val="bottom"/>
            <w:hideMark/>
          </w:tcPr>
          <w:p w14:paraId="639646D6" w14:textId="77777777" w:rsidR="005636D2" w:rsidRDefault="005636D2">
            <w:pPr>
              <w:rPr>
                <w:rFonts w:ascii="Calibri" w:hAnsi="Calibri" w:cs="Calibri"/>
                <w:color w:val="000000"/>
                <w:sz w:val="22"/>
                <w:szCs w:val="22"/>
              </w:rPr>
            </w:pPr>
            <w:r>
              <w:rPr>
                <w:rFonts w:ascii="Calibri" w:hAnsi="Calibri" w:cs="Calibri"/>
                <w:color w:val="000000"/>
                <w:sz w:val="22"/>
                <w:szCs w:val="22"/>
              </w:rPr>
              <w:t>-51.4</w:t>
            </w:r>
          </w:p>
        </w:tc>
        <w:tc>
          <w:tcPr>
            <w:tcW w:w="966" w:type="dxa"/>
            <w:tcBorders>
              <w:top w:val="nil"/>
              <w:left w:val="nil"/>
              <w:bottom w:val="single" w:sz="12" w:space="0" w:color="auto"/>
              <w:right w:val="single" w:sz="12" w:space="0" w:color="auto"/>
            </w:tcBorders>
            <w:shd w:val="clear" w:color="auto" w:fill="auto"/>
            <w:noWrap/>
            <w:vAlign w:val="bottom"/>
            <w:hideMark/>
          </w:tcPr>
          <w:p w14:paraId="17287981" w14:textId="77777777" w:rsidR="005636D2" w:rsidRDefault="005636D2">
            <w:pPr>
              <w:rPr>
                <w:rFonts w:ascii="Calibri" w:hAnsi="Calibri" w:cs="Calibri"/>
                <w:color w:val="000000"/>
                <w:sz w:val="22"/>
                <w:szCs w:val="22"/>
              </w:rPr>
            </w:pPr>
            <w:r>
              <w:rPr>
                <w:rFonts w:ascii="Calibri" w:hAnsi="Calibri" w:cs="Calibri"/>
                <w:color w:val="000000"/>
                <w:sz w:val="22"/>
                <w:szCs w:val="22"/>
              </w:rPr>
              <w:t>-50.4</w:t>
            </w:r>
          </w:p>
        </w:tc>
        <w:tc>
          <w:tcPr>
            <w:tcW w:w="966" w:type="dxa"/>
            <w:tcBorders>
              <w:top w:val="nil"/>
              <w:left w:val="nil"/>
              <w:bottom w:val="single" w:sz="12" w:space="0" w:color="auto"/>
              <w:right w:val="single" w:sz="4" w:space="0" w:color="auto"/>
            </w:tcBorders>
            <w:shd w:val="clear" w:color="000000" w:fill="D9D9D9"/>
            <w:noWrap/>
            <w:vAlign w:val="bottom"/>
            <w:hideMark/>
          </w:tcPr>
          <w:p w14:paraId="06CA03B6" w14:textId="77777777" w:rsidR="005636D2" w:rsidRDefault="005636D2">
            <w:pPr>
              <w:rPr>
                <w:rFonts w:ascii="Calibri" w:hAnsi="Calibri" w:cs="Calibri"/>
                <w:color w:val="000000"/>
                <w:sz w:val="22"/>
                <w:szCs w:val="22"/>
              </w:rPr>
            </w:pPr>
            <w:r>
              <w:rPr>
                <w:rFonts w:ascii="Calibri" w:hAnsi="Calibri" w:cs="Calibri"/>
                <w:color w:val="000000"/>
                <w:sz w:val="22"/>
                <w:szCs w:val="22"/>
              </w:rPr>
              <w:t>-77.4</w:t>
            </w:r>
          </w:p>
        </w:tc>
        <w:tc>
          <w:tcPr>
            <w:tcW w:w="948" w:type="dxa"/>
            <w:tcBorders>
              <w:top w:val="nil"/>
              <w:left w:val="nil"/>
              <w:bottom w:val="single" w:sz="12" w:space="0" w:color="auto"/>
              <w:right w:val="single" w:sz="4" w:space="0" w:color="auto"/>
            </w:tcBorders>
            <w:shd w:val="clear" w:color="000000" w:fill="D9D9D9"/>
            <w:noWrap/>
            <w:vAlign w:val="bottom"/>
            <w:hideMark/>
          </w:tcPr>
          <w:p w14:paraId="0EFD194A" w14:textId="77777777" w:rsidR="005636D2" w:rsidRDefault="005636D2">
            <w:pPr>
              <w:rPr>
                <w:rFonts w:ascii="Calibri" w:hAnsi="Calibri" w:cs="Calibri"/>
                <w:color w:val="000000"/>
                <w:sz w:val="22"/>
                <w:szCs w:val="22"/>
              </w:rPr>
            </w:pPr>
            <w:r>
              <w:rPr>
                <w:rFonts w:ascii="Calibri" w:hAnsi="Calibri" w:cs="Calibri"/>
                <w:color w:val="000000"/>
                <w:sz w:val="22"/>
                <w:szCs w:val="22"/>
              </w:rPr>
              <w:t>-51.4</w:t>
            </w:r>
          </w:p>
        </w:tc>
        <w:tc>
          <w:tcPr>
            <w:tcW w:w="966" w:type="dxa"/>
            <w:tcBorders>
              <w:top w:val="nil"/>
              <w:left w:val="nil"/>
              <w:bottom w:val="single" w:sz="12" w:space="0" w:color="auto"/>
              <w:right w:val="single" w:sz="12" w:space="0" w:color="auto"/>
            </w:tcBorders>
            <w:shd w:val="clear" w:color="000000" w:fill="D9D9D9"/>
            <w:noWrap/>
            <w:vAlign w:val="bottom"/>
            <w:hideMark/>
          </w:tcPr>
          <w:p w14:paraId="1EBFD9E4" w14:textId="77777777" w:rsidR="005636D2" w:rsidRDefault="005636D2">
            <w:pPr>
              <w:rPr>
                <w:rFonts w:ascii="Calibri" w:hAnsi="Calibri" w:cs="Calibri"/>
                <w:color w:val="000000"/>
                <w:sz w:val="22"/>
                <w:szCs w:val="22"/>
              </w:rPr>
            </w:pPr>
            <w:r>
              <w:rPr>
                <w:rFonts w:ascii="Calibri" w:hAnsi="Calibri" w:cs="Calibri"/>
                <w:color w:val="000000"/>
                <w:sz w:val="22"/>
                <w:szCs w:val="22"/>
              </w:rPr>
              <w:t>-50.4</w:t>
            </w:r>
          </w:p>
        </w:tc>
      </w:tr>
    </w:tbl>
    <w:p w14:paraId="3191B80E" w14:textId="36544AC9" w:rsidR="00A420D8" w:rsidRDefault="007B566E" w:rsidP="007B566E">
      <w:pPr>
        <w:pStyle w:val="Caption"/>
        <w:rPr>
          <w:lang w:eastAsia="ja-JP"/>
        </w:rPr>
      </w:pPr>
      <w:r>
        <w:t xml:space="preserve">Table </w:t>
      </w:r>
      <w:r>
        <w:fldChar w:fldCharType="begin"/>
      </w:r>
      <w:r>
        <w:instrText xml:space="preserve"> SEQ Table \* ARABIC </w:instrText>
      </w:r>
      <w:r>
        <w:fldChar w:fldCharType="separate"/>
      </w:r>
      <w:r>
        <w:rPr>
          <w:noProof/>
        </w:rPr>
        <w:t>2</w:t>
      </w:r>
      <w:r>
        <w:fldChar w:fldCharType="end"/>
      </w:r>
      <w:r>
        <w:t>: Io values for 66 and 24 RB's, with and without noise in the calculations.</w:t>
      </w:r>
    </w:p>
    <w:p w14:paraId="4A192499" w14:textId="157A2A0D" w:rsidR="007A31FD" w:rsidRDefault="007B566E" w:rsidP="007B566E">
      <w:pPr>
        <w:pStyle w:val="RAN4observation0"/>
        <w:rPr>
          <w:lang w:eastAsia="ja-JP"/>
        </w:rPr>
      </w:pPr>
      <w:bookmarkStart w:id="12" w:name="_Toc170817201"/>
      <w:r>
        <w:rPr>
          <w:lang w:eastAsia="ja-JP"/>
        </w:rPr>
        <w:t xml:space="preserve">The dynamic range of RSRP is </w:t>
      </w:r>
      <w:r w:rsidR="00C45F50">
        <w:rPr>
          <w:lang w:eastAsia="ja-JP"/>
        </w:rPr>
        <w:t>27dB for all calculations</w:t>
      </w:r>
      <w:r w:rsidR="00BA0835">
        <w:rPr>
          <w:lang w:eastAsia="ja-JP"/>
        </w:rPr>
        <w:t>, which is the same as the maximum value of Es/Noc</w:t>
      </w:r>
      <w:r w:rsidR="007455CD">
        <w:rPr>
          <w:lang w:eastAsia="ja-JP"/>
        </w:rPr>
        <w:t xml:space="preserve"> for the tests</w:t>
      </w:r>
      <w:r w:rsidR="00C45F50">
        <w:rPr>
          <w:lang w:eastAsia="ja-JP"/>
        </w:rPr>
        <w:t>.</w:t>
      </w:r>
      <w:bookmarkEnd w:id="12"/>
    </w:p>
    <w:p w14:paraId="64F72181" w14:textId="77777777" w:rsidR="00482DAC" w:rsidRDefault="00C45F50" w:rsidP="00C45F50">
      <w:pPr>
        <w:pStyle w:val="RAN4observation0"/>
        <w:rPr>
          <w:lang w:eastAsia="ja-JP"/>
        </w:rPr>
      </w:pPr>
      <w:bookmarkStart w:id="13" w:name="_Toc170817202"/>
      <w:r>
        <w:rPr>
          <w:lang w:eastAsia="ja-JP"/>
        </w:rPr>
        <w:t xml:space="preserve">The dynamic range of Io is </w:t>
      </w:r>
      <w:r w:rsidR="00DB7EE9">
        <w:rPr>
          <w:lang w:eastAsia="ja-JP"/>
        </w:rPr>
        <w:t>24dB with noise and 27dB without</w:t>
      </w:r>
      <w:bookmarkEnd w:id="13"/>
    </w:p>
    <w:p w14:paraId="08C596DD" w14:textId="7449FE3E" w:rsidR="00C45F50" w:rsidRDefault="00482DAC" w:rsidP="00C45F50">
      <w:pPr>
        <w:pStyle w:val="RAN4observation0"/>
        <w:rPr>
          <w:lang w:eastAsia="ja-JP"/>
        </w:rPr>
      </w:pPr>
      <w:bookmarkStart w:id="14" w:name="_Toc170817203"/>
      <w:r>
        <w:rPr>
          <w:lang w:eastAsia="ja-JP"/>
        </w:rPr>
        <w:t>The dynamic range of the Io does not depend on</w:t>
      </w:r>
      <w:r w:rsidR="00DB7EE9">
        <w:rPr>
          <w:lang w:eastAsia="ja-JP"/>
        </w:rPr>
        <w:t xml:space="preserve"> the number of RBs used in the </w:t>
      </w:r>
      <w:r w:rsidR="002A1A54">
        <w:rPr>
          <w:lang w:eastAsia="ja-JP"/>
        </w:rPr>
        <w:t>test</w:t>
      </w:r>
      <w:r w:rsidR="00DB7EE9">
        <w:rPr>
          <w:lang w:eastAsia="ja-JP"/>
        </w:rPr>
        <w:t>.</w:t>
      </w:r>
      <w:bookmarkEnd w:id="14"/>
    </w:p>
    <w:p w14:paraId="38510435" w14:textId="4D4D6A21" w:rsidR="00DB7EE9" w:rsidRPr="00DB7EE9" w:rsidRDefault="00DB7EE9" w:rsidP="00DB7EE9">
      <w:pPr>
        <w:pStyle w:val="RAN4observation0"/>
        <w:rPr>
          <w:lang w:eastAsia="ja-JP"/>
        </w:rPr>
      </w:pPr>
      <w:bookmarkStart w:id="15" w:name="_Toc170817204"/>
      <w:r>
        <w:rPr>
          <w:lang w:eastAsia="ja-JP"/>
        </w:rPr>
        <w:t>The number of RB’s have impact on the minimum RSRP value used, P0, for the test</w:t>
      </w:r>
      <w:r w:rsidR="000158E7">
        <w:rPr>
          <w:lang w:eastAsia="ja-JP"/>
        </w:rPr>
        <w:t xml:space="preserve"> to stay within the Io range of -50 to -70dBm/</w:t>
      </w:r>
      <w:proofErr w:type="gramStart"/>
      <w:r w:rsidR="000158E7">
        <w:rPr>
          <w:lang w:eastAsia="ja-JP"/>
        </w:rPr>
        <w:t>BW</w:t>
      </w:r>
      <w:r w:rsidR="00F9041A">
        <w:rPr>
          <w:lang w:eastAsia="ja-JP"/>
        </w:rPr>
        <w:t>, but</w:t>
      </w:r>
      <w:proofErr w:type="gramEnd"/>
      <w:r w:rsidR="00F9041A">
        <w:rPr>
          <w:lang w:eastAsia="ja-JP"/>
        </w:rPr>
        <w:t xml:space="preserve"> does not have any impact on the Io dynamic range.</w:t>
      </w:r>
      <w:bookmarkEnd w:id="15"/>
    </w:p>
    <w:p w14:paraId="70116221" w14:textId="77777777" w:rsidR="007B566E" w:rsidRPr="00B054FC" w:rsidRDefault="007B566E" w:rsidP="00867BEC">
      <w:pPr>
        <w:rPr>
          <w:lang w:eastAsia="ja-JP"/>
        </w:rPr>
      </w:pPr>
    </w:p>
    <w:p w14:paraId="41DD3AB8" w14:textId="52ACC2AA" w:rsidR="00E061AD" w:rsidRPr="00867BEC" w:rsidRDefault="00F9041A" w:rsidP="004C580B">
      <w:pPr>
        <w:pStyle w:val="RAN4proposal"/>
        <w:rPr>
          <w:lang w:eastAsia="ja-JP"/>
        </w:rPr>
      </w:pPr>
      <w:bookmarkStart w:id="16" w:name="_Toc170817205"/>
      <w:r>
        <w:rPr>
          <w:lang w:eastAsia="ja-JP"/>
        </w:rPr>
        <w:lastRenderedPageBreak/>
        <w:t>RAN4 to consider the numbers presented and present a way forward for testing of SDT in FR2 given the RSRP dynamic range forced by the large in-accuracy of FR2 measurements.</w:t>
      </w:r>
      <w:bookmarkEnd w:id="16"/>
    </w:p>
    <w:p w14:paraId="3DD28EBA" w14:textId="77777777" w:rsidR="00D13063" w:rsidRDefault="00D13063" w:rsidP="00D13063">
      <w:pPr>
        <w:rPr>
          <w:rFonts w:ascii="Arial" w:eastAsia="SimSun" w:hAnsi="Arial"/>
          <w:sz w:val="36"/>
          <w:szCs w:val="20"/>
        </w:rPr>
      </w:pPr>
    </w:p>
    <w:p w14:paraId="0E6B2911" w14:textId="77777777" w:rsidR="00CD7492" w:rsidRPr="008C39F7" w:rsidRDefault="00CD7492" w:rsidP="00A37002">
      <w:pPr>
        <w:pStyle w:val="RAN4H1"/>
      </w:pPr>
      <w:r w:rsidRPr="008C39F7">
        <w:t>Conclusion</w:t>
      </w:r>
      <w:bookmarkEnd w:id="5"/>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319E0222" w14:textId="6202C61E" w:rsidR="00FF3AD6" w:rsidRDefault="00FF3AD6">
      <w:pPr>
        <w:pStyle w:val="TOC4"/>
        <w:tabs>
          <w:tab w:val="right" w:leader="dot" w:pos="9617"/>
        </w:tabs>
        <w:rPr>
          <w:rFonts w:asciiTheme="minorHAnsi" w:eastAsiaTheme="minorEastAsia" w:hAnsiTheme="minorHAnsi" w:cstheme="minorBidi"/>
          <w:noProof/>
          <w:kern w:val="2"/>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0817197" w:history="1">
        <w:r w:rsidRPr="002E3B94">
          <w:rPr>
            <w:rStyle w:val="Hyperlink"/>
            <w:b/>
            <w:noProof/>
            <w:lang w:eastAsia="ja-JP"/>
          </w:rPr>
          <w:t>Observation 1:</w:t>
        </w:r>
        <w:r w:rsidRPr="002E3B94">
          <w:rPr>
            <w:rStyle w:val="Hyperlink"/>
            <w:noProof/>
            <w:lang w:eastAsia="ja-JP"/>
          </w:rPr>
          <w:t xml:space="preserve"> It has been suggested to adjust the number of resource blocks in the tests to mitigate dynamic range problems for the Io values.</w:t>
        </w:r>
      </w:hyperlink>
    </w:p>
    <w:p w14:paraId="15C4A526" w14:textId="3DEFF1B0"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198" w:history="1">
        <w:r w:rsidR="00FF3AD6" w:rsidRPr="002E3B94">
          <w:rPr>
            <w:rStyle w:val="Hyperlink"/>
            <w:b/>
            <w:noProof/>
            <w:lang w:eastAsia="ja-JP"/>
          </w:rPr>
          <w:t>Observation 2:</w:t>
        </w:r>
        <w:r w:rsidR="00FF3AD6" w:rsidRPr="002E3B94">
          <w:rPr>
            <w:rStyle w:val="Hyperlink"/>
            <w:noProof/>
            <w:lang w:eastAsia="ja-JP"/>
          </w:rPr>
          <w:t xml:space="preserve"> It has been suggested to remove noise from the Io values to mitigate the dynamic range problems.</w:t>
        </w:r>
      </w:hyperlink>
    </w:p>
    <w:p w14:paraId="340071A1" w14:textId="5D09D64E"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199" w:history="1">
        <w:r w:rsidR="00FF3AD6" w:rsidRPr="002E3B94">
          <w:rPr>
            <w:rStyle w:val="Hyperlink"/>
            <w:b/>
            <w:noProof/>
            <w:lang w:eastAsia="ja-JP"/>
          </w:rPr>
          <w:t>Observation 3:</w:t>
        </w:r>
        <w:r w:rsidR="00FF3AD6" w:rsidRPr="002E3B94">
          <w:rPr>
            <w:rStyle w:val="Hyperlink"/>
            <w:noProof/>
            <w:lang w:eastAsia="ja-JP"/>
          </w:rPr>
          <w:t xml:space="preserve"> P0 is the power level for T1, T3 and T6. P1 is the power level for T2. P2 is the power level for T4 and T5.</w:t>
        </w:r>
      </w:hyperlink>
    </w:p>
    <w:p w14:paraId="10140AA1" w14:textId="12308C83"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200" w:history="1">
        <w:r w:rsidR="00FF3AD6" w:rsidRPr="002E3B94">
          <w:rPr>
            <w:rStyle w:val="Hyperlink"/>
            <w:b/>
            <w:noProof/>
            <w:lang w:eastAsia="ja-JP"/>
          </w:rPr>
          <w:t>Observation 4:</w:t>
        </w:r>
        <w:r w:rsidR="00FF3AD6" w:rsidRPr="002E3B94">
          <w:rPr>
            <w:rStyle w:val="Hyperlink"/>
            <w:noProof/>
            <w:lang w:eastAsia="ja-JP"/>
          </w:rPr>
          <w:t xml:space="preserve"> The number of RB’s used will be as suggested, 66 vs 24, corresponding to 95.04MHz and 34.56MHz respectively.</w:t>
        </w:r>
      </w:hyperlink>
    </w:p>
    <w:p w14:paraId="6BE86D7F" w14:textId="585BAE86"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201" w:history="1">
        <w:r w:rsidR="00FF3AD6" w:rsidRPr="002E3B94">
          <w:rPr>
            <w:rStyle w:val="Hyperlink"/>
            <w:b/>
            <w:noProof/>
            <w:lang w:eastAsia="ja-JP"/>
          </w:rPr>
          <w:t>Observation 5:</w:t>
        </w:r>
        <w:r w:rsidR="00FF3AD6" w:rsidRPr="002E3B94">
          <w:rPr>
            <w:rStyle w:val="Hyperlink"/>
            <w:noProof/>
            <w:lang w:eastAsia="ja-JP"/>
          </w:rPr>
          <w:t xml:space="preserve"> The dynamic range of RSRP is 27dB for all calculations, which is the same as the maximum value of Es/Noc for the tests.</w:t>
        </w:r>
      </w:hyperlink>
    </w:p>
    <w:p w14:paraId="4EBD8504" w14:textId="3D88F536"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202" w:history="1">
        <w:r w:rsidR="00FF3AD6" w:rsidRPr="002E3B94">
          <w:rPr>
            <w:rStyle w:val="Hyperlink"/>
            <w:b/>
            <w:noProof/>
            <w:lang w:eastAsia="ja-JP"/>
          </w:rPr>
          <w:t>Observation 6:</w:t>
        </w:r>
        <w:r w:rsidR="00FF3AD6" w:rsidRPr="002E3B94">
          <w:rPr>
            <w:rStyle w:val="Hyperlink"/>
            <w:noProof/>
            <w:lang w:eastAsia="ja-JP"/>
          </w:rPr>
          <w:t xml:space="preserve"> The dynamic range of Io is 24dB with noise and 27dB without</w:t>
        </w:r>
      </w:hyperlink>
    </w:p>
    <w:p w14:paraId="57A4C93C" w14:textId="42966A75"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203" w:history="1">
        <w:r w:rsidR="00FF3AD6" w:rsidRPr="002E3B94">
          <w:rPr>
            <w:rStyle w:val="Hyperlink"/>
            <w:b/>
            <w:noProof/>
            <w:lang w:eastAsia="ja-JP"/>
          </w:rPr>
          <w:t>Observation 7:</w:t>
        </w:r>
        <w:r w:rsidR="00FF3AD6" w:rsidRPr="002E3B94">
          <w:rPr>
            <w:rStyle w:val="Hyperlink"/>
            <w:noProof/>
            <w:lang w:eastAsia="ja-JP"/>
          </w:rPr>
          <w:t xml:space="preserve"> The dynamic range of the Io does not depend on the number of RBs used in the test.</w:t>
        </w:r>
      </w:hyperlink>
    </w:p>
    <w:p w14:paraId="67C8FA61" w14:textId="60CEA3DD" w:rsidR="00FF3AD6" w:rsidRDefault="00973D47">
      <w:pPr>
        <w:pStyle w:val="TOC4"/>
        <w:tabs>
          <w:tab w:val="right" w:leader="dot" w:pos="9617"/>
        </w:tabs>
        <w:rPr>
          <w:rFonts w:asciiTheme="minorHAnsi" w:eastAsiaTheme="minorEastAsia" w:hAnsiTheme="minorHAnsi" w:cstheme="minorBidi"/>
          <w:noProof/>
          <w:kern w:val="2"/>
          <w14:ligatures w14:val="standardContextual"/>
        </w:rPr>
      </w:pPr>
      <w:hyperlink w:anchor="_Toc170817204" w:history="1">
        <w:r w:rsidR="00FF3AD6" w:rsidRPr="002E3B94">
          <w:rPr>
            <w:rStyle w:val="Hyperlink"/>
            <w:b/>
            <w:noProof/>
            <w:lang w:eastAsia="ja-JP"/>
          </w:rPr>
          <w:t>Observation 8:</w:t>
        </w:r>
        <w:r w:rsidR="00FF3AD6" w:rsidRPr="002E3B94">
          <w:rPr>
            <w:rStyle w:val="Hyperlink"/>
            <w:noProof/>
            <w:lang w:eastAsia="ja-JP"/>
          </w:rPr>
          <w:t xml:space="preserve"> The number of RB’s have impact on the minimum RSRP value used, P0, for the test to stay within the Io range of -50 to -70dBm/BW, but does not have any impact on the Io dynamic range.</w:t>
        </w:r>
      </w:hyperlink>
    </w:p>
    <w:p w14:paraId="243A578C" w14:textId="7FC9FB03" w:rsidR="00FF3AD6" w:rsidRDefault="00973D47">
      <w:pPr>
        <w:pStyle w:val="TOC5"/>
        <w:rPr>
          <w:rFonts w:asciiTheme="minorHAnsi" w:eastAsiaTheme="minorEastAsia" w:hAnsiTheme="minorHAnsi" w:cstheme="minorBidi"/>
          <w:b w:val="0"/>
          <w:noProof/>
          <w:kern w:val="2"/>
          <w14:ligatures w14:val="standardContextual"/>
        </w:rPr>
      </w:pPr>
      <w:hyperlink w:anchor="_Toc170817205" w:history="1">
        <w:r w:rsidR="00FF3AD6" w:rsidRPr="002E3B94">
          <w:rPr>
            <w:rStyle w:val="Hyperlink"/>
            <w:noProof/>
            <w:lang w:eastAsia="ja-JP"/>
          </w:rPr>
          <w:t>Proposal 1: RAN4 to consider the numbers presented and present a way forward for testing of SDT in FR2 given the RSRP dynamic range forced by the large in-accuracy of FR2 measurements.</w:t>
        </w:r>
      </w:hyperlink>
    </w:p>
    <w:p w14:paraId="141F01BB" w14:textId="6D3D5672" w:rsidR="009C001C" w:rsidRPr="00D50A6B" w:rsidRDefault="00FF3AD6" w:rsidP="00FF3AD6">
      <w:r w:rsidRPr="00614DD8">
        <w:rPr>
          <w:lang w:val="en-US"/>
        </w:rPr>
        <w:fldChar w:fldCharType="end"/>
      </w:r>
    </w:p>
    <w:sectPr w:rsidR="009C001C" w:rsidRPr="00D50A6B" w:rsidSect="007335A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4E7B4" w14:textId="77777777" w:rsidR="004C2F13" w:rsidRDefault="004C2F13" w:rsidP="00001C9B">
      <w:r>
        <w:separator/>
      </w:r>
    </w:p>
  </w:endnote>
  <w:endnote w:type="continuationSeparator" w:id="0">
    <w:p w14:paraId="1F6A062F" w14:textId="77777777" w:rsidR="004C2F13" w:rsidRDefault="004C2F13" w:rsidP="00001C9B">
      <w:r>
        <w:continuationSeparator/>
      </w:r>
    </w:p>
  </w:endnote>
  <w:endnote w:type="continuationNotice" w:id="1">
    <w:p w14:paraId="4D7EA8BE" w14:textId="77777777" w:rsidR="004C2F13" w:rsidRDefault="004C2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C232E" w14:textId="77777777" w:rsidR="004C2F13" w:rsidRDefault="004C2F13" w:rsidP="00001C9B">
      <w:r>
        <w:separator/>
      </w:r>
    </w:p>
  </w:footnote>
  <w:footnote w:type="continuationSeparator" w:id="0">
    <w:p w14:paraId="79F04E88" w14:textId="77777777" w:rsidR="004C2F13" w:rsidRDefault="004C2F13" w:rsidP="00001C9B">
      <w:r>
        <w:continuationSeparator/>
      </w:r>
    </w:p>
  </w:footnote>
  <w:footnote w:type="continuationNotice" w:id="1">
    <w:p w14:paraId="449A25A9" w14:textId="77777777" w:rsidR="004C2F13" w:rsidRDefault="004C2F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633CF"/>
    <w:multiLevelType w:val="hybridMultilevel"/>
    <w:tmpl w:val="6D885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07B48"/>
    <w:multiLevelType w:val="hybridMultilevel"/>
    <w:tmpl w:val="A73884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FDD0D33A"/>
    <w:lvl w:ilvl="0" w:tplc="3FFAC1B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6D4461B0"/>
    <w:lvl w:ilvl="0" w:tplc="A8BCDCA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DF2781"/>
    <w:multiLevelType w:val="hybridMultilevel"/>
    <w:tmpl w:val="7C0C7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F06A2D"/>
    <w:multiLevelType w:val="hybridMultilevel"/>
    <w:tmpl w:val="07442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811B7"/>
    <w:multiLevelType w:val="hybridMultilevel"/>
    <w:tmpl w:val="9B7A3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4"/>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4"/>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9"/>
  </w:num>
  <w:num w:numId="28" w16cid:durableId="780539475">
    <w:abstractNumId w:val="9"/>
  </w:num>
  <w:num w:numId="29" w16cid:durableId="516626284">
    <w:abstractNumId w:val="11"/>
  </w:num>
  <w:num w:numId="30" w16cid:durableId="2067415568">
    <w:abstractNumId w:val="3"/>
  </w:num>
  <w:num w:numId="31" w16cid:durableId="429205504">
    <w:abstractNumId w:val="12"/>
  </w:num>
  <w:num w:numId="32" w16cid:durableId="1466388349">
    <w:abstractNumId w:val="21"/>
  </w:num>
  <w:num w:numId="33" w16cid:durableId="493910482">
    <w:abstractNumId w:val="18"/>
  </w:num>
  <w:num w:numId="34" w16cid:durableId="368382980">
    <w:abstractNumId w:val="5"/>
  </w:num>
  <w:num w:numId="35" w16cid:durableId="546977">
    <w:abstractNumId w:val="14"/>
    <w:lvlOverride w:ilvl="0">
      <w:startOverride w:val="1"/>
    </w:lvlOverride>
  </w:num>
  <w:num w:numId="36" w16cid:durableId="584148611">
    <w:abstractNumId w:val="15"/>
  </w:num>
  <w:num w:numId="37" w16cid:durableId="2098623976">
    <w:abstractNumId w:val="15"/>
    <w:lvlOverride w:ilvl="0">
      <w:startOverride w:val="1"/>
    </w:lvlOverride>
  </w:num>
  <w:num w:numId="38" w16cid:durableId="2004237288">
    <w:abstractNumId w:val="14"/>
    <w:lvlOverride w:ilvl="0">
      <w:startOverride w:val="1"/>
    </w:lvlOverride>
  </w:num>
  <w:num w:numId="39" w16cid:durableId="494035395">
    <w:abstractNumId w:val="15"/>
    <w:lvlOverride w:ilvl="0">
      <w:startOverride w:val="1"/>
    </w:lvlOverride>
  </w:num>
  <w:num w:numId="40" w16cid:durableId="427309295">
    <w:abstractNumId w:val="22"/>
  </w:num>
  <w:num w:numId="41" w16cid:durableId="1779138216">
    <w:abstractNumId w:val="17"/>
  </w:num>
  <w:num w:numId="42" w16cid:durableId="543179721">
    <w:abstractNumId w:val="10"/>
  </w:num>
  <w:num w:numId="43" w16cid:durableId="2026129176">
    <w:abstractNumId w:val="8"/>
  </w:num>
  <w:num w:numId="44" w16cid:durableId="20091666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40E"/>
    <w:rsid w:val="00002DA3"/>
    <w:rsid w:val="000040DC"/>
    <w:rsid w:val="00010618"/>
    <w:rsid w:val="00011784"/>
    <w:rsid w:val="00013228"/>
    <w:rsid w:val="00013E66"/>
    <w:rsid w:val="000151EF"/>
    <w:rsid w:val="000158E7"/>
    <w:rsid w:val="0002068E"/>
    <w:rsid w:val="000239F5"/>
    <w:rsid w:val="00027480"/>
    <w:rsid w:val="000355DF"/>
    <w:rsid w:val="00035F0E"/>
    <w:rsid w:val="00037860"/>
    <w:rsid w:val="000426F2"/>
    <w:rsid w:val="000562EE"/>
    <w:rsid w:val="00057BD0"/>
    <w:rsid w:val="00057F54"/>
    <w:rsid w:val="00065B09"/>
    <w:rsid w:val="0006786F"/>
    <w:rsid w:val="00070B0F"/>
    <w:rsid w:val="00071D63"/>
    <w:rsid w:val="00072CCA"/>
    <w:rsid w:val="0007356E"/>
    <w:rsid w:val="00073D96"/>
    <w:rsid w:val="000748E0"/>
    <w:rsid w:val="000765CE"/>
    <w:rsid w:val="0008174D"/>
    <w:rsid w:val="00085EFE"/>
    <w:rsid w:val="0008612A"/>
    <w:rsid w:val="000863E1"/>
    <w:rsid w:val="00090E18"/>
    <w:rsid w:val="00091469"/>
    <w:rsid w:val="00091A8F"/>
    <w:rsid w:val="00092CB8"/>
    <w:rsid w:val="000966D9"/>
    <w:rsid w:val="000A10BC"/>
    <w:rsid w:val="000A142B"/>
    <w:rsid w:val="000A1726"/>
    <w:rsid w:val="000A286E"/>
    <w:rsid w:val="000B0056"/>
    <w:rsid w:val="000B641A"/>
    <w:rsid w:val="000C2853"/>
    <w:rsid w:val="000C2D20"/>
    <w:rsid w:val="000C3B60"/>
    <w:rsid w:val="000C3C7B"/>
    <w:rsid w:val="000C41EE"/>
    <w:rsid w:val="000D0F93"/>
    <w:rsid w:val="000D2D73"/>
    <w:rsid w:val="000D4CA8"/>
    <w:rsid w:val="000D4FD4"/>
    <w:rsid w:val="000E28CD"/>
    <w:rsid w:val="000E36C0"/>
    <w:rsid w:val="000F0740"/>
    <w:rsid w:val="000F0928"/>
    <w:rsid w:val="000F700F"/>
    <w:rsid w:val="00100416"/>
    <w:rsid w:val="00103429"/>
    <w:rsid w:val="00106416"/>
    <w:rsid w:val="00110481"/>
    <w:rsid w:val="0011164E"/>
    <w:rsid w:val="001127C9"/>
    <w:rsid w:val="00114498"/>
    <w:rsid w:val="00115B88"/>
    <w:rsid w:val="0011750B"/>
    <w:rsid w:val="00123828"/>
    <w:rsid w:val="00124B54"/>
    <w:rsid w:val="00132F6A"/>
    <w:rsid w:val="00133913"/>
    <w:rsid w:val="00136A1A"/>
    <w:rsid w:val="00140221"/>
    <w:rsid w:val="00140E7E"/>
    <w:rsid w:val="00146255"/>
    <w:rsid w:val="00147B25"/>
    <w:rsid w:val="00151A00"/>
    <w:rsid w:val="00153AD4"/>
    <w:rsid w:val="0015412F"/>
    <w:rsid w:val="00154BAE"/>
    <w:rsid w:val="00156891"/>
    <w:rsid w:val="001619F5"/>
    <w:rsid w:val="001642FC"/>
    <w:rsid w:val="0016496B"/>
    <w:rsid w:val="00171779"/>
    <w:rsid w:val="001743E2"/>
    <w:rsid w:val="001745F8"/>
    <w:rsid w:val="00176DB4"/>
    <w:rsid w:val="00180E0C"/>
    <w:rsid w:val="00180EBA"/>
    <w:rsid w:val="001838CF"/>
    <w:rsid w:val="001868EE"/>
    <w:rsid w:val="00187747"/>
    <w:rsid w:val="0019557C"/>
    <w:rsid w:val="00197F7F"/>
    <w:rsid w:val="001A09A2"/>
    <w:rsid w:val="001A3BA4"/>
    <w:rsid w:val="001A4430"/>
    <w:rsid w:val="001A6D1F"/>
    <w:rsid w:val="001A770D"/>
    <w:rsid w:val="001B1EA8"/>
    <w:rsid w:val="001B20B7"/>
    <w:rsid w:val="001B48C9"/>
    <w:rsid w:val="001C104A"/>
    <w:rsid w:val="001C3D44"/>
    <w:rsid w:val="001C6DB2"/>
    <w:rsid w:val="001D4D8F"/>
    <w:rsid w:val="001E08CD"/>
    <w:rsid w:val="001E30F6"/>
    <w:rsid w:val="001E5C7B"/>
    <w:rsid w:val="001E7187"/>
    <w:rsid w:val="001E76A5"/>
    <w:rsid w:val="001E7775"/>
    <w:rsid w:val="001E7F74"/>
    <w:rsid w:val="001F11A1"/>
    <w:rsid w:val="001F65C0"/>
    <w:rsid w:val="00212A6B"/>
    <w:rsid w:val="002133EE"/>
    <w:rsid w:val="00215EE3"/>
    <w:rsid w:val="00217EE5"/>
    <w:rsid w:val="00221B51"/>
    <w:rsid w:val="002230CC"/>
    <w:rsid w:val="00223B16"/>
    <w:rsid w:val="00223DFA"/>
    <w:rsid w:val="002318A0"/>
    <w:rsid w:val="00231B27"/>
    <w:rsid w:val="00235F5C"/>
    <w:rsid w:val="00241332"/>
    <w:rsid w:val="00244D9D"/>
    <w:rsid w:val="002450DF"/>
    <w:rsid w:val="0024662E"/>
    <w:rsid w:val="0024695E"/>
    <w:rsid w:val="00247AAC"/>
    <w:rsid w:val="0025051B"/>
    <w:rsid w:val="0025220F"/>
    <w:rsid w:val="002535D1"/>
    <w:rsid w:val="0025508C"/>
    <w:rsid w:val="00257FA3"/>
    <w:rsid w:val="0026314C"/>
    <w:rsid w:val="00263E07"/>
    <w:rsid w:val="0027245F"/>
    <w:rsid w:val="00273D59"/>
    <w:rsid w:val="0027677D"/>
    <w:rsid w:val="00277B56"/>
    <w:rsid w:val="0028541D"/>
    <w:rsid w:val="00286495"/>
    <w:rsid w:val="00286CA5"/>
    <w:rsid w:val="002924F0"/>
    <w:rsid w:val="00293F0A"/>
    <w:rsid w:val="002A0064"/>
    <w:rsid w:val="002A19F5"/>
    <w:rsid w:val="002A1A54"/>
    <w:rsid w:val="002A3257"/>
    <w:rsid w:val="002B230B"/>
    <w:rsid w:val="002B4922"/>
    <w:rsid w:val="002B69F3"/>
    <w:rsid w:val="002C22C3"/>
    <w:rsid w:val="002C2D19"/>
    <w:rsid w:val="002C7C0F"/>
    <w:rsid w:val="002D10FA"/>
    <w:rsid w:val="002D4C55"/>
    <w:rsid w:val="002D4D1D"/>
    <w:rsid w:val="002E5176"/>
    <w:rsid w:val="002E6DED"/>
    <w:rsid w:val="00300956"/>
    <w:rsid w:val="00302338"/>
    <w:rsid w:val="00310508"/>
    <w:rsid w:val="0031348F"/>
    <w:rsid w:val="00317187"/>
    <w:rsid w:val="0032093B"/>
    <w:rsid w:val="00322916"/>
    <w:rsid w:val="0032499A"/>
    <w:rsid w:val="00327883"/>
    <w:rsid w:val="00330F7F"/>
    <w:rsid w:val="003315BC"/>
    <w:rsid w:val="003332CC"/>
    <w:rsid w:val="003341F7"/>
    <w:rsid w:val="0033464E"/>
    <w:rsid w:val="00334E4E"/>
    <w:rsid w:val="00340A95"/>
    <w:rsid w:val="00342097"/>
    <w:rsid w:val="00346693"/>
    <w:rsid w:val="00347FEC"/>
    <w:rsid w:val="003509DF"/>
    <w:rsid w:val="0035572A"/>
    <w:rsid w:val="00356F45"/>
    <w:rsid w:val="003605EA"/>
    <w:rsid w:val="00360B95"/>
    <w:rsid w:val="00364141"/>
    <w:rsid w:val="003643A9"/>
    <w:rsid w:val="00364908"/>
    <w:rsid w:val="00365A6D"/>
    <w:rsid w:val="003666B9"/>
    <w:rsid w:val="00366B74"/>
    <w:rsid w:val="003725CE"/>
    <w:rsid w:val="00375C4D"/>
    <w:rsid w:val="003858E4"/>
    <w:rsid w:val="003903D4"/>
    <w:rsid w:val="003A4060"/>
    <w:rsid w:val="003A4F8A"/>
    <w:rsid w:val="003A63B5"/>
    <w:rsid w:val="003A710A"/>
    <w:rsid w:val="003B1061"/>
    <w:rsid w:val="003B48FF"/>
    <w:rsid w:val="003B51CD"/>
    <w:rsid w:val="003B659E"/>
    <w:rsid w:val="003C0336"/>
    <w:rsid w:val="003C1BEC"/>
    <w:rsid w:val="003C275E"/>
    <w:rsid w:val="003C4FDE"/>
    <w:rsid w:val="003C5B75"/>
    <w:rsid w:val="003D2D72"/>
    <w:rsid w:val="003E4BD5"/>
    <w:rsid w:val="003E58DF"/>
    <w:rsid w:val="00404A98"/>
    <w:rsid w:val="00404C4C"/>
    <w:rsid w:val="00407150"/>
    <w:rsid w:val="00413D2B"/>
    <w:rsid w:val="0041423F"/>
    <w:rsid w:val="00414F81"/>
    <w:rsid w:val="00420EE3"/>
    <w:rsid w:val="0042586E"/>
    <w:rsid w:val="004272D8"/>
    <w:rsid w:val="00434CAD"/>
    <w:rsid w:val="004363EA"/>
    <w:rsid w:val="00436A0F"/>
    <w:rsid w:val="00437150"/>
    <w:rsid w:val="0043750A"/>
    <w:rsid w:val="0044012C"/>
    <w:rsid w:val="00442D30"/>
    <w:rsid w:val="00443520"/>
    <w:rsid w:val="004440A7"/>
    <w:rsid w:val="00447577"/>
    <w:rsid w:val="00450B39"/>
    <w:rsid w:val="00455A8E"/>
    <w:rsid w:val="004650B6"/>
    <w:rsid w:val="0046644D"/>
    <w:rsid w:val="00466DD8"/>
    <w:rsid w:val="004732E9"/>
    <w:rsid w:val="0047643B"/>
    <w:rsid w:val="00480AC0"/>
    <w:rsid w:val="00481305"/>
    <w:rsid w:val="00482DAC"/>
    <w:rsid w:val="00483EDE"/>
    <w:rsid w:val="004854BB"/>
    <w:rsid w:val="00487F18"/>
    <w:rsid w:val="00493058"/>
    <w:rsid w:val="00494168"/>
    <w:rsid w:val="00494493"/>
    <w:rsid w:val="0049497E"/>
    <w:rsid w:val="00496606"/>
    <w:rsid w:val="004A13CE"/>
    <w:rsid w:val="004A427F"/>
    <w:rsid w:val="004A685A"/>
    <w:rsid w:val="004B5E85"/>
    <w:rsid w:val="004C17D5"/>
    <w:rsid w:val="004C2F13"/>
    <w:rsid w:val="004C3C46"/>
    <w:rsid w:val="004C5162"/>
    <w:rsid w:val="004C580B"/>
    <w:rsid w:val="004C6AD8"/>
    <w:rsid w:val="004D07E5"/>
    <w:rsid w:val="004E5E66"/>
    <w:rsid w:val="004E60BA"/>
    <w:rsid w:val="004E7ADB"/>
    <w:rsid w:val="004F0098"/>
    <w:rsid w:val="004F2F75"/>
    <w:rsid w:val="004F6398"/>
    <w:rsid w:val="00503B4D"/>
    <w:rsid w:val="00504EE9"/>
    <w:rsid w:val="0050724A"/>
    <w:rsid w:val="00513527"/>
    <w:rsid w:val="005209D3"/>
    <w:rsid w:val="00521576"/>
    <w:rsid w:val="005250E6"/>
    <w:rsid w:val="00526565"/>
    <w:rsid w:val="00535ECC"/>
    <w:rsid w:val="00536F7C"/>
    <w:rsid w:val="00542D23"/>
    <w:rsid w:val="00543249"/>
    <w:rsid w:val="0054442C"/>
    <w:rsid w:val="005444F0"/>
    <w:rsid w:val="00546B7E"/>
    <w:rsid w:val="00550285"/>
    <w:rsid w:val="00562492"/>
    <w:rsid w:val="00562939"/>
    <w:rsid w:val="005636D2"/>
    <w:rsid w:val="00571508"/>
    <w:rsid w:val="00572A20"/>
    <w:rsid w:val="00572BB2"/>
    <w:rsid w:val="00572C53"/>
    <w:rsid w:val="005749C0"/>
    <w:rsid w:val="005808E2"/>
    <w:rsid w:val="00580A91"/>
    <w:rsid w:val="005815CD"/>
    <w:rsid w:val="005836F8"/>
    <w:rsid w:val="00583D6B"/>
    <w:rsid w:val="00584233"/>
    <w:rsid w:val="00590030"/>
    <w:rsid w:val="005918FA"/>
    <w:rsid w:val="00592A86"/>
    <w:rsid w:val="00593890"/>
    <w:rsid w:val="005A0057"/>
    <w:rsid w:val="005A20AB"/>
    <w:rsid w:val="005A23F2"/>
    <w:rsid w:val="005A5C92"/>
    <w:rsid w:val="005B1265"/>
    <w:rsid w:val="005B1D22"/>
    <w:rsid w:val="005B3029"/>
    <w:rsid w:val="005B4801"/>
    <w:rsid w:val="005B665C"/>
    <w:rsid w:val="005C23A4"/>
    <w:rsid w:val="005C43B6"/>
    <w:rsid w:val="005C6A77"/>
    <w:rsid w:val="005D0CFD"/>
    <w:rsid w:val="005D0EC1"/>
    <w:rsid w:val="005D1CDF"/>
    <w:rsid w:val="005D267F"/>
    <w:rsid w:val="005D2BB7"/>
    <w:rsid w:val="005D43DF"/>
    <w:rsid w:val="005D6FFE"/>
    <w:rsid w:val="005E00E0"/>
    <w:rsid w:val="005E61A8"/>
    <w:rsid w:val="005F6419"/>
    <w:rsid w:val="005F7DFA"/>
    <w:rsid w:val="0060301D"/>
    <w:rsid w:val="0060543D"/>
    <w:rsid w:val="00606C57"/>
    <w:rsid w:val="00607E60"/>
    <w:rsid w:val="006104DD"/>
    <w:rsid w:val="006130B5"/>
    <w:rsid w:val="00617400"/>
    <w:rsid w:val="00622FFD"/>
    <w:rsid w:val="00632D29"/>
    <w:rsid w:val="006358CB"/>
    <w:rsid w:val="00635ED2"/>
    <w:rsid w:val="00637161"/>
    <w:rsid w:val="00642686"/>
    <w:rsid w:val="00642AE5"/>
    <w:rsid w:val="006467E3"/>
    <w:rsid w:val="00647AD5"/>
    <w:rsid w:val="00652C35"/>
    <w:rsid w:val="00653320"/>
    <w:rsid w:val="00656083"/>
    <w:rsid w:val="00663330"/>
    <w:rsid w:val="006639BA"/>
    <w:rsid w:val="00664950"/>
    <w:rsid w:val="006769F3"/>
    <w:rsid w:val="006779B3"/>
    <w:rsid w:val="006825AF"/>
    <w:rsid w:val="00682A6D"/>
    <w:rsid w:val="00683220"/>
    <w:rsid w:val="00683706"/>
    <w:rsid w:val="00687A27"/>
    <w:rsid w:val="00687FA0"/>
    <w:rsid w:val="00693FBC"/>
    <w:rsid w:val="006949EB"/>
    <w:rsid w:val="006A3C11"/>
    <w:rsid w:val="006A7B0A"/>
    <w:rsid w:val="006B1317"/>
    <w:rsid w:val="006B13CC"/>
    <w:rsid w:val="006B7010"/>
    <w:rsid w:val="006B765C"/>
    <w:rsid w:val="006C29D2"/>
    <w:rsid w:val="006C3095"/>
    <w:rsid w:val="006C5C21"/>
    <w:rsid w:val="006C7B30"/>
    <w:rsid w:val="006D214D"/>
    <w:rsid w:val="006D543E"/>
    <w:rsid w:val="006E0871"/>
    <w:rsid w:val="006E0B90"/>
    <w:rsid w:val="006E1151"/>
    <w:rsid w:val="006E3213"/>
    <w:rsid w:val="006E4406"/>
    <w:rsid w:val="006E6311"/>
    <w:rsid w:val="006F688F"/>
    <w:rsid w:val="007027C0"/>
    <w:rsid w:val="007048EB"/>
    <w:rsid w:val="00705868"/>
    <w:rsid w:val="00713051"/>
    <w:rsid w:val="007145FF"/>
    <w:rsid w:val="0071519F"/>
    <w:rsid w:val="00715B2A"/>
    <w:rsid w:val="0071684C"/>
    <w:rsid w:val="00720ADB"/>
    <w:rsid w:val="00720E4A"/>
    <w:rsid w:val="007242EE"/>
    <w:rsid w:val="007264E4"/>
    <w:rsid w:val="0072706C"/>
    <w:rsid w:val="007322E5"/>
    <w:rsid w:val="007335AA"/>
    <w:rsid w:val="00733B21"/>
    <w:rsid w:val="00735672"/>
    <w:rsid w:val="007450F1"/>
    <w:rsid w:val="007455CD"/>
    <w:rsid w:val="0074626B"/>
    <w:rsid w:val="00751515"/>
    <w:rsid w:val="00753DE7"/>
    <w:rsid w:val="0075650C"/>
    <w:rsid w:val="00760FA3"/>
    <w:rsid w:val="007626B7"/>
    <w:rsid w:val="00777F50"/>
    <w:rsid w:val="0078212B"/>
    <w:rsid w:val="00784DF6"/>
    <w:rsid w:val="00785232"/>
    <w:rsid w:val="0078572D"/>
    <w:rsid w:val="00791058"/>
    <w:rsid w:val="007A1270"/>
    <w:rsid w:val="007A265D"/>
    <w:rsid w:val="007A31FD"/>
    <w:rsid w:val="007A45B1"/>
    <w:rsid w:val="007B186C"/>
    <w:rsid w:val="007B2665"/>
    <w:rsid w:val="007B3279"/>
    <w:rsid w:val="007B566E"/>
    <w:rsid w:val="007B6CD7"/>
    <w:rsid w:val="007C1696"/>
    <w:rsid w:val="007C3ED0"/>
    <w:rsid w:val="007C5971"/>
    <w:rsid w:val="007C6260"/>
    <w:rsid w:val="007D2809"/>
    <w:rsid w:val="007D7A7B"/>
    <w:rsid w:val="007E19E6"/>
    <w:rsid w:val="007E275A"/>
    <w:rsid w:val="007E42DC"/>
    <w:rsid w:val="007E4703"/>
    <w:rsid w:val="007F170A"/>
    <w:rsid w:val="007F17CE"/>
    <w:rsid w:val="007F274B"/>
    <w:rsid w:val="007F54B9"/>
    <w:rsid w:val="007F7412"/>
    <w:rsid w:val="0080179D"/>
    <w:rsid w:val="008033B7"/>
    <w:rsid w:val="008062E2"/>
    <w:rsid w:val="00806A76"/>
    <w:rsid w:val="00807C81"/>
    <w:rsid w:val="00811C9D"/>
    <w:rsid w:val="0081471F"/>
    <w:rsid w:val="00816C80"/>
    <w:rsid w:val="00816FFA"/>
    <w:rsid w:val="0082227B"/>
    <w:rsid w:val="0082563F"/>
    <w:rsid w:val="00827727"/>
    <w:rsid w:val="0082784B"/>
    <w:rsid w:val="0083128F"/>
    <w:rsid w:val="008363CA"/>
    <w:rsid w:val="0084028A"/>
    <w:rsid w:val="008413B4"/>
    <w:rsid w:val="00841977"/>
    <w:rsid w:val="00841BCD"/>
    <w:rsid w:val="00846008"/>
    <w:rsid w:val="00847264"/>
    <w:rsid w:val="0085152B"/>
    <w:rsid w:val="00851A8E"/>
    <w:rsid w:val="0085365B"/>
    <w:rsid w:val="00854CCC"/>
    <w:rsid w:val="00860889"/>
    <w:rsid w:val="00861AD1"/>
    <w:rsid w:val="008620C6"/>
    <w:rsid w:val="00867BEC"/>
    <w:rsid w:val="008718CF"/>
    <w:rsid w:val="00873B38"/>
    <w:rsid w:val="008810D9"/>
    <w:rsid w:val="00881E32"/>
    <w:rsid w:val="008826C1"/>
    <w:rsid w:val="00883DFD"/>
    <w:rsid w:val="00886F44"/>
    <w:rsid w:val="0089210C"/>
    <w:rsid w:val="00893D2E"/>
    <w:rsid w:val="008960EA"/>
    <w:rsid w:val="008A1BF7"/>
    <w:rsid w:val="008A38C0"/>
    <w:rsid w:val="008A40A1"/>
    <w:rsid w:val="008A5B0E"/>
    <w:rsid w:val="008A7DD3"/>
    <w:rsid w:val="008B0961"/>
    <w:rsid w:val="008B1277"/>
    <w:rsid w:val="008B437D"/>
    <w:rsid w:val="008B6878"/>
    <w:rsid w:val="008B6ABC"/>
    <w:rsid w:val="008B7714"/>
    <w:rsid w:val="008C39F7"/>
    <w:rsid w:val="008C515A"/>
    <w:rsid w:val="008D68F8"/>
    <w:rsid w:val="008D76AA"/>
    <w:rsid w:val="008D76F7"/>
    <w:rsid w:val="008E0ABC"/>
    <w:rsid w:val="008E0D34"/>
    <w:rsid w:val="008E290F"/>
    <w:rsid w:val="008E5665"/>
    <w:rsid w:val="008F25D4"/>
    <w:rsid w:val="0090086A"/>
    <w:rsid w:val="0090091A"/>
    <w:rsid w:val="009042BD"/>
    <w:rsid w:val="0090487C"/>
    <w:rsid w:val="00904FE4"/>
    <w:rsid w:val="009111F1"/>
    <w:rsid w:val="00921302"/>
    <w:rsid w:val="009217FC"/>
    <w:rsid w:val="0092455D"/>
    <w:rsid w:val="00924F4F"/>
    <w:rsid w:val="009255A0"/>
    <w:rsid w:val="00927740"/>
    <w:rsid w:val="00933E39"/>
    <w:rsid w:val="00936159"/>
    <w:rsid w:val="009418EE"/>
    <w:rsid w:val="00942307"/>
    <w:rsid w:val="0094245E"/>
    <w:rsid w:val="00945AB5"/>
    <w:rsid w:val="009500ED"/>
    <w:rsid w:val="00965672"/>
    <w:rsid w:val="00967976"/>
    <w:rsid w:val="00971BC1"/>
    <w:rsid w:val="00974E83"/>
    <w:rsid w:val="00977E1D"/>
    <w:rsid w:val="00983A7C"/>
    <w:rsid w:val="009905D0"/>
    <w:rsid w:val="009971AA"/>
    <w:rsid w:val="00997E53"/>
    <w:rsid w:val="009A3570"/>
    <w:rsid w:val="009A5E1B"/>
    <w:rsid w:val="009A7382"/>
    <w:rsid w:val="009B0573"/>
    <w:rsid w:val="009B1E13"/>
    <w:rsid w:val="009B24F5"/>
    <w:rsid w:val="009B2CD9"/>
    <w:rsid w:val="009B2CF8"/>
    <w:rsid w:val="009B7B4B"/>
    <w:rsid w:val="009B7C21"/>
    <w:rsid w:val="009C001C"/>
    <w:rsid w:val="009C0DAE"/>
    <w:rsid w:val="009C3A5F"/>
    <w:rsid w:val="009C42ED"/>
    <w:rsid w:val="009C5A50"/>
    <w:rsid w:val="009C667B"/>
    <w:rsid w:val="009D1A30"/>
    <w:rsid w:val="009D3C85"/>
    <w:rsid w:val="009E2C84"/>
    <w:rsid w:val="009E4E6E"/>
    <w:rsid w:val="009E6930"/>
    <w:rsid w:val="009E6A58"/>
    <w:rsid w:val="009E7656"/>
    <w:rsid w:val="009E77C0"/>
    <w:rsid w:val="009F35CA"/>
    <w:rsid w:val="009F65E0"/>
    <w:rsid w:val="009F6E4D"/>
    <w:rsid w:val="009F7247"/>
    <w:rsid w:val="00A02EC3"/>
    <w:rsid w:val="00A04992"/>
    <w:rsid w:val="00A04F11"/>
    <w:rsid w:val="00A0660D"/>
    <w:rsid w:val="00A147AA"/>
    <w:rsid w:val="00A15565"/>
    <w:rsid w:val="00A20B8F"/>
    <w:rsid w:val="00A210D7"/>
    <w:rsid w:val="00A21300"/>
    <w:rsid w:val="00A21D71"/>
    <w:rsid w:val="00A22B78"/>
    <w:rsid w:val="00A238E9"/>
    <w:rsid w:val="00A25AE5"/>
    <w:rsid w:val="00A25ECE"/>
    <w:rsid w:val="00A37002"/>
    <w:rsid w:val="00A37794"/>
    <w:rsid w:val="00A37D4D"/>
    <w:rsid w:val="00A420D8"/>
    <w:rsid w:val="00A42219"/>
    <w:rsid w:val="00A4355E"/>
    <w:rsid w:val="00A43E33"/>
    <w:rsid w:val="00A520D9"/>
    <w:rsid w:val="00A52BFA"/>
    <w:rsid w:val="00A52FA4"/>
    <w:rsid w:val="00A60C32"/>
    <w:rsid w:val="00A63E0C"/>
    <w:rsid w:val="00A64DA0"/>
    <w:rsid w:val="00A65C65"/>
    <w:rsid w:val="00A71E4F"/>
    <w:rsid w:val="00A75BC2"/>
    <w:rsid w:val="00A75DEE"/>
    <w:rsid w:val="00A81376"/>
    <w:rsid w:val="00A8237F"/>
    <w:rsid w:val="00A8577F"/>
    <w:rsid w:val="00A85F89"/>
    <w:rsid w:val="00A90050"/>
    <w:rsid w:val="00A90807"/>
    <w:rsid w:val="00A92BCD"/>
    <w:rsid w:val="00A93DAC"/>
    <w:rsid w:val="00AA1B0E"/>
    <w:rsid w:val="00AA37BB"/>
    <w:rsid w:val="00AA47B6"/>
    <w:rsid w:val="00AB01CE"/>
    <w:rsid w:val="00AB3537"/>
    <w:rsid w:val="00AB67CB"/>
    <w:rsid w:val="00AC163B"/>
    <w:rsid w:val="00AC1A74"/>
    <w:rsid w:val="00AC285E"/>
    <w:rsid w:val="00AC5CA7"/>
    <w:rsid w:val="00AC6058"/>
    <w:rsid w:val="00AC67B6"/>
    <w:rsid w:val="00AD07DA"/>
    <w:rsid w:val="00AD4626"/>
    <w:rsid w:val="00AE270D"/>
    <w:rsid w:val="00AE2BA5"/>
    <w:rsid w:val="00AE56B1"/>
    <w:rsid w:val="00AE6D09"/>
    <w:rsid w:val="00AF1AB4"/>
    <w:rsid w:val="00AF5762"/>
    <w:rsid w:val="00AF61DF"/>
    <w:rsid w:val="00AF7A7C"/>
    <w:rsid w:val="00B00394"/>
    <w:rsid w:val="00B02070"/>
    <w:rsid w:val="00B026D5"/>
    <w:rsid w:val="00B04ECC"/>
    <w:rsid w:val="00B054FC"/>
    <w:rsid w:val="00B155D1"/>
    <w:rsid w:val="00B200E5"/>
    <w:rsid w:val="00B216A5"/>
    <w:rsid w:val="00B267A3"/>
    <w:rsid w:val="00B271F5"/>
    <w:rsid w:val="00B30D4C"/>
    <w:rsid w:val="00B34BD2"/>
    <w:rsid w:val="00B402A1"/>
    <w:rsid w:val="00B4068F"/>
    <w:rsid w:val="00B408B6"/>
    <w:rsid w:val="00B42B23"/>
    <w:rsid w:val="00B4317C"/>
    <w:rsid w:val="00B542DA"/>
    <w:rsid w:val="00B552F4"/>
    <w:rsid w:val="00B56350"/>
    <w:rsid w:val="00B57457"/>
    <w:rsid w:val="00B61B2B"/>
    <w:rsid w:val="00B73862"/>
    <w:rsid w:val="00B73F43"/>
    <w:rsid w:val="00B75BBF"/>
    <w:rsid w:val="00B77F36"/>
    <w:rsid w:val="00B81CDC"/>
    <w:rsid w:val="00B84B91"/>
    <w:rsid w:val="00B8730E"/>
    <w:rsid w:val="00B92827"/>
    <w:rsid w:val="00BA0835"/>
    <w:rsid w:val="00BA308C"/>
    <w:rsid w:val="00BA3DFB"/>
    <w:rsid w:val="00BA6B66"/>
    <w:rsid w:val="00BA6E48"/>
    <w:rsid w:val="00BB0FCA"/>
    <w:rsid w:val="00BB46AA"/>
    <w:rsid w:val="00BC2320"/>
    <w:rsid w:val="00BD15E5"/>
    <w:rsid w:val="00BE0AF6"/>
    <w:rsid w:val="00BE1E05"/>
    <w:rsid w:val="00BE1F03"/>
    <w:rsid w:val="00BE51F5"/>
    <w:rsid w:val="00BE58A7"/>
    <w:rsid w:val="00BE5E74"/>
    <w:rsid w:val="00BE6FDB"/>
    <w:rsid w:val="00BE719A"/>
    <w:rsid w:val="00BF0545"/>
    <w:rsid w:val="00BF2218"/>
    <w:rsid w:val="00C0426B"/>
    <w:rsid w:val="00C045DF"/>
    <w:rsid w:val="00C057D5"/>
    <w:rsid w:val="00C1420B"/>
    <w:rsid w:val="00C22E9B"/>
    <w:rsid w:val="00C26D43"/>
    <w:rsid w:val="00C30D33"/>
    <w:rsid w:val="00C31766"/>
    <w:rsid w:val="00C35671"/>
    <w:rsid w:val="00C42466"/>
    <w:rsid w:val="00C44575"/>
    <w:rsid w:val="00C44AF6"/>
    <w:rsid w:val="00C45F50"/>
    <w:rsid w:val="00C46548"/>
    <w:rsid w:val="00C51D5E"/>
    <w:rsid w:val="00C52048"/>
    <w:rsid w:val="00C5418E"/>
    <w:rsid w:val="00C55277"/>
    <w:rsid w:val="00C5660F"/>
    <w:rsid w:val="00C56E4B"/>
    <w:rsid w:val="00C574D5"/>
    <w:rsid w:val="00C57F56"/>
    <w:rsid w:val="00C62D96"/>
    <w:rsid w:val="00C65A72"/>
    <w:rsid w:val="00C71D41"/>
    <w:rsid w:val="00C73F32"/>
    <w:rsid w:val="00C77094"/>
    <w:rsid w:val="00C8252D"/>
    <w:rsid w:val="00C849B5"/>
    <w:rsid w:val="00C858CA"/>
    <w:rsid w:val="00C87462"/>
    <w:rsid w:val="00C87EDC"/>
    <w:rsid w:val="00C93809"/>
    <w:rsid w:val="00C97308"/>
    <w:rsid w:val="00CA1630"/>
    <w:rsid w:val="00CA180C"/>
    <w:rsid w:val="00CA58B4"/>
    <w:rsid w:val="00CA6D91"/>
    <w:rsid w:val="00CB22B2"/>
    <w:rsid w:val="00CB4580"/>
    <w:rsid w:val="00CB50F0"/>
    <w:rsid w:val="00CB7024"/>
    <w:rsid w:val="00CC1197"/>
    <w:rsid w:val="00CC1F53"/>
    <w:rsid w:val="00CC3EE2"/>
    <w:rsid w:val="00CC5CEC"/>
    <w:rsid w:val="00CC5F22"/>
    <w:rsid w:val="00CC76C3"/>
    <w:rsid w:val="00CD2946"/>
    <w:rsid w:val="00CD4602"/>
    <w:rsid w:val="00CD5E1A"/>
    <w:rsid w:val="00CD7492"/>
    <w:rsid w:val="00CD7A1C"/>
    <w:rsid w:val="00CE1B2C"/>
    <w:rsid w:val="00CE3A6B"/>
    <w:rsid w:val="00CE469D"/>
    <w:rsid w:val="00CE71B2"/>
    <w:rsid w:val="00CF7AEE"/>
    <w:rsid w:val="00D00211"/>
    <w:rsid w:val="00D02178"/>
    <w:rsid w:val="00D025AE"/>
    <w:rsid w:val="00D06309"/>
    <w:rsid w:val="00D07774"/>
    <w:rsid w:val="00D07EEE"/>
    <w:rsid w:val="00D10870"/>
    <w:rsid w:val="00D1232E"/>
    <w:rsid w:val="00D12A02"/>
    <w:rsid w:val="00D13063"/>
    <w:rsid w:val="00D13E5D"/>
    <w:rsid w:val="00D1568E"/>
    <w:rsid w:val="00D16742"/>
    <w:rsid w:val="00D338A1"/>
    <w:rsid w:val="00D351EA"/>
    <w:rsid w:val="00D364C9"/>
    <w:rsid w:val="00D40288"/>
    <w:rsid w:val="00D40FD4"/>
    <w:rsid w:val="00D41E44"/>
    <w:rsid w:val="00D43403"/>
    <w:rsid w:val="00D4672E"/>
    <w:rsid w:val="00D47D82"/>
    <w:rsid w:val="00D50A6B"/>
    <w:rsid w:val="00D52486"/>
    <w:rsid w:val="00D5270B"/>
    <w:rsid w:val="00D53FF9"/>
    <w:rsid w:val="00D552D6"/>
    <w:rsid w:val="00D56273"/>
    <w:rsid w:val="00D62E71"/>
    <w:rsid w:val="00D6430D"/>
    <w:rsid w:val="00D646D3"/>
    <w:rsid w:val="00D66188"/>
    <w:rsid w:val="00D66B80"/>
    <w:rsid w:val="00D6743A"/>
    <w:rsid w:val="00D701BF"/>
    <w:rsid w:val="00D731F6"/>
    <w:rsid w:val="00D734AF"/>
    <w:rsid w:val="00D740CA"/>
    <w:rsid w:val="00D76115"/>
    <w:rsid w:val="00D85728"/>
    <w:rsid w:val="00D85D54"/>
    <w:rsid w:val="00D92679"/>
    <w:rsid w:val="00D9345D"/>
    <w:rsid w:val="00D939BB"/>
    <w:rsid w:val="00D93E45"/>
    <w:rsid w:val="00D95273"/>
    <w:rsid w:val="00D95481"/>
    <w:rsid w:val="00DA345E"/>
    <w:rsid w:val="00DB13A5"/>
    <w:rsid w:val="00DB1EED"/>
    <w:rsid w:val="00DB7EE9"/>
    <w:rsid w:val="00DC0422"/>
    <w:rsid w:val="00DC58E6"/>
    <w:rsid w:val="00DC62B8"/>
    <w:rsid w:val="00DC7A13"/>
    <w:rsid w:val="00DC7FA8"/>
    <w:rsid w:val="00DD05F4"/>
    <w:rsid w:val="00DD42DE"/>
    <w:rsid w:val="00DD73B5"/>
    <w:rsid w:val="00DE3D00"/>
    <w:rsid w:val="00DE41F0"/>
    <w:rsid w:val="00DE7064"/>
    <w:rsid w:val="00DF2997"/>
    <w:rsid w:val="00DF38B0"/>
    <w:rsid w:val="00DF5718"/>
    <w:rsid w:val="00DF73CD"/>
    <w:rsid w:val="00E03491"/>
    <w:rsid w:val="00E052AE"/>
    <w:rsid w:val="00E061AD"/>
    <w:rsid w:val="00E10BC4"/>
    <w:rsid w:val="00E113E1"/>
    <w:rsid w:val="00E13DC2"/>
    <w:rsid w:val="00E1415D"/>
    <w:rsid w:val="00E22B27"/>
    <w:rsid w:val="00E31C69"/>
    <w:rsid w:val="00E323E9"/>
    <w:rsid w:val="00E33378"/>
    <w:rsid w:val="00E338F5"/>
    <w:rsid w:val="00E33BBE"/>
    <w:rsid w:val="00E34018"/>
    <w:rsid w:val="00E34684"/>
    <w:rsid w:val="00E3469B"/>
    <w:rsid w:val="00E35EF5"/>
    <w:rsid w:val="00E3769B"/>
    <w:rsid w:val="00E437D2"/>
    <w:rsid w:val="00E43BF9"/>
    <w:rsid w:val="00E55751"/>
    <w:rsid w:val="00E5578A"/>
    <w:rsid w:val="00E61120"/>
    <w:rsid w:val="00E61420"/>
    <w:rsid w:val="00E6315D"/>
    <w:rsid w:val="00E7291B"/>
    <w:rsid w:val="00E736E8"/>
    <w:rsid w:val="00E73834"/>
    <w:rsid w:val="00E7398E"/>
    <w:rsid w:val="00E76719"/>
    <w:rsid w:val="00E7762C"/>
    <w:rsid w:val="00E814A9"/>
    <w:rsid w:val="00E81920"/>
    <w:rsid w:val="00E921E7"/>
    <w:rsid w:val="00EA2311"/>
    <w:rsid w:val="00EA4DC5"/>
    <w:rsid w:val="00EB05EE"/>
    <w:rsid w:val="00EB14B4"/>
    <w:rsid w:val="00EB1751"/>
    <w:rsid w:val="00EB1DD0"/>
    <w:rsid w:val="00EB4E49"/>
    <w:rsid w:val="00EB624F"/>
    <w:rsid w:val="00EB6AC9"/>
    <w:rsid w:val="00EC100E"/>
    <w:rsid w:val="00EC3591"/>
    <w:rsid w:val="00EC7BC3"/>
    <w:rsid w:val="00ED06DD"/>
    <w:rsid w:val="00ED1AC1"/>
    <w:rsid w:val="00ED263C"/>
    <w:rsid w:val="00ED60CC"/>
    <w:rsid w:val="00ED7600"/>
    <w:rsid w:val="00ED7A04"/>
    <w:rsid w:val="00EE02B5"/>
    <w:rsid w:val="00EE28B8"/>
    <w:rsid w:val="00EE3165"/>
    <w:rsid w:val="00EE4A72"/>
    <w:rsid w:val="00EE4FB5"/>
    <w:rsid w:val="00EE5E0A"/>
    <w:rsid w:val="00EF31E6"/>
    <w:rsid w:val="00EF47CC"/>
    <w:rsid w:val="00EF6073"/>
    <w:rsid w:val="00EF698B"/>
    <w:rsid w:val="00EF7C6A"/>
    <w:rsid w:val="00F06FA2"/>
    <w:rsid w:val="00F07B65"/>
    <w:rsid w:val="00F124AA"/>
    <w:rsid w:val="00F1362C"/>
    <w:rsid w:val="00F13F1C"/>
    <w:rsid w:val="00F1496E"/>
    <w:rsid w:val="00F16DBF"/>
    <w:rsid w:val="00F22D13"/>
    <w:rsid w:val="00F24BA6"/>
    <w:rsid w:val="00F27F49"/>
    <w:rsid w:val="00F34659"/>
    <w:rsid w:val="00F40230"/>
    <w:rsid w:val="00F414F1"/>
    <w:rsid w:val="00F41E53"/>
    <w:rsid w:val="00F4347D"/>
    <w:rsid w:val="00F45663"/>
    <w:rsid w:val="00F508B8"/>
    <w:rsid w:val="00F65D19"/>
    <w:rsid w:val="00F72CB1"/>
    <w:rsid w:val="00F72FAA"/>
    <w:rsid w:val="00F8215E"/>
    <w:rsid w:val="00F82491"/>
    <w:rsid w:val="00F824F5"/>
    <w:rsid w:val="00F9041A"/>
    <w:rsid w:val="00F90BA8"/>
    <w:rsid w:val="00F90FAB"/>
    <w:rsid w:val="00F91D61"/>
    <w:rsid w:val="00F9374D"/>
    <w:rsid w:val="00F94B55"/>
    <w:rsid w:val="00F9573C"/>
    <w:rsid w:val="00F96E53"/>
    <w:rsid w:val="00FA4CCE"/>
    <w:rsid w:val="00FA5B41"/>
    <w:rsid w:val="00FB1837"/>
    <w:rsid w:val="00FB18EC"/>
    <w:rsid w:val="00FB2762"/>
    <w:rsid w:val="00FB4882"/>
    <w:rsid w:val="00FC29B9"/>
    <w:rsid w:val="00FC3E42"/>
    <w:rsid w:val="00FC6FD3"/>
    <w:rsid w:val="00FC7E50"/>
    <w:rsid w:val="00FD1589"/>
    <w:rsid w:val="00FD370E"/>
    <w:rsid w:val="00FD3A4D"/>
    <w:rsid w:val="00FD5FB5"/>
    <w:rsid w:val="00FE018A"/>
    <w:rsid w:val="00FE305C"/>
    <w:rsid w:val="00FE7D5F"/>
    <w:rsid w:val="00FF0301"/>
    <w:rsid w:val="00FF112B"/>
    <w:rsid w:val="00FF3A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FC"/>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character" w:customStyle="1" w:styleId="PLChar">
    <w:name w:val="PL Char"/>
    <w:link w:val="PL"/>
    <w:qFormat/>
    <w:locked/>
    <w:rsid w:val="0052656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26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861AD1"/>
    <w:rPr>
      <w:rFonts w:ascii="Arial" w:eastAsia="Times New Roman" w:hAnsi="Arial" w:cs="Arial"/>
      <w:sz w:val="18"/>
      <w:lang w:val="en-GB" w:eastAsia="ja-JP"/>
    </w:rPr>
  </w:style>
  <w:style w:type="paragraph" w:customStyle="1" w:styleId="TAL">
    <w:name w:val="TAL"/>
    <w:basedOn w:val="Normal"/>
    <w:link w:val="TALCar"/>
    <w:qFormat/>
    <w:rsid w:val="00861AD1"/>
    <w:pPr>
      <w:keepNext/>
      <w:keepLines/>
      <w:overflowPunct w:val="0"/>
      <w:autoSpaceDE w:val="0"/>
      <w:autoSpaceDN w:val="0"/>
      <w:adjustRightInd w:val="0"/>
    </w:pPr>
    <w:rPr>
      <w:rFonts w:ascii="Arial" w:hAnsi="Arial" w:cs="Arial"/>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19221">
      <w:bodyDiv w:val="1"/>
      <w:marLeft w:val="0"/>
      <w:marRight w:val="0"/>
      <w:marTop w:val="0"/>
      <w:marBottom w:val="0"/>
      <w:divBdr>
        <w:top w:val="none" w:sz="0" w:space="0" w:color="auto"/>
        <w:left w:val="none" w:sz="0" w:space="0" w:color="auto"/>
        <w:bottom w:val="none" w:sz="0" w:space="0" w:color="auto"/>
        <w:right w:val="none" w:sz="0" w:space="0" w:color="auto"/>
      </w:divBdr>
    </w:div>
    <w:div w:id="593591286">
      <w:bodyDiv w:val="1"/>
      <w:marLeft w:val="0"/>
      <w:marRight w:val="0"/>
      <w:marTop w:val="0"/>
      <w:marBottom w:val="0"/>
      <w:divBdr>
        <w:top w:val="none" w:sz="0" w:space="0" w:color="auto"/>
        <w:left w:val="none" w:sz="0" w:space="0" w:color="auto"/>
        <w:bottom w:val="none" w:sz="0" w:space="0" w:color="auto"/>
        <w:right w:val="none" w:sz="0" w:space="0" w:color="auto"/>
      </w:divBdr>
    </w:div>
    <w:div w:id="910116738">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156996719">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0671917">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 w:id="1822042789">
      <w:bodyDiv w:val="1"/>
      <w:marLeft w:val="0"/>
      <w:marRight w:val="0"/>
      <w:marTop w:val="0"/>
      <w:marBottom w:val="0"/>
      <w:divBdr>
        <w:top w:val="none" w:sz="0" w:space="0" w:color="auto"/>
        <w:left w:val="none" w:sz="0" w:space="0" w:color="auto"/>
        <w:bottom w:val="none" w:sz="0" w:space="0" w:color="auto"/>
        <w:right w:val="none" w:sz="0" w:space="0" w:color="auto"/>
      </w:divBdr>
    </w:div>
    <w:div w:id="187407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RBI5PAMIO524-1616901215-27024</_dlc_DocId>
    <HideFromDelve xmlns="71c5aaf6-e6ce-465b-b873-5148d2a4c105" xsi:nil="true"/>
    <Comments xmlns="3f2ce089-3858-4176-9a21-a30f9204848e" xsi:nil="true"/>
    <_dlc_DocIdUrl xmlns="71c5aaf6-e6ce-465b-b873-5148d2a4c105">
      <Url>https://nokia.sharepoint.com/sites/gxp/_layouts/15/DocIdRedir.aspx?ID=RBI5PAMIO524-1616901215-27024</Url>
      <Description>RBI5PAMIO524-1616901215-27024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C074F-9AF2-4738-A1BA-92B5E3A3F064}">
  <ds:schemaRefs>
    <ds:schemaRef ds:uri="http://schemas.microsoft.com/sharepoint/events"/>
  </ds:schemaRefs>
</ds:datastoreItem>
</file>

<file path=customXml/itemProps2.xml><?xml version="1.0" encoding="utf-8"?>
<ds:datastoreItem xmlns:ds="http://schemas.openxmlformats.org/officeDocument/2006/customXml" ds:itemID="{EC852F3D-3382-434F-B69A-DE6E4E8EFFD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7037933-3F33-444A-AAFA-B654B5BDE416}">
  <ds:schemaRefs>
    <ds:schemaRef ds:uri="http://schemas.microsoft.com/sharepoint/v3/contenttype/forms"/>
  </ds:schemaRefs>
</ds:datastoreItem>
</file>

<file path=customXml/itemProps4.xml><?xml version="1.0" encoding="utf-8"?>
<ds:datastoreItem xmlns:ds="http://schemas.openxmlformats.org/officeDocument/2006/customXml" ds:itemID="{BADFD97A-C36B-4143-BBB7-E8C86FAD424F}">
  <ds:schemaRefs>
    <ds:schemaRef ds:uri="Microsoft.SharePoint.Taxonomy.ContentTypeSync"/>
  </ds:schemaRefs>
</ds:datastoreItem>
</file>

<file path=customXml/itemProps5.xml><?xml version="1.0" encoding="utf-8"?>
<ds:datastoreItem xmlns:ds="http://schemas.openxmlformats.org/officeDocument/2006/customXml" ds:itemID="{3E1F6422-2648-411C-8D2A-9F3EC7118105}"/>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CharactersWithSpaces>
  <SharedDoc>false</SharedDoc>
  <HLinks>
    <vt:vector size="54" baseType="variant">
      <vt:variant>
        <vt:i4>2031666</vt:i4>
      </vt:variant>
      <vt:variant>
        <vt:i4>41</vt:i4>
      </vt:variant>
      <vt:variant>
        <vt:i4>0</vt:i4>
      </vt:variant>
      <vt:variant>
        <vt:i4>5</vt:i4>
      </vt:variant>
      <vt:variant>
        <vt:lpwstr/>
      </vt:variant>
      <vt:variant>
        <vt:lpwstr>_Toc170817205</vt:lpwstr>
      </vt:variant>
      <vt:variant>
        <vt:i4>2031666</vt:i4>
      </vt:variant>
      <vt:variant>
        <vt:i4>38</vt:i4>
      </vt:variant>
      <vt:variant>
        <vt:i4>0</vt:i4>
      </vt:variant>
      <vt:variant>
        <vt:i4>5</vt:i4>
      </vt:variant>
      <vt:variant>
        <vt:lpwstr/>
      </vt:variant>
      <vt:variant>
        <vt:lpwstr>_Toc170817204</vt:lpwstr>
      </vt:variant>
      <vt:variant>
        <vt:i4>2031666</vt:i4>
      </vt:variant>
      <vt:variant>
        <vt:i4>35</vt:i4>
      </vt:variant>
      <vt:variant>
        <vt:i4>0</vt:i4>
      </vt:variant>
      <vt:variant>
        <vt:i4>5</vt:i4>
      </vt:variant>
      <vt:variant>
        <vt:lpwstr/>
      </vt:variant>
      <vt:variant>
        <vt:lpwstr>_Toc170817203</vt:lpwstr>
      </vt:variant>
      <vt:variant>
        <vt:i4>2031666</vt:i4>
      </vt:variant>
      <vt:variant>
        <vt:i4>32</vt:i4>
      </vt:variant>
      <vt:variant>
        <vt:i4>0</vt:i4>
      </vt:variant>
      <vt:variant>
        <vt:i4>5</vt:i4>
      </vt:variant>
      <vt:variant>
        <vt:lpwstr/>
      </vt:variant>
      <vt:variant>
        <vt:lpwstr>_Toc170817202</vt:lpwstr>
      </vt:variant>
      <vt:variant>
        <vt:i4>2031666</vt:i4>
      </vt:variant>
      <vt:variant>
        <vt:i4>29</vt:i4>
      </vt:variant>
      <vt:variant>
        <vt:i4>0</vt:i4>
      </vt:variant>
      <vt:variant>
        <vt:i4>5</vt:i4>
      </vt:variant>
      <vt:variant>
        <vt:lpwstr/>
      </vt:variant>
      <vt:variant>
        <vt:lpwstr>_Toc170817201</vt:lpwstr>
      </vt:variant>
      <vt:variant>
        <vt:i4>2031666</vt:i4>
      </vt:variant>
      <vt:variant>
        <vt:i4>26</vt:i4>
      </vt:variant>
      <vt:variant>
        <vt:i4>0</vt:i4>
      </vt:variant>
      <vt:variant>
        <vt:i4>5</vt:i4>
      </vt:variant>
      <vt:variant>
        <vt:lpwstr/>
      </vt:variant>
      <vt:variant>
        <vt:lpwstr>_Toc170817200</vt:lpwstr>
      </vt:variant>
      <vt:variant>
        <vt:i4>1441841</vt:i4>
      </vt:variant>
      <vt:variant>
        <vt:i4>23</vt:i4>
      </vt:variant>
      <vt:variant>
        <vt:i4>0</vt:i4>
      </vt:variant>
      <vt:variant>
        <vt:i4>5</vt:i4>
      </vt:variant>
      <vt:variant>
        <vt:lpwstr/>
      </vt:variant>
      <vt:variant>
        <vt:lpwstr>_Toc170817199</vt:lpwstr>
      </vt:variant>
      <vt:variant>
        <vt:i4>1441841</vt:i4>
      </vt:variant>
      <vt:variant>
        <vt:i4>20</vt:i4>
      </vt:variant>
      <vt:variant>
        <vt:i4>0</vt:i4>
      </vt:variant>
      <vt:variant>
        <vt:i4>5</vt:i4>
      </vt:variant>
      <vt:variant>
        <vt:lpwstr/>
      </vt:variant>
      <vt:variant>
        <vt:lpwstr>_Toc170817198</vt:lpwstr>
      </vt:variant>
      <vt:variant>
        <vt:i4>1441841</vt:i4>
      </vt:variant>
      <vt:variant>
        <vt:i4>17</vt:i4>
      </vt:variant>
      <vt:variant>
        <vt:i4>0</vt:i4>
      </vt:variant>
      <vt:variant>
        <vt:i4>5</vt:i4>
      </vt:variant>
      <vt:variant>
        <vt:lpwstr/>
      </vt:variant>
      <vt:variant>
        <vt:lpwstr>_Toc170817197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2024-08-09T13:39:00Z</dcterms:created>
  <dcterms:modified xsi:type="dcterms:W3CDTF">2024-08-09T13:39:00Z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4521b15a-7d08-4d22-9d8e-3195be54fd8d</vt:lpwstr>
  </property>
</Properties>
</file>