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spacing w:before="60" w:after="60"/>
        <w:outlineLvl w:val="0"/>
        <w:rPr>
          <w:rFonts w:hint="default" w:ascii="Arial" w:hAnsi="Arial" w:eastAsia="宋体" w:cs="Arial"/>
          <w:b/>
          <w:kern w:val="0"/>
          <w:sz w:val="24"/>
          <w:szCs w:val="24"/>
          <w:lang w:val="en-US" w:eastAsia="zh-CN" w:bidi="ar-SA"/>
        </w:rPr>
      </w:pPr>
      <w:bookmarkStart w:id="0" w:name="DocumentFor"/>
      <w:bookmarkEnd w:id="0"/>
      <w:bookmarkStart w:id="1" w:name="Title"/>
      <w:bookmarkEnd w:id="1"/>
      <w:r>
        <w:rPr>
          <w:rFonts w:ascii="Arial" w:hAnsi="Arial" w:eastAsia="宋体" w:cs="Arial"/>
          <w:b/>
          <w:kern w:val="0"/>
          <w:sz w:val="24"/>
          <w:szCs w:val="24"/>
          <w:lang w:val="en-US" w:eastAsia="zh-CN" w:bidi="ar-SA"/>
        </w:rPr>
        <w:t>3GPP TSG-RAN WG4 Meeting #112</w:t>
      </w:r>
      <w:r>
        <w:rPr>
          <w:rFonts w:hint="eastAsia" w:ascii="Arial" w:hAnsi="Arial" w:eastAsia="宋体" w:cs="Arial"/>
          <w:b/>
          <w:kern w:val="0"/>
          <w:sz w:val="24"/>
          <w:szCs w:val="24"/>
          <w:lang w:val="en-US" w:eastAsia="zh-CN" w:bidi="ar-SA"/>
        </w:rPr>
        <w:tab/>
      </w:r>
      <w:r>
        <w:rPr>
          <w:rFonts w:ascii="Arial" w:hAnsi="Arial" w:eastAsia="宋体" w:cs="Arial"/>
          <w:b/>
          <w:kern w:val="0"/>
          <w:sz w:val="24"/>
          <w:szCs w:val="24"/>
          <w:lang w:val="en-US" w:eastAsia="zh-CN" w:bidi="ar-SA"/>
        </w:rPr>
        <w:t>R4-24</w:t>
      </w:r>
      <w:r>
        <w:rPr>
          <w:rFonts w:hint="eastAsia" w:ascii="Arial" w:hAnsi="Arial" w:cs="Arial"/>
          <w:b/>
          <w:kern w:val="0"/>
          <w:sz w:val="24"/>
          <w:szCs w:val="24"/>
          <w:lang w:val="en-US" w:eastAsia="zh-CN" w:bidi="ar-SA"/>
        </w:rPr>
        <w:t>11769</w:t>
      </w:r>
      <w:bookmarkStart w:id="2" w:name="_GoBack"/>
      <w:bookmarkEnd w:id="2"/>
    </w:p>
    <w:p>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Maastricht</w:t>
      </w:r>
      <w:r>
        <w:rPr>
          <w:rFonts w:hint="eastAsia" w:ascii="Arial" w:hAnsi="Arial" w:eastAsia="宋体" w:cs="Arial"/>
          <w:b/>
          <w:kern w:val="0"/>
          <w:sz w:val="24"/>
          <w:szCs w:val="24"/>
          <w:lang w:val="en-US" w:eastAsia="zh-CN" w:bidi="ar-SA"/>
        </w:rPr>
        <w:t>,</w:t>
      </w:r>
      <w:r>
        <w:rPr>
          <w:rFonts w:ascii="Arial" w:hAnsi="Arial" w:eastAsia="宋体" w:cs="Arial"/>
          <w:b/>
          <w:kern w:val="0"/>
          <w:sz w:val="24"/>
          <w:szCs w:val="24"/>
          <w:lang w:val="en-US" w:eastAsia="zh-CN" w:bidi="ar-SA"/>
        </w:rPr>
        <w:t xml:space="preserve"> Netherlands, 19</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23</w:t>
      </w:r>
      <w:r>
        <w:rPr>
          <w:rFonts w:ascii="Arial" w:hAnsi="Arial" w:eastAsia="宋体" w:cs="Arial"/>
          <w:b/>
          <w:kern w:val="0"/>
          <w:sz w:val="24"/>
          <w:szCs w:val="24"/>
          <w:vertAlign w:val="superscript"/>
          <w:lang w:val="en-US" w:eastAsia="zh-CN" w:bidi="ar-SA"/>
        </w:rPr>
        <w:t>rd</w:t>
      </w:r>
      <w:r>
        <w:rPr>
          <w:rFonts w:ascii="Arial" w:hAnsi="Arial" w:eastAsia="宋体" w:cs="Arial"/>
          <w:b/>
          <w:kern w:val="0"/>
          <w:sz w:val="24"/>
          <w:szCs w:val="24"/>
          <w:lang w:val="en-US" w:eastAsia="zh-CN" w:bidi="ar-SA"/>
        </w:rPr>
        <w:t xml:space="preserve"> August, 2024</w:t>
      </w:r>
    </w:p>
    <w:p>
      <w:pPr>
        <w:bidi w:val="0"/>
        <w:rPr>
          <w:rFonts w:hint="default" w:ascii="Arial" w:hAnsi="Arial" w:cs="Arial"/>
          <w:b/>
          <w:bCs/>
          <w:sz w:val="24"/>
          <w:szCs w:val="28"/>
          <w:lang w:val="en-US" w:eastAsia="zh-CN"/>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highlight w:val="none"/>
          <w:lang w:val="en-US" w:eastAsia="zh-CN"/>
        </w:rPr>
        <w:t>8.20.3.3</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A-IoT intermediate UE RF requirements</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hint="eastAsia" w:ascii="Times New Roman" w:hAnsi="Times New Roman"/>
          <w:sz w:val="20"/>
          <w:lang w:val="en-US" w:eastAsia="zh-CN"/>
        </w:rPr>
      </w:pPr>
      <w:r>
        <w:rPr>
          <w:rFonts w:hint="eastAsia" w:ascii="Times New Roman" w:hAnsi="Times New Roman"/>
          <w:sz w:val="20"/>
          <w:lang w:val="en-US" w:eastAsia="zh-CN"/>
        </w:rPr>
        <w:t>In RAN plenary #102 meeting, a new SID[1] of A-IoT is approved with following RAN4 lead RF part objectives:</w:t>
      </w:r>
    </w:p>
    <w:p>
      <w:pPr>
        <w:numPr>
          <w:ilvl w:val="0"/>
          <w:numId w:val="1"/>
        </w:numPr>
        <w:spacing w:after="180"/>
        <w:ind w:left="72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Coexistence study of Ambient IoT and NR/LTE.</w:t>
      </w:r>
    </w:p>
    <w:p>
      <w:pPr>
        <w:numPr>
          <w:ilvl w:val="0"/>
          <w:numId w:val="1"/>
        </w:numPr>
        <w:spacing w:after="180"/>
        <w:ind w:left="72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RF requirements study for Ambient IoT:</w:t>
      </w:r>
    </w:p>
    <w:p>
      <w:pPr>
        <w:numPr>
          <w:ilvl w:val="1"/>
          <w:numId w:val="1"/>
        </w:numPr>
        <w:spacing w:after="180"/>
        <w:ind w:left="144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Ambient IoT BS transmission and reception</w:t>
      </w:r>
    </w:p>
    <w:p>
      <w:pPr>
        <w:numPr>
          <w:ilvl w:val="1"/>
          <w:numId w:val="1"/>
        </w:numPr>
        <w:spacing w:after="180"/>
        <w:ind w:left="144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Ambient IoT Device, as per the General Scope, transmission and reception</w:t>
      </w:r>
    </w:p>
    <w:p>
      <w:pPr>
        <w:numPr>
          <w:ilvl w:val="1"/>
          <w:numId w:val="1"/>
        </w:numPr>
        <w:spacing w:after="180"/>
        <w:ind w:left="144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Intermediate node (UE), as per the General Scope, transmission and reception</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0"/>
        <w:ind w:left="0" w:leftChars="0"/>
        <w:textAlignment w:val="auto"/>
        <w:rPr>
          <w:rFonts w:hint="default" w:ascii="Times New Roman" w:hAnsi="Times New Roman" w:eastAsia="宋体"/>
          <w:sz w:val="20"/>
          <w:lang w:val="en-US" w:eastAsia="zh-CN"/>
        </w:rPr>
      </w:pPr>
      <w:r>
        <w:rPr>
          <w:rFonts w:hint="eastAsia" w:ascii="Times New Roman" w:hAnsi="Times New Roman" w:cs="Times New Roman"/>
          <w:bCs/>
          <w:sz w:val="20"/>
          <w:szCs w:val="20"/>
          <w:lang w:val="en-US" w:eastAsia="zh-CN"/>
        </w:rPr>
        <w:t xml:space="preserve">Following we list our analysis for A-IoT intermediate UE RF requirements. </w:t>
      </w:r>
    </w:p>
    <w:p>
      <w:pPr>
        <w:keepNext/>
        <w:keepLines/>
        <w:widowControl/>
        <w:numPr>
          <w:ilvl w:val="0"/>
          <w:numId w:val="2"/>
        </w:numPr>
        <w:pBdr>
          <w:top w:val="single" w:color="auto" w:sz="12" w:space="1"/>
        </w:pBdr>
        <w:tabs>
          <w:tab w:val="left" w:pos="567"/>
        </w:tabs>
        <w:adjustRightInd w:val="0"/>
        <w:spacing w:before="240" w:after="180"/>
        <w:ind w:left="510" w:hanging="510"/>
        <w:outlineLvl w:val="0"/>
        <w:rPr>
          <w:rFonts w:hint="eastAsia" w:ascii="Arial" w:hAnsi="Arial" w:eastAsiaTheme="minorEastAsia" w:cstheme="minorBidi"/>
          <w:sz w:val="32"/>
          <w:szCs w:val="36"/>
        </w:rPr>
      </w:pPr>
      <w:r>
        <w:rPr>
          <w:rFonts w:hint="eastAsia" w:ascii="Arial" w:hAnsi="Arial" w:eastAsiaTheme="minorEastAsia" w:cstheme="minorBidi"/>
          <w:sz w:val="32"/>
          <w:szCs w:val="36"/>
        </w:rPr>
        <w:t>Discussion</w:t>
      </w:r>
    </w:p>
    <w:p>
      <w:pPr>
        <w:widowControl w:val="0"/>
        <w:numPr>
          <w:ilvl w:val="0"/>
          <w:numId w:val="0"/>
        </w:numPr>
        <w:spacing w:after="180"/>
        <w:ind w:leftChars="0"/>
        <w:jc w:val="left"/>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Different from reader of topology 1 which only act like reader, intermediate UE also need to connects to gNB to receive controlling signal. From this point of view, it has to follow current UE specs.</w:t>
      </w:r>
    </w:p>
    <w:p>
      <w:pPr>
        <w:widowControl w:val="0"/>
        <w:numPr>
          <w:ilvl w:val="0"/>
          <w:numId w:val="0"/>
        </w:numPr>
        <w:spacing w:after="180"/>
        <w:ind w:leftChars="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1: intermediate UE should following current UE RF requirements when it connect to controlling gNB.</w:t>
      </w:r>
    </w:p>
    <w:p>
      <w:pPr>
        <w:widowControl w:val="0"/>
        <w:numPr>
          <w:ilvl w:val="0"/>
          <w:numId w:val="0"/>
        </w:numPr>
        <w:spacing w:after="180"/>
        <w:ind w:leftChars="0"/>
        <w:jc w:val="left"/>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Another issue is whether we need to separately test RF requirements when intermediate UE acts like UE and acts like reader even if certain RF requirements are the same. Considering signal and functionality are totally different,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better to separately testing RF requirements.</w:t>
      </w:r>
    </w:p>
    <w:p>
      <w:pPr>
        <w:widowControl w:val="0"/>
        <w:numPr>
          <w:ilvl w:val="0"/>
          <w:numId w:val="0"/>
        </w:numPr>
        <w:spacing w:after="180"/>
        <w:ind w:leftChars="0"/>
        <w:jc w:val="left"/>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2: it</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s suggested to separately testing intermediate UE when it acts like UE and when it acts like reader even if certain RF requirements are the same.</w:t>
      </w:r>
    </w:p>
    <w:p>
      <w:pPr>
        <w:pStyle w:val="4"/>
        <w:bidi w:val="0"/>
        <w:rPr>
          <w:rFonts w:hint="default" w:ascii="Arial" w:hAnsi="Arial" w:eastAsiaTheme="minorEastAsia" w:cstheme="minorBidi"/>
          <w:sz w:val="32"/>
          <w:szCs w:val="36"/>
          <w:lang w:val="en-US"/>
        </w:rPr>
      </w:pPr>
      <w:r>
        <w:rPr>
          <w:rFonts w:hint="eastAsia"/>
          <w:lang w:val="en-US" w:eastAsia="zh-CN"/>
        </w:rPr>
        <w:t>2.1 A-IoT intermediate UE system parameter</w:t>
      </w:r>
    </w:p>
    <w:p>
      <w:pPr>
        <w:numPr>
          <w:ilvl w:val="0"/>
          <w:numId w:val="3"/>
        </w:numPr>
        <w:spacing w:after="180"/>
        <w:ind w:left="420" w:leftChars="0" w:hanging="420" w:firstLine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Operation bands</w:t>
      </w:r>
    </w:p>
    <w:p>
      <w:pPr>
        <w:widowControl w:val="0"/>
        <w:numPr>
          <w:ilvl w:val="0"/>
          <w:numId w:val="0"/>
        </w:num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There are some band specific requirements in UE spec. For A-IoT intermediate UE RF requirements analysis,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 xml:space="preserve">s better to find out the example bands for the band specific requirements, e.g. NF related requirements. According to last meeting discussion, 900MHz is listed as the high priority for co-existence analysis. 900MHz n8 could be listed as example band. </w:t>
      </w:r>
    </w:p>
    <w:p>
      <w:pPr>
        <w:widowControl w:val="0"/>
        <w:numPr>
          <w:ilvl w:val="0"/>
          <w:numId w:val="0"/>
        </w:numPr>
        <w:spacing w:after="180"/>
        <w:jc w:val="left"/>
        <w:rPr>
          <w:rFonts w:hint="eastAsia"/>
          <w:b/>
          <w:bCs/>
          <w:lang w:val="en-US" w:eastAsia="zh-CN"/>
        </w:rPr>
      </w:pPr>
      <w:r>
        <w:rPr>
          <w:rFonts w:hint="eastAsia" w:ascii="Times New Roman" w:hAnsi="Times New Roman"/>
          <w:b/>
          <w:bCs/>
          <w:sz w:val="20"/>
          <w:szCs w:val="20"/>
          <w:lang w:val="en-US" w:eastAsia="zh-CN"/>
        </w:rPr>
        <w:t>Proposal 3: for intermediate UE band specific RF requirement analysis,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s suggested to only use n8(900MHz) as example band. </w:t>
      </w:r>
      <w:r>
        <w:rPr>
          <w:rFonts w:hint="eastAsia"/>
          <w:b/>
          <w:bCs/>
          <w:lang w:val="en-US" w:eastAsia="zh-CN"/>
        </w:rPr>
        <w:t xml:space="preserve"> </w:t>
      </w:r>
    </w:p>
    <w:p>
      <w:pPr>
        <w:pStyle w:val="4"/>
        <w:bidi w:val="0"/>
        <w:rPr>
          <w:rFonts w:hint="eastAsia"/>
          <w:lang w:val="en-US" w:eastAsia="zh-CN"/>
        </w:rPr>
      </w:pPr>
      <w:r>
        <w:rPr>
          <w:rFonts w:hint="eastAsia"/>
          <w:lang w:val="en-US" w:eastAsia="zh-CN"/>
        </w:rPr>
        <w:t>2.2 A-IoT intermediate UE Tx requirement</w:t>
      </w:r>
    </w:p>
    <w:p>
      <w:pPr>
        <w:widowControl w:val="0"/>
        <w:numPr>
          <w:ilvl w:val="0"/>
          <w:numId w:val="0"/>
        </w:num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Following lists last meeting agreements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sz w:val="20"/>
                <w:szCs w:val="20"/>
                <w:lang w:val="sv-SE"/>
              </w:rPr>
            </w:pPr>
            <w:r>
              <w:rPr>
                <w:rFonts w:hint="default" w:ascii="Times New Roman" w:hAnsi="Times New Roman" w:cs="Times New Roman"/>
                <w:sz w:val="20"/>
                <w:szCs w:val="20"/>
                <w:lang w:val="sv-SE" w:eastAsia="zh-CN"/>
              </w:rPr>
              <w:t>Agreement:</w:t>
            </w:r>
          </w:p>
          <w:p>
            <w:pPr>
              <w:pStyle w:val="25"/>
              <w:numPr>
                <w:ilvl w:val="0"/>
                <w:numId w:val="4"/>
              </w:numPr>
              <w:spacing w:before="120" w:line="240" w:lineRule="auto"/>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Use the following table as starting point for RF requirements impact study. The table is for information.</w:t>
            </w:r>
          </w:p>
          <w:p>
            <w:pPr>
              <w:tabs>
                <w:tab w:val="left" w:pos="2127"/>
              </w:tabs>
              <w:spacing w:before="120" w:after="0" w:line="280" w:lineRule="atLeast"/>
              <w:jc w:val="center"/>
              <w:rPr>
                <w:rFonts w:hint="default" w:ascii="Times New Roman" w:hAnsi="Times New Roman" w:cs="Times New Roman"/>
                <w:sz w:val="20"/>
                <w:szCs w:val="20"/>
              </w:rPr>
            </w:pPr>
          </w:p>
          <w:tbl>
            <w:tblPr>
              <w:tblStyle w:val="17"/>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9"/>
              <w:gridCol w:w="3460"/>
              <w:gridCol w:w="4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808" w:type="dxa"/>
                  <w:gridSpan w:val="3"/>
                </w:tcPr>
                <w:p>
                  <w:pPr>
                    <w:overflowPunct w:val="0"/>
                    <w:autoSpaceDE w:val="0"/>
                    <w:autoSpaceDN w:val="0"/>
                    <w:adjustRightInd w:val="0"/>
                    <w:spacing w:before="120" w:line="280" w:lineRule="atLeast"/>
                    <w:jc w:val="center"/>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b/>
                      <w:bCs/>
                      <w:sz w:val="20"/>
                      <w:szCs w:val="20"/>
                    </w:rPr>
                    <w:t>RF Requirement for A</w:t>
                  </w:r>
                  <w:r>
                    <w:rPr>
                      <w:rFonts w:hint="default" w:ascii="Times New Roman" w:hAnsi="Times New Roman" w:cs="Times New Roman" w:eastAsiaTheme="minorEastAsia"/>
                      <w:b/>
                      <w:bCs/>
                      <w:sz w:val="20"/>
                      <w:szCs w:val="20"/>
                      <w:lang w:eastAsia="zh-CN"/>
                    </w:rPr>
                    <w:t>-</w:t>
                  </w:r>
                  <w:r>
                    <w:rPr>
                      <w:rFonts w:hint="default" w:ascii="Times New Roman" w:hAnsi="Times New Roman" w:eastAsia="Yu Mincho" w:cs="Times New Roman"/>
                      <w:b/>
                      <w:bCs/>
                      <w:sz w:val="20"/>
                      <w:szCs w:val="20"/>
                    </w:rPr>
                    <w:t xml:space="preserve">IoT intermediate UE- TX </w:t>
                  </w:r>
                  <w:r>
                    <w:rPr>
                      <w:rFonts w:hint="default" w:ascii="Times New Roman" w:hAnsi="Times New Roman" w:eastAsia="宋体" w:cs="Times New Roman"/>
                      <w:b/>
                      <w:bCs/>
                      <w:sz w:val="20"/>
                      <w:szCs w:val="20"/>
                      <w:lang w:val="en-US" w:eastAsia="zh-CN"/>
                    </w:rPr>
                    <w:t>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1569" w:type="dxa"/>
                  <w:vMerge w:val="restart"/>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val="en-US" w:eastAsia="zh-CN"/>
                    </w:rPr>
                  </w:pPr>
                  <w:r>
                    <w:rPr>
                      <w:rFonts w:hint="default" w:ascii="Times New Roman" w:hAnsi="Times New Roman" w:eastAsia="Yu Mincho" w:cs="Times New Roman"/>
                      <w:sz w:val="20"/>
                      <w:szCs w:val="20"/>
                    </w:rPr>
                    <w:t>TX requirement</w:t>
                  </w:r>
                </w:p>
              </w:tc>
              <w:tc>
                <w:tcPr>
                  <w:tcW w:w="3460"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lang w:val="en-US" w:eastAsia="zh-CN"/>
                    </w:rPr>
                    <w:t>Maximum output power</w:t>
                  </w:r>
                  <w:r>
                    <w:rPr>
                      <w:rFonts w:hint="default" w:ascii="Times New Roman" w:hAnsi="Times New Roman" w:eastAsia="宋体" w:cs="Times New Roman"/>
                      <w:sz w:val="20"/>
                      <w:szCs w:val="20"/>
                      <w:lang w:val="en-US" w:eastAsia="zh-CN"/>
                    </w:rPr>
                    <w:t xml:space="preserve"> </w:t>
                  </w:r>
                </w:p>
              </w:tc>
              <w:tc>
                <w:tcPr>
                  <w:tcW w:w="4777" w:type="dxa"/>
                </w:tcPr>
                <w:p>
                  <w:pPr>
                    <w:overflowPunct w:val="0"/>
                    <w:autoSpaceDE w:val="0"/>
                    <w:autoSpaceDN w:val="0"/>
                    <w:adjustRightInd w:val="0"/>
                    <w:spacing w:before="120" w:line="280" w:lineRule="atLeast"/>
                    <w:textAlignment w:val="baseline"/>
                    <w:rPr>
                      <w:rFonts w:hint="default" w:ascii="Times New Roman" w:hAnsi="Times New Roman" w:cs="Times New Roman" w:eastAsiaTheme="minor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1569"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val="en-US" w:eastAsia="zh-CN"/>
                    </w:rPr>
                  </w:pPr>
                </w:p>
              </w:tc>
              <w:tc>
                <w:tcPr>
                  <w:tcW w:w="3460"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宋体" w:cs="Times New Roman"/>
                      <w:sz w:val="20"/>
                      <w:szCs w:val="20"/>
                      <w:lang w:val="en-US" w:eastAsia="zh-CN"/>
                    </w:rPr>
                    <w:t>Output power dynamics</w:t>
                  </w:r>
                </w:p>
              </w:tc>
              <w:tc>
                <w:tcPr>
                  <w:tcW w:w="4777" w:type="dxa"/>
                </w:tcPr>
                <w:p>
                  <w:pPr>
                    <w:overflowPunct w:val="0"/>
                    <w:autoSpaceDE w:val="0"/>
                    <w:autoSpaceDN w:val="0"/>
                    <w:adjustRightInd w:val="0"/>
                    <w:spacing w:before="120" w:line="280" w:lineRule="atLeast"/>
                    <w:textAlignment w:val="baseline"/>
                    <w:rPr>
                      <w:rFonts w:hint="default" w:ascii="Times New Roman" w:hAnsi="Times New Roman" w:eastAsia="宋体" w:cs="Times New Roman"/>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1569"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val="en-US" w:eastAsia="zh-CN"/>
                    </w:rPr>
                  </w:pPr>
                </w:p>
              </w:tc>
              <w:tc>
                <w:tcPr>
                  <w:tcW w:w="3460"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宋体" w:cs="Times New Roman"/>
                      <w:sz w:val="20"/>
                      <w:szCs w:val="20"/>
                      <w:lang w:val="en-US" w:eastAsia="zh-CN"/>
                    </w:rPr>
                    <w:t>Transmit ON/OFF power</w:t>
                  </w:r>
                </w:p>
              </w:tc>
              <w:tc>
                <w:tcPr>
                  <w:tcW w:w="4777"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1569"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val="en-US" w:eastAsia="zh-CN"/>
                    </w:rPr>
                  </w:pPr>
                </w:p>
              </w:tc>
              <w:tc>
                <w:tcPr>
                  <w:tcW w:w="3460"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宋体" w:cs="Times New Roman"/>
                      <w:sz w:val="20"/>
                      <w:szCs w:val="20"/>
                      <w:lang w:val="en-US" w:eastAsia="zh-CN"/>
                    </w:rPr>
                    <w:t>Transmitted signal quality</w:t>
                  </w:r>
                </w:p>
              </w:tc>
              <w:tc>
                <w:tcPr>
                  <w:tcW w:w="4777" w:type="dxa"/>
                </w:tcPr>
                <w:p>
                  <w:pPr>
                    <w:tabs>
                      <w:tab w:val="left" w:pos="737"/>
                    </w:tabs>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1569"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c>
                <w:tcPr>
                  <w:tcW w:w="3460"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val="en-US" w:eastAsia="zh-CN"/>
                    </w:rPr>
                  </w:pPr>
                  <w:r>
                    <w:rPr>
                      <w:rFonts w:hint="default" w:ascii="Times New Roman" w:hAnsi="Times New Roman" w:eastAsia="Yu Mincho" w:cs="Times New Roman"/>
                      <w:sz w:val="20"/>
                      <w:szCs w:val="20"/>
                    </w:rPr>
                    <w:t>Transmission times</w:t>
                  </w:r>
                </w:p>
              </w:tc>
              <w:tc>
                <w:tcPr>
                  <w:tcW w:w="4777" w:type="dxa"/>
                </w:tcPr>
                <w:p>
                  <w:pPr>
                    <w:overflowPunct w:val="0"/>
                    <w:autoSpaceDE w:val="0"/>
                    <w:autoSpaceDN w:val="0"/>
                    <w:adjustRightInd w:val="0"/>
                    <w:spacing w:before="120" w:after="120" w:line="280" w:lineRule="atLeast"/>
                    <w:textAlignment w:val="baseline"/>
                    <w:rPr>
                      <w:rFonts w:hint="default" w:ascii="Times New Roman" w:hAnsi="Times New Roman" w:eastAsia="Yu Mincho" w:cs="Times New Roman"/>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1569"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val="en-US" w:eastAsia="zh-CN"/>
                    </w:rPr>
                  </w:pPr>
                </w:p>
              </w:tc>
              <w:tc>
                <w:tcPr>
                  <w:tcW w:w="3460"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lang w:val="en-US" w:eastAsia="zh-CN"/>
                    </w:rPr>
                    <w:t>Occupied bandwidth</w:t>
                  </w:r>
                </w:p>
              </w:tc>
              <w:tc>
                <w:tcPr>
                  <w:tcW w:w="4777"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1569"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val="en-US" w:eastAsia="zh-CN"/>
                    </w:rPr>
                  </w:pPr>
                </w:p>
              </w:tc>
              <w:tc>
                <w:tcPr>
                  <w:tcW w:w="3460"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宋体" w:cs="Times New Roman"/>
                      <w:sz w:val="20"/>
                      <w:szCs w:val="20"/>
                      <w:lang w:val="en-US" w:eastAsia="zh-CN"/>
                    </w:rPr>
                    <w:t>Tx intermodulation</w:t>
                  </w:r>
                </w:p>
              </w:tc>
              <w:tc>
                <w:tcPr>
                  <w:tcW w:w="4777"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1569"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val="en-US" w:eastAsia="zh-CN"/>
                    </w:rPr>
                  </w:pPr>
                </w:p>
              </w:tc>
              <w:tc>
                <w:tcPr>
                  <w:tcW w:w="3460"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宋体" w:cs="Times New Roman"/>
                      <w:sz w:val="20"/>
                      <w:szCs w:val="20"/>
                      <w:lang w:val="en-US" w:eastAsia="zh-CN"/>
                    </w:rPr>
                    <w:t>ACLR</w:t>
                  </w:r>
                </w:p>
              </w:tc>
              <w:tc>
                <w:tcPr>
                  <w:tcW w:w="4777"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1569"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val="en-US" w:eastAsia="zh-CN"/>
                    </w:rPr>
                  </w:pPr>
                </w:p>
              </w:tc>
              <w:tc>
                <w:tcPr>
                  <w:tcW w:w="3460"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宋体" w:cs="Times New Roman"/>
                      <w:sz w:val="20"/>
                      <w:szCs w:val="20"/>
                      <w:lang w:val="en-US" w:eastAsia="zh-CN"/>
                    </w:rPr>
                    <w:t>Operating band unwanted emissions</w:t>
                  </w:r>
                  <w:r>
                    <w:rPr>
                      <w:rFonts w:hint="default" w:ascii="Times New Roman" w:hAnsi="Times New Roman" w:eastAsia="宋体" w:cs="Times New Roman"/>
                      <w:sz w:val="20"/>
                      <w:szCs w:val="20"/>
                      <w:lang w:val="en-US" w:eastAsia="zh-CN"/>
                    </w:rPr>
                    <w:tab/>
                  </w:r>
                </w:p>
              </w:tc>
              <w:tc>
                <w:tcPr>
                  <w:tcW w:w="4777"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1569"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val="en-US" w:eastAsia="zh-CN"/>
                    </w:rPr>
                  </w:pPr>
                </w:p>
              </w:tc>
              <w:tc>
                <w:tcPr>
                  <w:tcW w:w="3460"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宋体" w:cs="Times New Roman"/>
                      <w:sz w:val="20"/>
                      <w:szCs w:val="20"/>
                      <w:lang w:val="en-US" w:eastAsia="zh-CN"/>
                    </w:rPr>
                    <w:t>Transmitter spurious emissions</w:t>
                  </w:r>
                </w:p>
              </w:tc>
              <w:tc>
                <w:tcPr>
                  <w:tcW w:w="4777"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bl>
          <w:p>
            <w:pPr>
              <w:widowControl w:val="0"/>
              <w:numPr>
                <w:ilvl w:val="0"/>
                <w:numId w:val="0"/>
              </w:numPr>
              <w:spacing w:before="120" w:after="180" w:line="280" w:lineRule="atLeast"/>
              <w:jc w:val="left"/>
              <w:rPr>
                <w:rFonts w:hint="default" w:ascii="Times New Roman" w:hAnsi="Times New Roman" w:cs="Times New Roman"/>
                <w:b w:val="0"/>
                <w:bCs w:val="0"/>
                <w:sz w:val="20"/>
                <w:szCs w:val="20"/>
                <w:vertAlign w:val="baseline"/>
                <w:lang w:val="en-US" w:eastAsia="zh-CN"/>
              </w:rPr>
            </w:pPr>
          </w:p>
        </w:tc>
      </w:tr>
    </w:tbl>
    <w:p>
      <w:pPr>
        <w:widowControl w:val="0"/>
        <w:numPr>
          <w:ilvl w:val="0"/>
          <w:numId w:val="0"/>
        </w:numPr>
        <w:spacing w:after="180"/>
        <w:jc w:val="left"/>
        <w:rPr>
          <w:rFonts w:hint="default" w:ascii="Times New Roman" w:hAnsi="Times New Roman"/>
          <w:b w:val="0"/>
          <w:bCs w:val="0"/>
          <w:sz w:val="20"/>
          <w:szCs w:val="20"/>
          <w:lang w:val="en-US" w:eastAsia="zh-CN"/>
        </w:rPr>
      </w:pPr>
    </w:p>
    <w:p>
      <w:pPr>
        <w:widowControl w:val="0"/>
        <w:numPr>
          <w:ilvl w:val="0"/>
          <w:numId w:val="0"/>
        </w:numPr>
        <w:spacing w:after="180"/>
        <w:jc w:val="left"/>
        <w:rPr>
          <w:rFonts w:hint="default" w:ascii="Times New Roman" w:hAnsi="Times New Roman"/>
          <w:b w:val="0"/>
          <w:bCs w:val="0"/>
          <w:sz w:val="20"/>
          <w:szCs w:val="20"/>
          <w:lang w:val="en-US" w:eastAsia="zh-CN"/>
        </w:rPr>
      </w:pPr>
    </w:p>
    <w:p>
      <w:pPr>
        <w:numPr>
          <w:ilvl w:val="0"/>
          <w:numId w:val="3"/>
        </w:numPr>
        <w:spacing w:after="180"/>
        <w:ind w:left="420" w:leftChars="0" w:hanging="420" w:firstLine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Reader power class</w:t>
      </w:r>
    </w:p>
    <w:p>
      <w:pPr>
        <w:widowControl w:val="0"/>
        <w:numPr>
          <w:ilvl w:val="0"/>
          <w:numId w:val="0"/>
        </w:numPr>
        <w:spacing w:after="180"/>
        <w:jc w:val="left"/>
        <w:rPr>
          <w:rFonts w:hint="default" w:ascii="Times New Roman" w:hAnsi="Times New Roman" w:eastAsia="宋体"/>
          <w:b w:val="0"/>
          <w:bCs w:val="0"/>
          <w:sz w:val="20"/>
          <w:szCs w:val="20"/>
          <w:lang w:val="en-US" w:eastAsia="zh-CN"/>
        </w:rPr>
      </w:pPr>
      <w:r>
        <w:rPr>
          <w:rFonts w:hint="eastAsia" w:ascii="Times New Roman" w:hAnsi="Times New Roman"/>
          <w:b w:val="0"/>
          <w:bCs w:val="0"/>
          <w:sz w:val="20"/>
          <w:szCs w:val="20"/>
          <w:highlight w:val="none"/>
          <w:lang w:val="en-US" w:eastAsia="zh-CN"/>
        </w:rPr>
        <w:t>According to link budget analysis from RAN1, except for D1T1-A2, for other deployment case, DL link is the coverage bottleneck compared with UL coverage. for D1T1-A2, UL coverage is the bottleneck due to self-interference. Fr</w:t>
      </w:r>
      <w:r>
        <w:rPr>
          <w:rFonts w:hint="eastAsia" w:ascii="Times New Roman" w:hAnsi="Times New Roman"/>
          <w:b w:val="0"/>
          <w:bCs w:val="0"/>
          <w:sz w:val="20"/>
          <w:szCs w:val="20"/>
          <w:lang w:val="en-US" w:eastAsia="zh-CN"/>
        </w:rPr>
        <w:t xml:space="preserve">om this point of view, it seems higher power class, e.g. PC1.5 is not that urgent in this release. </w:t>
      </w:r>
      <w:r>
        <w:rPr>
          <w:rFonts w:hint="eastAsia"/>
          <w:lang w:val="en-US" w:eastAsia="zh-CN"/>
        </w:rPr>
        <w:t xml:space="preserve"> </w:t>
      </w:r>
    </w:p>
    <w:p>
      <w:pPr>
        <w:widowControl w:val="0"/>
        <w:numPr>
          <w:ilvl w:val="0"/>
          <w:numId w:val="0"/>
        </w:numPr>
        <w:spacing w:after="18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PC1.5, in current spec, there is no FDD band supporting PC1.5. For intermediate UE, one issue is whether only limited to current supported max power class per operation band and other higher power class are not supported in this A-IoT WID. To reduce workload,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better to focus on current specified power class and when other higher power class are supported in spectrum related WID in future, we can further check the feasibility for A-IoT intermediate UE. Besides,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suggested to use PC3 as baseline and further discuss PC2 in work phase.</w:t>
      </w:r>
    </w:p>
    <w:p>
      <w:pPr>
        <w:widowControl w:val="0"/>
        <w:numPr>
          <w:ilvl w:val="0"/>
          <w:numId w:val="0"/>
        </w:num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4: max supported power class per band of intermediate UE is only limited to PC3 as baseline.</w:t>
      </w:r>
    </w:p>
    <w:p>
      <w:pPr>
        <w:widowControl w:val="0"/>
        <w:numPr>
          <w:ilvl w:val="0"/>
          <w:numId w:val="3"/>
        </w:numPr>
        <w:spacing w:after="180"/>
        <w:ind w:left="420" w:leftChars="0" w:hanging="420" w:firstLine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Output power dynamics</w:t>
      </w:r>
    </w:p>
    <w:p>
      <w:pPr>
        <w:widowControl w:val="0"/>
        <w:numPr>
          <w:ilvl w:val="0"/>
          <w:numId w:val="0"/>
        </w:numPr>
        <w:spacing w:after="180"/>
        <w:ind w:leftChars="0"/>
        <w:jc w:val="left"/>
        <w:rPr>
          <w:rFonts w:hint="eastAsia" w:ascii="Times New Roman" w:hAnsi="Times New Roman" w:cs="Times New Roman"/>
          <w:b w:val="0"/>
          <w:bCs w:val="0"/>
          <w:sz w:val="20"/>
          <w:szCs w:val="20"/>
          <w:lang w:val="en-US" w:eastAsia="zh-CN"/>
        </w:rPr>
      </w:pPr>
      <w:r>
        <w:rPr>
          <w:rFonts w:hint="eastAsia" w:ascii="Times New Roman" w:hAnsi="Times New Roman"/>
          <w:b w:val="0"/>
          <w:bCs w:val="0"/>
          <w:sz w:val="20"/>
          <w:szCs w:val="20"/>
          <w:lang w:val="en-US" w:eastAsia="zh-CN"/>
        </w:rPr>
        <w:t>Current UE spec includes</w:t>
      </w:r>
      <w:r>
        <w:rPr>
          <w:rFonts w:hint="eastAsia" w:ascii="Times New Roman" w:hAnsi="Times New Roman" w:cs="Times New Roman"/>
          <w:b w:val="0"/>
          <w:bCs w:val="0"/>
          <w:sz w:val="20"/>
          <w:szCs w:val="20"/>
          <w:lang w:val="en-US" w:eastAsia="zh-CN"/>
        </w:rPr>
        <w:t xml:space="preserve"> minimum output power, OFF power, ON/OFF time mask, power control requirements. According to RAN1 link budget, it seems DL coverage is the bottleneck. Intermediate UE needs to transmit with max output power level, so no minimum output power nor power control requirements is needed.</w:t>
      </w:r>
    </w:p>
    <w:p>
      <w:pPr>
        <w:widowControl w:val="0"/>
        <w:numPr>
          <w:ilvl w:val="0"/>
          <w:numId w:val="0"/>
        </w:numPr>
        <w:spacing w:after="180"/>
        <w:ind w:leftChars="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5: no minimum output power nor power control requirement are needed for intermediate UE.</w:t>
      </w:r>
    </w:p>
    <w:p>
      <w:pPr>
        <w:numPr>
          <w:ilvl w:val="0"/>
          <w:numId w:val="0"/>
        </w:numPr>
        <w:spacing w:after="180"/>
        <w:ind w:leftChars="0"/>
        <w:jc w:val="left"/>
        <w:rPr>
          <w:rFonts w:hint="default" w:ascii="Times New Roman" w:hAnsi="Times New Roman"/>
          <w:b w:val="0"/>
          <w:bCs w:val="0"/>
          <w:sz w:val="20"/>
          <w:szCs w:val="20"/>
          <w:highlight w:val="none"/>
          <w:lang w:val="en-US" w:eastAsia="zh-CN"/>
        </w:rPr>
      </w:pPr>
      <w:r>
        <w:rPr>
          <w:rFonts w:hint="eastAsia" w:ascii="Times New Roman" w:hAnsi="Times New Roman" w:cs="Times New Roman"/>
          <w:b w:val="0"/>
          <w:bCs w:val="0"/>
          <w:sz w:val="20"/>
          <w:szCs w:val="20"/>
          <w:lang w:val="en-US" w:eastAsia="zh-CN"/>
        </w:rPr>
        <w:t>For OFF power and ON/OFF time mask, as discussed in BS reader tdoc</w:t>
      </w:r>
      <w:r>
        <w:rPr>
          <w:rFonts w:hint="eastAsia" w:ascii="Times New Roman" w:hAnsi="Times New Roman" w:cs="Times New Roman"/>
          <w:b w:val="0"/>
          <w:bCs w:val="0"/>
          <w:sz w:val="20"/>
          <w:szCs w:val="20"/>
          <w:highlight w:val="none"/>
          <w:lang w:val="en-US" w:eastAsia="zh-CN"/>
        </w:rPr>
        <w:t xml:space="preserve">, </w:t>
      </w:r>
      <w:r>
        <w:rPr>
          <w:rFonts w:hint="eastAsia" w:ascii="Times New Roman" w:hAnsi="Times New Roman"/>
          <w:b w:val="0"/>
          <w:bCs w:val="0"/>
          <w:sz w:val="20"/>
          <w:szCs w:val="20"/>
          <w:highlight w:val="none"/>
          <w:lang w:val="en-US" w:eastAsia="zh-CN"/>
        </w:rPr>
        <w:t>UE spec defines transient period which is much like rise time and fall time requirements as in RFID spec. Besides, RFID also defines settling time to evaluate signal ripple characteristics. reader support OOK signal which is much like the ASK modulated signal as in RFID spec. It</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s suggested to further check whether the settling time as in RFID spec is needed or not.</w:t>
      </w:r>
    </w:p>
    <w:p>
      <w:pPr>
        <w:numPr>
          <w:ilvl w:val="0"/>
          <w:numId w:val="0"/>
        </w:numPr>
        <w:spacing w:after="180"/>
        <w:ind w:left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6: it</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s suggested to define transient period related requirements for A-IoT reader. Details value can refer to RFID rise/fall time.</w:t>
      </w:r>
    </w:p>
    <w:p>
      <w:pPr>
        <w:numPr>
          <w:ilvl w:val="0"/>
          <w:numId w:val="0"/>
        </w:numPr>
        <w:spacing w:after="180"/>
        <w:ind w:leftChars="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7: RAN4 further discuss whether settling time as defined in RFID spec is needed or not to evaluate RF envelop ripple characteristics.</w:t>
      </w:r>
    </w:p>
    <w:p>
      <w:pPr>
        <w:numPr>
          <w:ilvl w:val="0"/>
          <w:numId w:val="3"/>
        </w:numPr>
        <w:spacing w:after="180"/>
        <w:ind w:left="420" w:leftChars="0" w:hanging="420" w:firstLineChars="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Transmit signal related requirements</w:t>
      </w:r>
    </w:p>
    <w:p>
      <w:pPr>
        <w:numPr>
          <w:ilvl w:val="0"/>
          <w:numId w:val="0"/>
        </w:numPr>
        <w:spacing w:after="180"/>
        <w:ind w:leftChars="0"/>
        <w:jc w:val="left"/>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Transmit signal related requirements are much similar for both UE reader and BS reader. The same proposal as discussed in [1] are listed as below. Besides RAN4 needs to discuss whether there is any difference between UE reader and BS reader. Since signal quality related requirements are only related to modulation scheme, we can define one unified requirements for both UE reader and BS reader.</w:t>
      </w:r>
    </w:p>
    <w:p>
      <w:pPr>
        <w:numPr>
          <w:ilvl w:val="0"/>
          <w:numId w:val="0"/>
        </w:numPr>
        <w:spacing w:after="180"/>
        <w:ind w:leftChars="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Observation 1: RFID spec use RF envelop related parameters to evaluate ASK signal transmission quality requirement, e.g. modulation depth, RF envelop ripple, RF plusewidth etc.</w:t>
      </w:r>
    </w:p>
    <w:p>
      <w:pPr>
        <w:numPr>
          <w:ilvl w:val="0"/>
          <w:numId w:val="0"/>
        </w:numPr>
        <w:spacing w:after="180"/>
        <w:ind w:left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8: RAN4 could refer to RFID RF envelop related parameters to define signal transmission quality requirement as starting point, i.e. modulation depth, RF envelop ripple, RF plusewidth. Besides, the RF requirements for BS reader and UE reader can be the same.</w:t>
      </w:r>
    </w:p>
    <w:p>
      <w:pPr>
        <w:numPr>
          <w:ilvl w:val="0"/>
          <w:numId w:val="3"/>
        </w:numPr>
        <w:spacing w:after="180"/>
        <w:ind w:left="420" w:leftChars="0" w:hanging="420" w:firstLine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IBE requirements for in-band spectrum deployment mode of topology 2 reader</w:t>
      </w:r>
    </w:p>
    <w:p>
      <w:pPr>
        <w:widowControl w:val="0"/>
        <w:numPr>
          <w:ilvl w:val="0"/>
          <w:numId w:val="0"/>
        </w:num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Following list the options for deployment scenario D2T2 in co-existence analysis.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widowControl/>
              <w:spacing w:before="120" w:after="180" w:line="280" w:lineRule="atLeast"/>
              <w:jc w:val="left"/>
              <w:rPr>
                <w:rFonts w:ascii="Times New Roman" w:hAnsi="Times New Roman" w:eastAsia="等线" w:cs="Times New Roman"/>
                <w:b/>
                <w:bCs/>
                <w:kern w:val="0"/>
                <w:sz w:val="20"/>
                <w:szCs w:val="20"/>
                <w:u w:val="single"/>
                <w:lang w:val="en-US" w:eastAsia="zh-CN"/>
              </w:rPr>
            </w:pPr>
            <w:r>
              <w:rPr>
                <w:rFonts w:hint="eastAsia" w:ascii="Times New Roman" w:hAnsi="Times New Roman" w:eastAsia="等线" w:cs="Times New Roman"/>
                <w:b/>
                <w:bCs/>
                <w:kern w:val="0"/>
                <w:sz w:val="20"/>
                <w:szCs w:val="20"/>
                <w:u w:val="single"/>
                <w:lang w:val="en-US" w:eastAsia="zh-CN"/>
              </w:rPr>
              <w:t>Issue 2-1-2: deployment scenarios for D2T2</w:t>
            </w:r>
          </w:p>
          <w:p>
            <w:pPr>
              <w:widowControl/>
              <w:spacing w:before="120" w:after="180" w:line="280" w:lineRule="atLeast"/>
              <w:jc w:val="left"/>
              <w:rPr>
                <w:rFonts w:ascii="Times New Roman" w:hAnsi="Times New Roman" w:eastAsia="等线" w:cs="Times New Roman"/>
                <w:kern w:val="0"/>
                <w:sz w:val="20"/>
                <w:szCs w:val="20"/>
                <w:lang w:val="en-GB" w:eastAsia="en-US"/>
              </w:rPr>
            </w:pPr>
            <w:r>
              <w:rPr>
                <w:rFonts w:hint="eastAsia" w:ascii="Times New Roman" w:hAnsi="Times New Roman" w:eastAsia="等线" w:cs="Times New Roman"/>
                <w:kern w:val="0"/>
                <w:sz w:val="20"/>
                <w:szCs w:val="20"/>
                <w:lang w:val="en-GB" w:eastAsia="zh-CN"/>
              </w:rPr>
              <w:t>Option 1-1:  Legacy</w:t>
            </w:r>
            <w:r>
              <w:rPr>
                <w:rFonts w:ascii="Times New Roman" w:hAnsi="Times New Roman" w:eastAsia="等线" w:cs="Times New Roman"/>
                <w:kern w:val="0"/>
                <w:sz w:val="20"/>
                <w:szCs w:val="20"/>
                <w:lang w:val="en-GB" w:eastAsia="zh-CN"/>
              </w:rPr>
              <w:t xml:space="preserve"> N</w:t>
            </w:r>
            <w:r>
              <w:rPr>
                <w:rFonts w:hint="eastAsia" w:ascii="Times New Roman" w:hAnsi="Times New Roman" w:eastAsia="等线" w:cs="Times New Roman"/>
                <w:kern w:val="0"/>
                <w:sz w:val="20"/>
                <w:szCs w:val="20"/>
                <w:lang w:val="en-GB" w:eastAsia="zh-CN"/>
              </w:rPr>
              <w:t>R</w:t>
            </w:r>
            <w:r>
              <w:rPr>
                <w:rFonts w:ascii="Times New Roman" w:hAnsi="Times New Roman" w:eastAsia="等线" w:cs="Times New Roman"/>
                <w:kern w:val="0"/>
                <w:sz w:val="20"/>
                <w:szCs w:val="20"/>
                <w:lang w:val="en-GB" w:eastAsia="zh-CN"/>
              </w:rPr>
              <w:t xml:space="preserve"> gNB are outdoor macro gNB, </w:t>
            </w:r>
            <w:r>
              <w:rPr>
                <w:rFonts w:hint="eastAsia" w:ascii="Times New Roman" w:hAnsi="Times New Roman" w:eastAsia="等线" w:cs="Times New Roman"/>
                <w:kern w:val="0"/>
                <w:sz w:val="20"/>
                <w:szCs w:val="20"/>
                <w:lang w:val="en-GB" w:eastAsia="zh-CN"/>
              </w:rPr>
              <w:t xml:space="preserve">AIoT </w:t>
            </w:r>
            <w:r>
              <w:rPr>
                <w:rFonts w:ascii="Times New Roman" w:hAnsi="Times New Roman" w:eastAsia="等线" w:cs="Times New Roman"/>
                <w:kern w:val="0"/>
                <w:sz w:val="20"/>
                <w:szCs w:val="20"/>
                <w:lang w:val="en-GB" w:eastAsia="zh-CN"/>
              </w:rPr>
              <w:t xml:space="preserve">intermediate UE/CW/devices are all indoors. </w:t>
            </w:r>
            <w:r>
              <w:rPr>
                <w:rFonts w:hint="eastAsia" w:ascii="Times New Roman" w:hAnsi="Times New Roman" w:eastAsia="等线" w:cs="Times New Roman"/>
                <w:kern w:val="0"/>
                <w:sz w:val="20"/>
                <w:szCs w:val="20"/>
                <w:lang w:val="en-GB" w:eastAsia="zh-CN"/>
              </w:rPr>
              <w:t>Legacy</w:t>
            </w:r>
            <w:r>
              <w:rPr>
                <w:rFonts w:ascii="Times New Roman" w:hAnsi="Times New Roman" w:eastAsia="等线" w:cs="Times New Roman"/>
                <w:kern w:val="0"/>
                <w:sz w:val="20"/>
                <w:szCs w:val="20"/>
                <w:lang w:val="en-GB" w:eastAsia="zh-CN"/>
              </w:rPr>
              <w:t xml:space="preserve"> NR UE is only allowed outdoor.</w:t>
            </w:r>
          </w:p>
          <w:p>
            <w:pPr>
              <w:widowControl/>
              <w:spacing w:before="120" w:after="180" w:line="280" w:lineRule="atLeast"/>
              <w:jc w:val="left"/>
              <w:rPr>
                <w:rFonts w:ascii="Times New Roman" w:hAnsi="Times New Roman" w:eastAsia="等线" w:cs="Times New Roman"/>
                <w:kern w:val="0"/>
                <w:sz w:val="20"/>
                <w:szCs w:val="20"/>
                <w:lang w:val="en-GB" w:eastAsia="en-US"/>
              </w:rPr>
            </w:pPr>
            <w:r>
              <w:rPr>
                <w:rFonts w:hint="eastAsia" w:ascii="Times New Roman" w:hAnsi="Times New Roman" w:eastAsia="等线" w:cs="Times New Roman"/>
                <w:kern w:val="0"/>
                <w:sz w:val="20"/>
                <w:szCs w:val="20"/>
                <w:lang w:val="en-GB" w:eastAsia="zh-CN"/>
              </w:rPr>
              <w:t>Option 1-2:  Legacy</w:t>
            </w:r>
            <w:r>
              <w:rPr>
                <w:rFonts w:ascii="Times New Roman" w:hAnsi="Times New Roman" w:eastAsia="等线" w:cs="Times New Roman"/>
                <w:kern w:val="0"/>
                <w:sz w:val="20"/>
                <w:szCs w:val="20"/>
                <w:lang w:val="en-GB" w:eastAsia="en-US"/>
              </w:rPr>
              <w:t xml:space="preserve"> N</w:t>
            </w:r>
            <w:r>
              <w:rPr>
                <w:rFonts w:hint="eastAsia" w:ascii="Times New Roman" w:hAnsi="Times New Roman" w:eastAsia="等线" w:cs="Times New Roman"/>
                <w:kern w:val="0"/>
                <w:sz w:val="20"/>
                <w:szCs w:val="20"/>
                <w:lang w:val="en-GB" w:eastAsia="zh-CN"/>
              </w:rPr>
              <w:t>R</w:t>
            </w:r>
            <w:r>
              <w:rPr>
                <w:rFonts w:ascii="Times New Roman" w:hAnsi="Times New Roman" w:eastAsia="等线" w:cs="Times New Roman"/>
                <w:kern w:val="0"/>
                <w:sz w:val="20"/>
                <w:szCs w:val="20"/>
                <w:lang w:val="en-GB" w:eastAsia="en-US"/>
              </w:rPr>
              <w:t xml:space="preserve"> gNB are outdoor macro gNB, </w:t>
            </w:r>
            <w:r>
              <w:rPr>
                <w:rFonts w:hint="eastAsia" w:ascii="Times New Roman" w:hAnsi="Times New Roman" w:eastAsia="等线" w:cs="Times New Roman"/>
                <w:kern w:val="0"/>
                <w:sz w:val="20"/>
                <w:szCs w:val="20"/>
                <w:lang w:val="en-GB" w:eastAsia="zh-CN"/>
              </w:rPr>
              <w:t xml:space="preserve">AIoT </w:t>
            </w:r>
            <w:r>
              <w:rPr>
                <w:rFonts w:ascii="Times New Roman" w:hAnsi="Times New Roman" w:eastAsia="等线" w:cs="Times New Roman"/>
                <w:kern w:val="0"/>
                <w:sz w:val="20"/>
                <w:szCs w:val="20"/>
                <w:lang w:val="en-GB" w:eastAsia="en-US"/>
              </w:rPr>
              <w:t xml:space="preserve">intermediate UE/CW/devices are all indoors. </w:t>
            </w:r>
            <w:r>
              <w:rPr>
                <w:rFonts w:hint="eastAsia" w:ascii="Times New Roman" w:hAnsi="Times New Roman" w:eastAsia="等线" w:cs="Times New Roman"/>
                <w:kern w:val="0"/>
                <w:sz w:val="20"/>
                <w:szCs w:val="20"/>
                <w:lang w:val="en-GB" w:eastAsia="zh-CN"/>
              </w:rPr>
              <w:t>Legacy</w:t>
            </w:r>
            <w:r>
              <w:rPr>
                <w:rFonts w:ascii="Times New Roman" w:hAnsi="Times New Roman" w:eastAsia="等线" w:cs="Times New Roman"/>
                <w:kern w:val="0"/>
                <w:sz w:val="20"/>
                <w:szCs w:val="20"/>
                <w:lang w:val="en-GB" w:eastAsia="en-US"/>
              </w:rPr>
              <w:t xml:space="preserve"> NR UE is indoor.</w:t>
            </w:r>
          </w:p>
          <w:p>
            <w:pPr>
              <w:widowControl/>
              <w:spacing w:before="120" w:after="180" w:line="280" w:lineRule="atLeast"/>
              <w:jc w:val="left"/>
              <w:rPr>
                <w:rFonts w:ascii="Times New Roman" w:hAnsi="Times New Roman" w:eastAsia="等线" w:cs="Times New Roman"/>
                <w:b/>
                <w:bCs/>
                <w:kern w:val="0"/>
                <w:sz w:val="20"/>
                <w:szCs w:val="20"/>
                <w:lang w:val="en-US" w:eastAsia="zh-CN"/>
              </w:rPr>
            </w:pPr>
            <w:r>
              <w:rPr>
                <w:rFonts w:hint="eastAsia" w:ascii="Times New Roman" w:hAnsi="Times New Roman" w:eastAsia="等线" w:cs="Times New Roman"/>
                <w:b/>
                <w:bCs/>
                <w:kern w:val="0"/>
                <w:sz w:val="20"/>
                <w:szCs w:val="20"/>
                <w:lang w:val="en-US" w:eastAsia="zh-CN"/>
              </w:rPr>
              <w:t>A</w:t>
            </w:r>
            <w:r>
              <w:rPr>
                <w:rFonts w:ascii="Times New Roman" w:hAnsi="Times New Roman" w:eastAsia="等线" w:cs="Times New Roman"/>
                <w:b/>
                <w:bCs/>
                <w:kern w:val="0"/>
                <w:sz w:val="20"/>
                <w:szCs w:val="20"/>
                <w:lang w:val="en-US" w:eastAsia="zh-CN"/>
              </w:rPr>
              <w:t>greement:</w:t>
            </w:r>
          </w:p>
          <w:p>
            <w:pPr>
              <w:numPr>
                <w:ilvl w:val="0"/>
                <w:numId w:val="5"/>
              </w:numPr>
              <w:overflowPunct w:val="0"/>
              <w:autoSpaceDE w:val="0"/>
              <w:autoSpaceDN w:val="0"/>
              <w:adjustRightInd w:val="0"/>
              <w:spacing w:before="120" w:after="180" w:line="280" w:lineRule="atLeast"/>
              <w:ind w:left="420" w:hanging="420" w:firstLineChars="0"/>
              <w:textAlignment w:val="baseline"/>
              <w:rPr>
                <w:rFonts w:ascii="Times New Roman" w:hAnsi="Times New Roman" w:eastAsia="等线" w:cs="Times New Roman"/>
                <w:lang w:val="en-GB" w:eastAsia="en-US" w:bidi="ar-SA"/>
              </w:rPr>
            </w:pPr>
            <w:r>
              <w:rPr>
                <w:rFonts w:hint="eastAsia" w:ascii="Times New Roman" w:hAnsi="Times New Roman" w:eastAsia="等线" w:cs="Times New Roman"/>
                <w:lang w:val="en-GB" w:eastAsia="en-US" w:bidi="ar-SA"/>
              </w:rPr>
              <w:t xml:space="preserve">For D2T2 co-existence evaluation, </w:t>
            </w:r>
            <w:r>
              <w:rPr>
                <w:rFonts w:hint="eastAsia" w:ascii="Times New Roman" w:hAnsi="Times New Roman" w:eastAsia="等线" w:cs="Times New Roman"/>
                <w:lang w:val="en-GB" w:eastAsia="zh-CN" w:bidi="ar-SA"/>
              </w:rPr>
              <w:t>Legacy</w:t>
            </w:r>
            <w:r>
              <w:rPr>
                <w:rFonts w:ascii="Times New Roman" w:hAnsi="Times New Roman" w:eastAsia="等线" w:cs="Times New Roman"/>
                <w:lang w:val="en-GB" w:eastAsia="en-US" w:bidi="ar-SA"/>
              </w:rPr>
              <w:t xml:space="preserve"> NR gNB are outdoor macro gNB</w:t>
            </w:r>
            <w:r>
              <w:rPr>
                <w:rFonts w:hint="eastAsia" w:ascii="Times New Roman" w:hAnsi="Times New Roman" w:eastAsia="等线" w:cs="Times New Roman"/>
                <w:lang w:val="en-GB" w:eastAsia="en-US" w:bidi="ar-SA"/>
              </w:rPr>
              <w:t xml:space="preserve">, </w:t>
            </w:r>
            <w:r>
              <w:rPr>
                <w:rFonts w:hint="eastAsia" w:ascii="Times New Roman" w:hAnsi="Times New Roman" w:eastAsia="等线" w:cs="Times New Roman"/>
                <w:lang w:val="en-GB" w:eastAsia="zh-CN" w:bidi="ar-SA"/>
              </w:rPr>
              <w:t xml:space="preserve">AIoT </w:t>
            </w:r>
            <w:r>
              <w:rPr>
                <w:rFonts w:hint="eastAsia" w:ascii="Times New Roman" w:hAnsi="Times New Roman" w:eastAsia="等线" w:cs="Times New Roman"/>
                <w:lang w:val="en-GB" w:eastAsia="en-US" w:bidi="ar-SA"/>
              </w:rPr>
              <w:t>intermediate UE/CW/devices are all indoors.</w:t>
            </w:r>
          </w:p>
          <w:p>
            <w:pPr>
              <w:numPr>
                <w:ilvl w:val="1"/>
                <w:numId w:val="5"/>
              </w:numPr>
              <w:overflowPunct w:val="0"/>
              <w:autoSpaceDE w:val="0"/>
              <w:autoSpaceDN w:val="0"/>
              <w:adjustRightInd w:val="0"/>
              <w:spacing w:before="120" w:after="180" w:line="280" w:lineRule="atLeast"/>
              <w:ind w:left="840" w:hanging="420" w:firstLineChars="0"/>
              <w:textAlignment w:val="baseline"/>
              <w:rPr>
                <w:rFonts w:hint="default" w:ascii="Times New Roman" w:hAnsi="Times New Roman"/>
                <w:b w:val="0"/>
                <w:bCs w:val="0"/>
                <w:sz w:val="20"/>
                <w:szCs w:val="20"/>
                <w:vertAlign w:val="baseline"/>
                <w:lang w:val="en-US" w:eastAsia="zh-CN"/>
              </w:rPr>
            </w:pPr>
            <w:r>
              <w:rPr>
                <w:rFonts w:ascii="Times New Roman" w:hAnsi="Times New Roman" w:eastAsia="等线" w:cs="Times New Roman"/>
                <w:lang w:val="en-GB" w:eastAsia="en-US" w:bidi="ar-SA"/>
              </w:rPr>
              <w:t>Consider option 1-1 and option 1-2 as the starting point</w:t>
            </w:r>
          </w:p>
        </w:tc>
      </w:tr>
    </w:tbl>
    <w:p>
      <w:pPr>
        <w:widowControl w:val="0"/>
        <w:numPr>
          <w:ilvl w:val="0"/>
          <w:numId w:val="0"/>
        </w:numPr>
        <w:spacing w:after="180"/>
        <w:jc w:val="left"/>
        <w:rPr>
          <w:rFonts w:hint="default" w:ascii="Times New Roman" w:hAnsi="Times New Roman"/>
          <w:b w:val="0"/>
          <w:bCs w:val="0"/>
          <w:sz w:val="20"/>
          <w:szCs w:val="20"/>
          <w:lang w:val="en-US" w:eastAsia="zh-CN"/>
        </w:rPr>
      </w:pPr>
    </w:p>
    <w:p>
      <w:pPr>
        <w:widowControl w:val="0"/>
        <w:numPr>
          <w:ilvl w:val="0"/>
          <w:numId w:val="0"/>
        </w:num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Current baseline assumption is that R2D for topology 2 will use UL spectrum, the IBE requirements of intermediate UE and the ICS requirements of existing gNB/ will impact final interference level between intermediate UE and legacy existing gNB. The interference is much similar like legacy NR intra-system interference. The main difference is the frequency error since for A-IoT the frequency error is between network control gNB and legacy gNB rather than between two intra-system gNB. But the frequency error is small and final contribution for interference is marginal. So it seems reasonable to assume current IBE requirements of legacy UE still applies for intermediate UE.</w:t>
      </w:r>
    </w:p>
    <w:p>
      <w:pPr>
        <w:widowControl w:val="0"/>
        <w:numPr>
          <w:ilvl w:val="0"/>
          <w:numId w:val="0"/>
        </w:num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2: It seems current legacy IBE requirements of UE still applies for intermediate UE.</w:t>
      </w:r>
    </w:p>
    <w:p>
      <w:pPr>
        <w:widowControl w:val="0"/>
        <w:numPr>
          <w:ilvl w:val="0"/>
          <w:numId w:val="0"/>
        </w:num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9: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assume that legacy IBE requirements of UE still applies for intermediate UE as starting point.</w:t>
      </w:r>
    </w:p>
    <w:p>
      <w:pPr>
        <w:numPr>
          <w:ilvl w:val="0"/>
          <w:numId w:val="3"/>
        </w:numPr>
        <w:spacing w:after="180"/>
        <w:ind w:left="420" w:leftChars="0" w:hanging="420" w:firstLine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ACLR requirement</w:t>
      </w:r>
    </w:p>
    <w:p>
      <w:pPr>
        <w:widowControl w:val="0"/>
        <w:numPr>
          <w:ilvl w:val="0"/>
          <w:numId w:val="0"/>
        </w:num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Current co-existence evaluation only focus on in-band spectrum deployment mode because this is the worst interference case compared with adjacent carrier case. Once final co-existence evaluation show that A-IoT system could co-exist with NR system for in-band spectrum mode, then we can conclude legacy UE ACLR requirement applies for A-IoT UE reader. But if certain interference occurs for in-band spectrum deployment mode, further evaluation is needed for corresponding interference case. But we can leave such analysis to work phase to define corresponding requirements.</w:t>
      </w:r>
    </w:p>
    <w:p>
      <w:pPr>
        <w:widowControl w:val="0"/>
        <w:numPr>
          <w:ilvl w:val="0"/>
          <w:numId w:val="0"/>
        </w:num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3: current co-existence evaluation only focus on in-band spectrum deployment mode but there is no interference analysis for adjacent carrier spectrum deployment mode.</w:t>
      </w:r>
    </w:p>
    <w:p>
      <w:pPr>
        <w:widowControl w:val="0"/>
        <w:numPr>
          <w:ilvl w:val="0"/>
          <w:numId w:val="0"/>
        </w:num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10: for ACLR requirement</w:t>
      </w:r>
    </w:p>
    <w:p>
      <w:pPr>
        <w:widowControl w:val="0"/>
        <w:numPr>
          <w:ilvl w:val="1"/>
          <w:numId w:val="6"/>
        </w:numPr>
        <w:spacing w:after="180"/>
        <w:ind w:left="816" w:leftChars="0" w:hanging="360" w:firstLineChars="0"/>
        <w:jc w:val="left"/>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 xml:space="preserve">Once final co-existence evaluation show that A-IoT system could co-exist with NR system for in-band spectrum mode, then we can conclude legacy UE ACLR requirement applies for A-IoT UE reader. </w:t>
      </w:r>
    </w:p>
    <w:p>
      <w:pPr>
        <w:widowControl w:val="0"/>
        <w:numPr>
          <w:ilvl w:val="1"/>
          <w:numId w:val="6"/>
        </w:numPr>
        <w:spacing w:after="180"/>
        <w:ind w:left="816" w:leftChars="0" w:hanging="360" w:firstLineChars="0"/>
        <w:jc w:val="left"/>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But if certain interference occurs for in-band spectrum deployment mode, further evaluation is needed for corresponding interference case. But we can leave such analysis to work phase to define corresponding requirements.</w:t>
      </w:r>
    </w:p>
    <w:p>
      <w:pPr>
        <w:pStyle w:val="4"/>
        <w:bidi w:val="0"/>
        <w:rPr>
          <w:rFonts w:hint="eastAsia"/>
          <w:lang w:val="en-US" w:eastAsia="zh-CN"/>
        </w:rPr>
      </w:pPr>
      <w:r>
        <w:rPr>
          <w:rFonts w:hint="eastAsia"/>
          <w:lang w:val="en-US" w:eastAsia="zh-CN"/>
        </w:rPr>
        <w:t>2.3 A-IoT intermediate UE Rx requirement</w:t>
      </w:r>
    </w:p>
    <w:p>
      <w:pPr>
        <w:widowControl w:val="0"/>
        <w:numPr>
          <w:ilvl w:val="0"/>
          <w:numId w:val="0"/>
        </w:num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Following lists last meeting agreements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sz w:val="20"/>
                <w:szCs w:val="20"/>
                <w:lang w:val="sv-SE"/>
              </w:rPr>
            </w:pPr>
            <w:r>
              <w:rPr>
                <w:rFonts w:hint="default" w:ascii="Times New Roman" w:hAnsi="Times New Roman" w:cs="Times New Roman"/>
                <w:sz w:val="20"/>
                <w:szCs w:val="20"/>
                <w:lang w:val="sv-SE" w:eastAsia="zh-CN"/>
              </w:rPr>
              <w:t>Agreement:</w:t>
            </w:r>
          </w:p>
          <w:p>
            <w:pPr>
              <w:pStyle w:val="25"/>
              <w:numPr>
                <w:ilvl w:val="0"/>
                <w:numId w:val="4"/>
              </w:numPr>
              <w:spacing w:before="120" w:line="240" w:lineRule="auto"/>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Use the following table as starting point for RF requirements impact study. The table is for information.</w:t>
            </w:r>
          </w:p>
          <w:p>
            <w:pPr>
              <w:tabs>
                <w:tab w:val="left" w:pos="2127"/>
              </w:tabs>
              <w:spacing w:before="120" w:after="0" w:line="280" w:lineRule="atLeast"/>
              <w:jc w:val="center"/>
              <w:rPr>
                <w:rFonts w:hint="default" w:ascii="Times New Roman" w:hAnsi="Times New Roman" w:cs="Times New Roman"/>
                <w:sz w:val="20"/>
                <w:szCs w:val="20"/>
              </w:rPr>
            </w:pPr>
          </w:p>
          <w:tbl>
            <w:tblPr>
              <w:tblStyle w:val="17"/>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9"/>
              <w:gridCol w:w="3460"/>
              <w:gridCol w:w="4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808" w:type="dxa"/>
                  <w:gridSpan w:val="3"/>
                </w:tcPr>
                <w:p>
                  <w:pPr>
                    <w:overflowPunct w:val="0"/>
                    <w:autoSpaceDE w:val="0"/>
                    <w:autoSpaceDN w:val="0"/>
                    <w:adjustRightInd w:val="0"/>
                    <w:spacing w:before="120" w:line="280" w:lineRule="atLeast"/>
                    <w:jc w:val="center"/>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b/>
                      <w:bCs/>
                      <w:sz w:val="20"/>
                      <w:szCs w:val="20"/>
                    </w:rPr>
                    <w:t>RF Requirement for A</w:t>
                  </w:r>
                  <w:r>
                    <w:rPr>
                      <w:rFonts w:hint="default" w:ascii="Times New Roman" w:hAnsi="Times New Roman" w:cs="Times New Roman" w:eastAsiaTheme="minorEastAsia"/>
                      <w:b/>
                      <w:bCs/>
                      <w:sz w:val="20"/>
                      <w:szCs w:val="20"/>
                      <w:lang w:eastAsia="zh-CN"/>
                    </w:rPr>
                    <w:t>-</w:t>
                  </w:r>
                  <w:r>
                    <w:rPr>
                      <w:rFonts w:hint="default" w:ascii="Times New Roman" w:hAnsi="Times New Roman" w:eastAsia="Yu Mincho" w:cs="Times New Roman"/>
                      <w:b/>
                      <w:bCs/>
                      <w:sz w:val="20"/>
                      <w:szCs w:val="20"/>
                    </w:rPr>
                    <w:t xml:space="preserve">IoT intermediate UE- TX </w:t>
                  </w:r>
                  <w:r>
                    <w:rPr>
                      <w:rFonts w:hint="default" w:ascii="Times New Roman" w:hAnsi="Times New Roman" w:eastAsia="宋体" w:cs="Times New Roman"/>
                      <w:b/>
                      <w:bCs/>
                      <w:sz w:val="20"/>
                      <w:szCs w:val="20"/>
                      <w:lang w:val="en-US" w:eastAsia="zh-CN"/>
                    </w:rPr>
                    <w:t>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1569" w:type="dxa"/>
                  <w:vMerge w:val="restart"/>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val="en-US" w:eastAsia="zh-CN"/>
                    </w:rPr>
                  </w:pPr>
                  <w:r>
                    <w:rPr>
                      <w:rFonts w:hint="default" w:ascii="Times New Roman" w:hAnsi="Times New Roman" w:eastAsia="Yu Mincho" w:cs="Times New Roman"/>
                      <w:sz w:val="20"/>
                      <w:szCs w:val="20"/>
                    </w:rPr>
                    <w:t>TX requirement</w:t>
                  </w:r>
                </w:p>
              </w:tc>
              <w:tc>
                <w:tcPr>
                  <w:tcW w:w="3460"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lang w:val="en-US" w:eastAsia="zh-CN"/>
                    </w:rPr>
                    <w:t>Maximum output power</w:t>
                  </w:r>
                  <w:r>
                    <w:rPr>
                      <w:rFonts w:hint="default" w:ascii="Times New Roman" w:hAnsi="Times New Roman" w:eastAsia="宋体" w:cs="Times New Roman"/>
                      <w:sz w:val="20"/>
                      <w:szCs w:val="20"/>
                      <w:lang w:val="en-US" w:eastAsia="zh-CN"/>
                    </w:rPr>
                    <w:t xml:space="preserve"> </w:t>
                  </w:r>
                </w:p>
              </w:tc>
              <w:tc>
                <w:tcPr>
                  <w:tcW w:w="4777" w:type="dxa"/>
                </w:tcPr>
                <w:p>
                  <w:pPr>
                    <w:overflowPunct w:val="0"/>
                    <w:autoSpaceDE w:val="0"/>
                    <w:autoSpaceDN w:val="0"/>
                    <w:adjustRightInd w:val="0"/>
                    <w:spacing w:before="120" w:line="280" w:lineRule="atLeast"/>
                    <w:textAlignment w:val="baseline"/>
                    <w:rPr>
                      <w:rFonts w:hint="default" w:ascii="Times New Roman" w:hAnsi="Times New Roman" w:cs="Times New Roman" w:eastAsiaTheme="minor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1569"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val="en-US" w:eastAsia="zh-CN"/>
                    </w:rPr>
                  </w:pPr>
                </w:p>
              </w:tc>
              <w:tc>
                <w:tcPr>
                  <w:tcW w:w="3460"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宋体" w:cs="Times New Roman"/>
                      <w:sz w:val="20"/>
                      <w:szCs w:val="20"/>
                      <w:lang w:val="en-US" w:eastAsia="zh-CN"/>
                    </w:rPr>
                    <w:t>Output power dynamics</w:t>
                  </w:r>
                </w:p>
              </w:tc>
              <w:tc>
                <w:tcPr>
                  <w:tcW w:w="4777"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1569"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val="en-US" w:eastAsia="zh-CN"/>
                    </w:rPr>
                  </w:pPr>
                </w:p>
              </w:tc>
              <w:tc>
                <w:tcPr>
                  <w:tcW w:w="3460"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宋体" w:cs="Times New Roman"/>
                      <w:sz w:val="20"/>
                      <w:szCs w:val="20"/>
                      <w:lang w:val="en-US" w:eastAsia="zh-CN"/>
                    </w:rPr>
                    <w:t>Transmit ON/OFF power</w:t>
                  </w:r>
                </w:p>
              </w:tc>
              <w:tc>
                <w:tcPr>
                  <w:tcW w:w="4777"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1569"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val="en-US" w:eastAsia="zh-CN"/>
                    </w:rPr>
                  </w:pPr>
                </w:p>
              </w:tc>
              <w:tc>
                <w:tcPr>
                  <w:tcW w:w="3460"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宋体" w:cs="Times New Roman"/>
                      <w:sz w:val="20"/>
                      <w:szCs w:val="20"/>
                      <w:lang w:val="en-US" w:eastAsia="zh-CN"/>
                    </w:rPr>
                    <w:t>Transmitted signal quality</w:t>
                  </w:r>
                </w:p>
              </w:tc>
              <w:tc>
                <w:tcPr>
                  <w:tcW w:w="4777" w:type="dxa"/>
                </w:tcPr>
                <w:p>
                  <w:pPr>
                    <w:tabs>
                      <w:tab w:val="left" w:pos="737"/>
                    </w:tabs>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1569"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c>
                <w:tcPr>
                  <w:tcW w:w="3460"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val="en-US" w:eastAsia="zh-CN"/>
                    </w:rPr>
                  </w:pPr>
                  <w:r>
                    <w:rPr>
                      <w:rFonts w:hint="default" w:ascii="Times New Roman" w:hAnsi="Times New Roman" w:eastAsia="Yu Mincho" w:cs="Times New Roman"/>
                      <w:sz w:val="20"/>
                      <w:szCs w:val="20"/>
                    </w:rPr>
                    <w:t>Transmission times</w:t>
                  </w:r>
                </w:p>
              </w:tc>
              <w:tc>
                <w:tcPr>
                  <w:tcW w:w="4777" w:type="dxa"/>
                </w:tcPr>
                <w:p>
                  <w:pPr>
                    <w:overflowPunct w:val="0"/>
                    <w:autoSpaceDE w:val="0"/>
                    <w:autoSpaceDN w:val="0"/>
                    <w:adjustRightInd w:val="0"/>
                    <w:spacing w:before="120" w:after="120" w:line="280" w:lineRule="atLeast"/>
                    <w:textAlignment w:val="baseline"/>
                    <w:rPr>
                      <w:rFonts w:hint="default" w:ascii="Times New Roman" w:hAnsi="Times New Roman" w:eastAsia="Yu Mincho" w:cs="Times New Roman"/>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1569"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val="en-US" w:eastAsia="zh-CN"/>
                    </w:rPr>
                  </w:pPr>
                </w:p>
              </w:tc>
              <w:tc>
                <w:tcPr>
                  <w:tcW w:w="3460"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lang w:val="en-US" w:eastAsia="zh-CN"/>
                    </w:rPr>
                    <w:t>Occupied bandwidth</w:t>
                  </w:r>
                </w:p>
              </w:tc>
              <w:tc>
                <w:tcPr>
                  <w:tcW w:w="4777"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1569"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val="en-US" w:eastAsia="zh-CN"/>
                    </w:rPr>
                  </w:pPr>
                </w:p>
              </w:tc>
              <w:tc>
                <w:tcPr>
                  <w:tcW w:w="3460"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宋体" w:cs="Times New Roman"/>
                      <w:sz w:val="20"/>
                      <w:szCs w:val="20"/>
                      <w:lang w:val="en-US" w:eastAsia="zh-CN"/>
                    </w:rPr>
                    <w:t>Tx intermodulation</w:t>
                  </w:r>
                </w:p>
              </w:tc>
              <w:tc>
                <w:tcPr>
                  <w:tcW w:w="4777"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1569"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val="en-US" w:eastAsia="zh-CN"/>
                    </w:rPr>
                  </w:pPr>
                </w:p>
              </w:tc>
              <w:tc>
                <w:tcPr>
                  <w:tcW w:w="3460"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宋体" w:cs="Times New Roman"/>
                      <w:sz w:val="20"/>
                      <w:szCs w:val="20"/>
                      <w:lang w:val="en-US" w:eastAsia="zh-CN"/>
                    </w:rPr>
                    <w:t>ACLR</w:t>
                  </w:r>
                </w:p>
              </w:tc>
              <w:tc>
                <w:tcPr>
                  <w:tcW w:w="4777"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1569"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val="en-US" w:eastAsia="zh-CN"/>
                    </w:rPr>
                  </w:pPr>
                </w:p>
              </w:tc>
              <w:tc>
                <w:tcPr>
                  <w:tcW w:w="3460"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宋体" w:cs="Times New Roman"/>
                      <w:sz w:val="20"/>
                      <w:szCs w:val="20"/>
                      <w:lang w:val="en-US" w:eastAsia="zh-CN"/>
                    </w:rPr>
                    <w:t>Operating band unwanted emissions</w:t>
                  </w:r>
                  <w:r>
                    <w:rPr>
                      <w:rFonts w:hint="default" w:ascii="Times New Roman" w:hAnsi="Times New Roman" w:eastAsia="宋体" w:cs="Times New Roman"/>
                      <w:sz w:val="20"/>
                      <w:szCs w:val="20"/>
                      <w:lang w:val="en-US" w:eastAsia="zh-CN"/>
                    </w:rPr>
                    <w:tab/>
                  </w:r>
                </w:p>
              </w:tc>
              <w:tc>
                <w:tcPr>
                  <w:tcW w:w="4777"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1569"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val="en-US" w:eastAsia="zh-CN"/>
                    </w:rPr>
                  </w:pPr>
                </w:p>
              </w:tc>
              <w:tc>
                <w:tcPr>
                  <w:tcW w:w="3460"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宋体" w:cs="Times New Roman"/>
                      <w:sz w:val="20"/>
                      <w:szCs w:val="20"/>
                      <w:lang w:val="en-US" w:eastAsia="zh-CN"/>
                    </w:rPr>
                    <w:t>Transmitter spurious emissions</w:t>
                  </w:r>
                </w:p>
              </w:tc>
              <w:tc>
                <w:tcPr>
                  <w:tcW w:w="4777"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bl>
          <w:p>
            <w:pPr>
              <w:widowControl w:val="0"/>
              <w:numPr>
                <w:ilvl w:val="0"/>
                <w:numId w:val="0"/>
              </w:numPr>
              <w:spacing w:before="120" w:after="180" w:line="280" w:lineRule="atLeast"/>
              <w:jc w:val="left"/>
              <w:rPr>
                <w:rFonts w:hint="default" w:ascii="Times New Roman" w:hAnsi="Times New Roman" w:cs="Times New Roman"/>
                <w:b w:val="0"/>
                <w:bCs w:val="0"/>
                <w:sz w:val="20"/>
                <w:szCs w:val="20"/>
                <w:vertAlign w:val="baseline"/>
                <w:lang w:val="en-US" w:eastAsia="zh-CN"/>
              </w:rPr>
            </w:pPr>
          </w:p>
        </w:tc>
      </w:tr>
    </w:tbl>
    <w:p>
      <w:pPr>
        <w:numPr>
          <w:ilvl w:val="0"/>
          <w:numId w:val="3"/>
        </w:numPr>
        <w:spacing w:after="180"/>
        <w:ind w:left="420" w:leftChars="0" w:hanging="420" w:firstLine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ICS requirements for in-band spectrum deployment mode of topology 2 reader</w:t>
      </w:r>
    </w:p>
    <w:p>
      <w:pPr>
        <w:widowControl w:val="0"/>
        <w:numPr>
          <w:ilvl w:val="0"/>
          <w:numId w:val="0"/>
        </w:num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For ICS requirement, currently intermediate UE is allowed to receive at both UL and DL spectrum. </w:t>
      </w:r>
    </w:p>
    <w:p>
      <w:pPr>
        <w:widowControl w:val="0"/>
        <w:numPr>
          <w:ilvl w:val="0"/>
          <w:numId w:val="0"/>
        </w:numPr>
        <w:spacing w:after="18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When intermediate UE receive at DL spectrum, we mainly consider the interference from legacy existing gNB to intermediate UE, i.e. the IBE at existing gNB and ICS at intermediate UE will impact final interference. This is much like the intra-system interference scenario. So it seems legacy UE requirement still applies.</w:t>
      </w:r>
    </w:p>
    <w:p>
      <w:pPr>
        <w:widowControl w:val="0"/>
        <w:numPr>
          <w:ilvl w:val="0"/>
          <w:numId w:val="0"/>
        </w:numPr>
        <w:spacing w:after="18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When intermediate UE receive at UL spectrum, we mainly consider the interference from legacy existing UE to intermediate UE, i.e. the IBE at existing UE and ICS at intermediate UE will impact final interference. UE-UE interference occurs only with low probability e.g. when such UEs are very near to each other. During analysis of UE feasibility at SBFD study phase, it is approved that ICS performance is much similar as ACS performance, so we can wait for co-existence evaluation to analyze whether ICS could reuse ACS value for intermediate UE.</w:t>
      </w:r>
    </w:p>
    <w:p>
      <w:pPr>
        <w:widowControl w:val="0"/>
        <w:numPr>
          <w:ilvl w:val="0"/>
          <w:numId w:val="0"/>
        </w:numPr>
        <w:spacing w:after="18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If final evaluation results show that better IBE/ICS requirement is required, one choice is to reserve guard RB to enhance performance. Then RAN4 needs to discuss whether to explicitly define guard RB in spec or implicitly defined by vendor implementation. If we don</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t define such guard RB requirement but leave it for implementation, then network control gNB has no idea of intermediate UE</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different guard RB. Once the guard RB is scheduled by UE, interference occurs. On the other hand, such constant guard RB would reduce spectrum utilization.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better to take care of this guard RB requirements and study how to balance interference and spectrum utilization.</w:t>
      </w:r>
    </w:p>
    <w:p>
      <w:pPr>
        <w:widowControl w:val="0"/>
        <w:numPr>
          <w:ilvl w:val="0"/>
          <w:numId w:val="0"/>
        </w:num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 xml:space="preserve">Observation 4: ICS requirement needs to wait for co-existence evaluation. Guard RB will help to improve IBE/ICS performance but will reduce spectrum utilization. </w:t>
      </w:r>
      <w:r>
        <w:rPr>
          <w:rFonts w:hint="eastAsia" w:ascii="Times New Roman" w:hAnsi="Times New Roman"/>
          <w:b w:val="0"/>
          <w:bCs w:val="0"/>
          <w:sz w:val="20"/>
          <w:szCs w:val="20"/>
          <w:lang w:val="en-US" w:eastAsia="zh-CN"/>
        </w:rPr>
        <w:t xml:space="preserve"> </w:t>
      </w:r>
      <w:r>
        <w:rPr>
          <w:rFonts w:hint="eastAsia" w:ascii="Times New Roman" w:hAnsi="Times New Roman"/>
          <w:b/>
          <w:bCs/>
          <w:sz w:val="20"/>
          <w:szCs w:val="20"/>
          <w:lang w:val="en-US" w:eastAsia="zh-CN"/>
        </w:rPr>
        <w:t xml:space="preserve"> </w:t>
      </w:r>
    </w:p>
    <w:p>
      <w:pPr>
        <w:numPr>
          <w:ilvl w:val="0"/>
          <w:numId w:val="3"/>
        </w:numPr>
        <w:spacing w:after="180"/>
        <w:ind w:left="420" w:leftChars="0" w:hanging="420" w:firstLine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Self-interference issue</w:t>
      </w:r>
    </w:p>
    <w:p>
      <w:pPr>
        <w:widowControl w:val="0"/>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Whether the CW uses DL or UL spectrum, self-interference occurs from CW to reader receiver. For the CW inside topology, we can use REFSENSE to reflect residual self-interference.</w:t>
      </w:r>
      <w:r>
        <w:rPr>
          <w:rFonts w:hint="eastAsia"/>
          <w:lang w:val="en-US" w:eastAsia="zh-CN"/>
        </w:rPr>
        <w:t xml:space="preserve"> </w:t>
      </w:r>
      <w:r>
        <w:rPr>
          <w:rFonts w:hint="eastAsia" w:ascii="Times New Roman" w:hAnsi="Times New Roman"/>
          <w:b w:val="0"/>
          <w:bCs w:val="0"/>
          <w:sz w:val="20"/>
          <w:szCs w:val="20"/>
          <w:lang w:val="en-US" w:eastAsia="zh-CN"/>
        </w:rPr>
        <w:t xml:space="preserve">Usually we assume 1dB REFSENSE desense for SBFD, but for A-IoT, the interference is the CW signal with single tone or multi-tone. the interference bandwidth is very narrow and this will lead following issue. </w:t>
      </w:r>
    </w:p>
    <w:p>
      <w:pPr>
        <w:widowControl w:val="0"/>
        <w:numPr>
          <w:ilvl w:val="0"/>
          <w:numId w:val="7"/>
        </w:numPr>
        <w:spacing w:after="180"/>
        <w:ind w:left="936" w:leftChars="0" w:hanging="360" w:firstLine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how to evaluate the REFSENSE desense especially when the interference bandwidth is such narrow, i.e. whether 1dB desense is still applicable or not</w:t>
      </w:r>
    </w:p>
    <w:p>
      <w:pPr>
        <w:keepNext w:val="0"/>
        <w:keepLines w:val="0"/>
        <w:pageBreakBefore w:val="0"/>
        <w:widowControl w:val="0"/>
        <w:numPr>
          <w:ilvl w:val="0"/>
          <w:numId w:val="0"/>
        </w:numPr>
        <w:kinsoku/>
        <w:wordWrap/>
        <w:overflowPunct/>
        <w:topLinePunct w:val="0"/>
        <w:autoSpaceDE/>
        <w:autoSpaceDN/>
        <w:bidi w:val="0"/>
        <w:adjustRightInd/>
        <w:snapToGrid/>
        <w:spacing w:after="180"/>
        <w:ind w:left="0" w:leftChars="0"/>
        <w:jc w:val="left"/>
        <w:textAlignment w:val="auto"/>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5: due to very narrow bandwidth of CW interference signal, RAN4 needs to further discuss whether 1dB desense self-interference cancellation target is still applicable or not.</w:t>
      </w:r>
    </w:p>
    <w:p>
      <w:pPr>
        <w:widowControl w:val="0"/>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When CW is outside the topology, additional spatial isolation will contribute to even less self-interference and the final residual self-interference may be negligible. But as analyzed, final residual self-interference is related to spatial isolation between CW and reader, RAN4 may needs some typical assumption before conclude whether to/how to reflect self-interference for outside topology scenario.</w:t>
      </w:r>
    </w:p>
    <w:p>
      <w:pPr>
        <w:widowControl w:val="0"/>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6: for CW outside topology, RAN4 needs some typical spatial isolation assumption before conclude whether to/ how to reflect self-interference by RF requirements.</w:t>
      </w:r>
    </w:p>
    <w:p>
      <w:pPr>
        <w:widowControl w:val="0"/>
        <w:numPr>
          <w:ilvl w:val="0"/>
          <w:numId w:val="8"/>
        </w:numPr>
        <w:spacing w:after="180"/>
        <w:ind w:left="420" w:leftChars="0" w:hanging="420" w:firstLine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ACS</w:t>
      </w:r>
    </w:p>
    <w:p>
      <w:pPr>
        <w:widowControl w:val="0"/>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Same as ACLR requirements, we have following observation and proposal for A-IoT.</w:t>
      </w:r>
    </w:p>
    <w:p>
      <w:pPr>
        <w:widowControl w:val="0"/>
        <w:numPr>
          <w:ilvl w:val="0"/>
          <w:numId w:val="0"/>
        </w:numPr>
        <w:spacing w:after="18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Observation: current co-existence evaluation only focus on in-band spectrum deployment mode but there is no interference analysis for adjacent carrier spectrum deployment mode.</w:t>
      </w:r>
    </w:p>
    <w:p>
      <w:pPr>
        <w:widowControl w:val="0"/>
        <w:numPr>
          <w:ilvl w:val="0"/>
          <w:numId w:val="0"/>
        </w:num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11: for ACS requirement</w:t>
      </w:r>
    </w:p>
    <w:p>
      <w:pPr>
        <w:widowControl w:val="0"/>
        <w:numPr>
          <w:ilvl w:val="1"/>
          <w:numId w:val="6"/>
        </w:numPr>
        <w:spacing w:after="180"/>
        <w:ind w:left="816" w:leftChars="0" w:hanging="360" w:firstLineChars="0"/>
        <w:jc w:val="left"/>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Once final co-existence evaluation show that A-IoT system could co-exist with NR system for in-band spectrum mode, then we can conclude legacy UE AC</w:t>
      </w:r>
      <w:r>
        <w:rPr>
          <w:rFonts w:hint="eastAsia" w:ascii="Times New Roman" w:hAnsi="Times New Roman"/>
          <w:b/>
          <w:bCs/>
          <w:sz w:val="20"/>
          <w:szCs w:val="20"/>
          <w:lang w:val="en-US" w:eastAsia="zh-CN"/>
        </w:rPr>
        <w:t>S</w:t>
      </w:r>
      <w:r>
        <w:rPr>
          <w:rFonts w:hint="default" w:ascii="Times New Roman" w:hAnsi="Times New Roman"/>
          <w:b/>
          <w:bCs/>
          <w:sz w:val="20"/>
          <w:szCs w:val="20"/>
          <w:lang w:val="en-US" w:eastAsia="zh-CN"/>
        </w:rPr>
        <w:t xml:space="preserve"> requirement applies for A-IoT UE reader. </w:t>
      </w:r>
    </w:p>
    <w:p>
      <w:pPr>
        <w:widowControl w:val="0"/>
        <w:numPr>
          <w:ilvl w:val="1"/>
          <w:numId w:val="6"/>
        </w:numPr>
        <w:spacing w:after="180"/>
        <w:ind w:left="816" w:leftChars="0" w:hanging="360" w:firstLineChars="0"/>
        <w:jc w:val="left"/>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But if certain interference occurs for in-band spectrum deployment mode, further evaluation is needed for corresponding interference case. But we can leave such analysis to work phase to define corresponding requirements.</w:t>
      </w:r>
    </w:p>
    <w:p>
      <w:pPr>
        <w:widowControl w:val="0"/>
        <w:numPr>
          <w:ilvl w:val="0"/>
          <w:numId w:val="8"/>
        </w:numPr>
        <w:spacing w:after="180"/>
        <w:ind w:left="420" w:leftChars="0" w:hanging="420" w:firstLineChars="0"/>
        <w:jc w:val="left"/>
        <w:rPr>
          <w:rFonts w:hint="default" w:ascii="Times New Roman" w:hAnsi="Times New Roman"/>
          <w:b w:val="0"/>
          <w:bCs w:val="0"/>
          <w:sz w:val="20"/>
          <w:szCs w:val="20"/>
          <w:lang w:val="en-US" w:eastAsia="zh-CN"/>
        </w:rPr>
      </w:pPr>
      <w:r>
        <w:rPr>
          <w:rFonts w:hint="default" w:ascii="Times New Roman" w:hAnsi="Times New Roman"/>
          <w:b w:val="0"/>
          <w:bCs w:val="0"/>
          <w:sz w:val="20"/>
          <w:szCs w:val="20"/>
          <w:lang w:val="en-US" w:eastAsia="zh-CN"/>
        </w:rPr>
        <w:t>IMD product for multiple-tone CW when define Rx requirements for reader</w:t>
      </w:r>
    </w:p>
    <w:p>
      <w:pPr>
        <w:widowControl w:val="0"/>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The same logic as discussed in BS reader RF requirement also applies for UE reader, UE reader should also consider the IMD product produced at device side for multiple single tone case. This seems like equivalent MSD requirement. We may need to define some additional REFSENSE desense requirement to reflect such IMD product. Anyway,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better to wait for RAN1 conclusion at first.</w:t>
      </w:r>
    </w:p>
    <w:p>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Observation 7: IMD product of multi-tone CW is much hard to be suppressed and filter solution may not work considering there is frequency overlapping between IMD products and wanted data. </w:t>
      </w:r>
    </w:p>
    <w:p>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12: RAN4 should wait for RAN1 CW signal design conclusion and then decide whether/how to consider the IMD product of multiple-tone CW when defining Rx requirements for reader.</w:t>
      </w:r>
    </w:p>
    <w:p>
      <w:pPr>
        <w:pStyle w:val="4"/>
        <w:bidi w:val="0"/>
        <w:rPr>
          <w:rFonts w:hint="default"/>
          <w:lang w:val="en-US" w:eastAsia="zh-CN"/>
        </w:rPr>
      </w:pPr>
      <w:r>
        <w:rPr>
          <w:rFonts w:hint="eastAsia"/>
          <w:lang w:val="en-US" w:eastAsia="zh-CN"/>
        </w:rPr>
        <w:t>2.4 A-IoT CW nodes of outside topology</w:t>
      </w:r>
    </w:p>
    <w:p>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the A-IoT CW nodes, only Tx requirement are needed. Different from legacy UE waveform, CW is single tone or multiple tone cases. So for CW node, we mainly need to consider the unwanted emission related requirements. system parameters and signal quality related requirements are not needed.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8"/>
        <w:gridCol w:w="4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requirement</w:t>
            </w:r>
          </w:p>
        </w:tc>
        <w:tc>
          <w:tcPr>
            <w:tcW w:w="4774"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Applicable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Operation bands</w:t>
            </w:r>
          </w:p>
        </w:tc>
        <w:tc>
          <w:tcPr>
            <w:tcW w:w="4774"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Single FDD DL or UL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Channel bandwidth related requirements</w:t>
            </w:r>
          </w:p>
        </w:tc>
        <w:tc>
          <w:tcPr>
            <w:tcW w:w="4774"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Channel arrangement related</w:t>
            </w:r>
          </w:p>
        </w:tc>
        <w:tc>
          <w:tcPr>
            <w:tcW w:w="4774"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Transmitter power</w:t>
            </w:r>
          </w:p>
        </w:tc>
        <w:tc>
          <w:tcPr>
            <w:tcW w:w="4774" w:type="dxa"/>
          </w:tcPr>
          <w:p>
            <w:pPr>
              <w:numPr>
                <w:ilvl w:val="0"/>
                <w:numId w:val="0"/>
              </w:numPr>
              <w:spacing w:before="120" w:after="180" w:line="280" w:lineRule="atLeast"/>
              <w:jc w:val="left"/>
              <w:rPr>
                <w:rFonts w:hint="eastAsia"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Applicable. Further check the power limit</w:t>
            </w:r>
          </w:p>
          <w:p>
            <w:pPr>
              <w:numPr>
                <w:ilvl w:val="0"/>
                <w:numId w:val="0"/>
              </w:numPr>
              <w:spacing w:before="120" w:after="180" w:line="280" w:lineRule="atLeast"/>
              <w:jc w:val="left"/>
              <w:rPr>
                <w:rFonts w:hint="eastAsia"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MPR/A-MPR not applicable</w:t>
            </w:r>
          </w:p>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Configured output power,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Output power dynamic range</w:t>
            </w:r>
          </w:p>
        </w:tc>
        <w:tc>
          <w:tcPr>
            <w:tcW w:w="4774" w:type="dxa"/>
          </w:tcPr>
          <w:p>
            <w:pPr>
              <w:numPr>
                <w:ilvl w:val="0"/>
                <w:numId w:val="0"/>
              </w:numPr>
              <w:spacing w:before="120" w:after="180" w:line="280" w:lineRule="atLeast"/>
              <w:jc w:val="left"/>
              <w:rPr>
                <w:rFonts w:hint="eastAsia"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Minimum output power: not applicable</w:t>
            </w:r>
          </w:p>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ON/OFF time mask: may not applicable</w:t>
            </w:r>
          </w:p>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Power control: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numPr>
                <w:ilvl w:val="0"/>
                <w:numId w:val="0"/>
              </w:numPr>
              <w:spacing w:before="120" w:after="180" w:line="280" w:lineRule="atLeast"/>
              <w:jc w:val="left"/>
              <w:rPr>
                <w:rFonts w:hint="eastAsia"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Transmit signal quality</w:t>
            </w:r>
          </w:p>
        </w:tc>
        <w:tc>
          <w:tcPr>
            <w:tcW w:w="4774" w:type="dxa"/>
          </w:tcPr>
          <w:p>
            <w:pPr>
              <w:numPr>
                <w:ilvl w:val="0"/>
                <w:numId w:val="0"/>
              </w:numPr>
              <w:spacing w:before="120" w:after="180" w:line="280" w:lineRule="atLeast"/>
              <w:jc w:val="left"/>
              <w:rPr>
                <w:rFonts w:hint="eastAsia"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Frequency error: not applicable</w:t>
            </w:r>
          </w:p>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Transmit modulation quality: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RF spectrum emission</w:t>
            </w:r>
          </w:p>
        </w:tc>
        <w:tc>
          <w:tcPr>
            <w:tcW w:w="4774" w:type="dxa"/>
          </w:tcPr>
          <w:p>
            <w:pPr>
              <w:numPr>
                <w:ilvl w:val="0"/>
                <w:numId w:val="0"/>
              </w:numPr>
              <w:spacing w:before="120" w:after="180" w:line="280" w:lineRule="atLeast"/>
              <w:jc w:val="left"/>
              <w:rPr>
                <w:rFonts w:hint="eastAsia"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Occupied bandwidth: not applicable</w:t>
            </w:r>
          </w:p>
          <w:p>
            <w:pPr>
              <w:numPr>
                <w:ilvl w:val="0"/>
                <w:numId w:val="0"/>
              </w:numPr>
              <w:spacing w:before="120" w:after="180" w:line="280" w:lineRule="atLeast"/>
              <w:jc w:val="left"/>
              <w:rPr>
                <w:rFonts w:hint="eastAsia" w:ascii="Times New Roman" w:hAnsi="Times New Roman"/>
                <w:b w:val="0"/>
                <w:bCs w:val="0"/>
                <w:sz w:val="20"/>
                <w:szCs w:val="20"/>
                <w:highlight w:val="yellow"/>
                <w:vertAlign w:val="baseline"/>
                <w:lang w:val="en-US" w:eastAsia="zh-CN"/>
              </w:rPr>
            </w:pPr>
            <w:r>
              <w:rPr>
                <w:rFonts w:hint="eastAsia" w:ascii="Times New Roman" w:hAnsi="Times New Roman"/>
                <w:b w:val="0"/>
                <w:bCs w:val="0"/>
                <w:sz w:val="20"/>
                <w:szCs w:val="20"/>
                <w:vertAlign w:val="baseline"/>
                <w:lang w:val="en-US" w:eastAsia="zh-CN"/>
              </w:rPr>
              <w:t>Out of band emi</w:t>
            </w:r>
            <w:r>
              <w:rPr>
                <w:rFonts w:hint="eastAsia" w:ascii="Times New Roman" w:hAnsi="Times New Roman"/>
                <w:b w:val="0"/>
                <w:bCs w:val="0"/>
                <w:sz w:val="20"/>
                <w:szCs w:val="20"/>
                <w:highlight w:val="none"/>
                <w:vertAlign w:val="baseline"/>
                <w:lang w:val="en-US" w:eastAsia="zh-CN"/>
              </w:rPr>
              <w:t>ssion: not applicable if we assume CW nodes have almost perfect out of band emission?</w:t>
            </w:r>
          </w:p>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Spurious emission: current may still applicable to meet regulatory requirement</w:t>
            </w:r>
          </w:p>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Transmit inter-modulation: applies at least for inside topology case</w:t>
            </w:r>
          </w:p>
        </w:tc>
      </w:tr>
    </w:tbl>
    <w:p>
      <w:pPr>
        <w:numPr>
          <w:ilvl w:val="0"/>
          <w:numId w:val="0"/>
        </w:numPr>
        <w:spacing w:after="180"/>
        <w:ind w:leftChars="0"/>
        <w:jc w:val="left"/>
        <w:rPr>
          <w:rFonts w:hint="eastAsia" w:ascii="Times New Roman" w:hAnsi="Times New Roman"/>
          <w:b w:val="0"/>
          <w:bCs w:val="0"/>
          <w:sz w:val="20"/>
          <w:szCs w:val="20"/>
          <w:lang w:val="en-US" w:eastAsia="zh-CN"/>
        </w:rPr>
      </w:pPr>
    </w:p>
    <w:p>
      <w:pPr>
        <w:spacing w:after="180"/>
        <w:jc w:val="left"/>
        <w:rPr>
          <w:rFonts w:ascii="Times New Roman" w:hAnsi="Times New Roman"/>
          <w:sz w:val="20"/>
          <w:szCs w:val="20"/>
        </w:rPr>
      </w:pPr>
      <w:r>
        <w:rPr>
          <w:rFonts w:hint="eastAsia" w:ascii="Times New Roman" w:hAnsi="Times New Roman"/>
          <w:sz w:val="20"/>
          <w:szCs w:val="20"/>
        </w:rPr>
        <w:t xml:space="preserve">If RAN4 define RF requirements for CW outside topology, it seems </w:t>
      </w:r>
      <w:r>
        <w:rPr>
          <w:rFonts w:hint="eastAsia" w:ascii="Times New Roman" w:hAnsi="Times New Roman"/>
          <w:sz w:val="20"/>
          <w:szCs w:val="20"/>
          <w:lang w:val="en-US" w:eastAsia="zh-CN"/>
        </w:rPr>
        <w:t xml:space="preserve">we can </w:t>
      </w:r>
      <w:r>
        <w:rPr>
          <w:rFonts w:hint="eastAsia" w:ascii="Times New Roman" w:hAnsi="Times New Roman"/>
          <w:sz w:val="20"/>
          <w:szCs w:val="20"/>
        </w:rPr>
        <w:t>only consider max output power and spurious emission requirements.</w:t>
      </w:r>
    </w:p>
    <w:p>
      <w:pPr>
        <w:spacing w:after="180"/>
        <w:jc w:val="left"/>
        <w:rPr>
          <w:rFonts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13</w:t>
      </w:r>
      <w:r>
        <w:rPr>
          <w:rFonts w:hint="eastAsia" w:ascii="Times New Roman" w:hAnsi="Times New Roman"/>
          <w:b/>
          <w:bCs/>
          <w:sz w:val="20"/>
          <w:szCs w:val="20"/>
        </w:rPr>
        <w:t xml:space="preserve">: for CW outside of topology, it seems only max output power and spurious emission requirement is applicable. </w:t>
      </w:r>
      <w:r>
        <w:rPr>
          <w:rFonts w:hint="eastAsia" w:ascii="Times New Roman" w:hAnsi="Times New Roman"/>
          <w:b/>
          <w:bCs/>
          <w:sz w:val="20"/>
          <w:szCs w:val="20"/>
          <w:lang w:val="en-US" w:eastAsia="zh-CN"/>
        </w:rPr>
        <w:t xml:space="preserve">For out of band emission, if we assume almost perfect performance since single tone is assumed, there is no need for such requirements. </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szCs w:val="20"/>
          <w:lang w:val="en-US" w:eastAsia="zh-CN"/>
        </w:rPr>
        <w:t>RF requirements of intermediate UE are discussed with following observations and proposals.</w:t>
      </w:r>
    </w:p>
    <w:p>
      <w:pPr>
        <w:widowControl w:val="0"/>
        <w:numPr>
          <w:ilvl w:val="0"/>
          <w:numId w:val="0"/>
        </w:numPr>
        <w:spacing w:after="180"/>
        <w:ind w:leftChars="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1: intermediate UE should following current UE RF requirements when it connect to controlling gNB.</w:t>
      </w:r>
    </w:p>
    <w:p>
      <w:pPr>
        <w:widowControl w:val="0"/>
        <w:numPr>
          <w:ilvl w:val="0"/>
          <w:numId w:val="0"/>
        </w:numPr>
        <w:spacing w:after="180"/>
        <w:ind w:leftChars="0"/>
        <w:jc w:val="left"/>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2: it</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s suggested to separately testing intermediate UE when it acts like UE and when it acts like reader even if certain RF requirements are the same.</w:t>
      </w:r>
    </w:p>
    <w:p>
      <w:pPr>
        <w:widowControl w:val="0"/>
        <w:numPr>
          <w:ilvl w:val="0"/>
          <w:numId w:val="0"/>
        </w:numPr>
        <w:spacing w:after="180"/>
        <w:jc w:val="left"/>
        <w:rPr>
          <w:rFonts w:hint="eastAsia"/>
          <w:b/>
          <w:bCs/>
          <w:lang w:val="en-US" w:eastAsia="zh-CN"/>
        </w:rPr>
      </w:pPr>
      <w:r>
        <w:rPr>
          <w:rFonts w:hint="eastAsia" w:ascii="Times New Roman" w:hAnsi="Times New Roman"/>
          <w:b/>
          <w:bCs/>
          <w:sz w:val="20"/>
          <w:szCs w:val="20"/>
          <w:lang w:val="en-US" w:eastAsia="zh-CN"/>
        </w:rPr>
        <w:t>Proposal 3: for intermediate UE band specific RF requirement analysis,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s suggested to only use n8(900MHz) as example band. </w:t>
      </w:r>
      <w:r>
        <w:rPr>
          <w:rFonts w:hint="eastAsia"/>
          <w:b/>
          <w:bCs/>
          <w:lang w:val="en-US" w:eastAsia="zh-CN"/>
        </w:rPr>
        <w:t xml:space="preserve"> </w:t>
      </w:r>
    </w:p>
    <w:p>
      <w:pPr>
        <w:widowControl w:val="0"/>
        <w:numPr>
          <w:ilvl w:val="0"/>
          <w:numId w:val="0"/>
        </w:num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4: max supported power class per band of intermediate UE is only limited to PC3 as baseline.</w:t>
      </w:r>
    </w:p>
    <w:p>
      <w:pPr>
        <w:widowControl w:val="0"/>
        <w:numPr>
          <w:ilvl w:val="0"/>
          <w:numId w:val="0"/>
        </w:numPr>
        <w:spacing w:after="180"/>
        <w:ind w:leftChars="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5: no minimum output power nor power control requirement are needed for intermediate UE.</w:t>
      </w:r>
    </w:p>
    <w:p>
      <w:pPr>
        <w:numPr>
          <w:ilvl w:val="0"/>
          <w:numId w:val="0"/>
        </w:numPr>
        <w:spacing w:after="180"/>
        <w:ind w:left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6: it</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s suggested to define transient period related requirements for A-IoT reader. Details value can refer to RFID rise/fall time.</w:t>
      </w:r>
    </w:p>
    <w:p>
      <w:pPr>
        <w:numPr>
          <w:ilvl w:val="0"/>
          <w:numId w:val="0"/>
        </w:numPr>
        <w:spacing w:after="180"/>
        <w:ind w:leftChars="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7: RAN4 further discuss whether settling time as defined in RFID spec is needed or not to evaluate RF envelop ripple characteristics.</w:t>
      </w:r>
    </w:p>
    <w:p>
      <w:pPr>
        <w:numPr>
          <w:ilvl w:val="0"/>
          <w:numId w:val="0"/>
        </w:numPr>
        <w:spacing w:after="180"/>
        <w:ind w:leftChars="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Observation 1: RFID spec use RF envelop related parameters to evaluate ASK signal transmission quality requirement, e.g. modulation depth, RF envelop ripple, RF plusewidth etc.</w:t>
      </w:r>
    </w:p>
    <w:p>
      <w:pPr>
        <w:numPr>
          <w:ilvl w:val="0"/>
          <w:numId w:val="0"/>
        </w:numPr>
        <w:spacing w:after="180"/>
        <w:ind w:left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8: RAN4 could refer to RFID RF envelop related parameters to define signal transmission quality requirement as starting point, i.e. modulation depth, RF envelop ripple, RF plusewidth. Besides, the RF requirements for BS reader and UE reader can be the same.</w:t>
      </w:r>
    </w:p>
    <w:p>
      <w:pPr>
        <w:widowControl w:val="0"/>
        <w:numPr>
          <w:ilvl w:val="0"/>
          <w:numId w:val="0"/>
        </w:num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2: It seems current legacy IBE requirements of UE still applies for intermediate UE.</w:t>
      </w:r>
    </w:p>
    <w:p>
      <w:pPr>
        <w:widowControl w:val="0"/>
        <w:numPr>
          <w:ilvl w:val="0"/>
          <w:numId w:val="0"/>
        </w:num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9: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assume that legacy IBE requirements of UE still applies for intermediate UE as starting point.</w:t>
      </w:r>
    </w:p>
    <w:p>
      <w:pPr>
        <w:widowControl w:val="0"/>
        <w:numPr>
          <w:ilvl w:val="0"/>
          <w:numId w:val="0"/>
        </w:num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3: current co-existence evaluation only focus on in-band spectrum deployment mode but there is no interference analysis for adjacent carrier spectrum deployment mode.</w:t>
      </w:r>
    </w:p>
    <w:p>
      <w:pPr>
        <w:widowControl w:val="0"/>
        <w:numPr>
          <w:ilvl w:val="0"/>
          <w:numId w:val="0"/>
        </w:num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10: for ACLR requirement</w:t>
      </w:r>
    </w:p>
    <w:p>
      <w:pPr>
        <w:widowControl w:val="0"/>
        <w:numPr>
          <w:ilvl w:val="1"/>
          <w:numId w:val="6"/>
        </w:numPr>
        <w:spacing w:after="180"/>
        <w:ind w:left="816" w:leftChars="0" w:hanging="360" w:firstLineChars="0"/>
        <w:jc w:val="left"/>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 xml:space="preserve">Once final co-existence evaluation show that A-IoT system could co-exist with NR system for in-band spectrum mode, then we can conclude legacy UE ACLR requirement applies for A-IoT UE reader. </w:t>
      </w:r>
    </w:p>
    <w:p>
      <w:pPr>
        <w:widowControl w:val="0"/>
        <w:numPr>
          <w:ilvl w:val="1"/>
          <w:numId w:val="6"/>
        </w:numPr>
        <w:spacing w:after="180"/>
        <w:ind w:left="816" w:leftChars="0" w:hanging="360" w:firstLineChars="0"/>
        <w:jc w:val="left"/>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But if certain interference occurs for in-band spectrum deployment mode, further evaluation is needed for corresponding interference case. But we can leave such analysis to work phase to define corresponding requirements.</w:t>
      </w:r>
    </w:p>
    <w:p>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 xml:space="preserve">Observation 4: ICS requirement needs to wait for co-existence evaluation. Guard RB will help to improve IBE/ICS performance but will reduce spectrum utilization. </w:t>
      </w:r>
    </w:p>
    <w:p>
      <w:pPr>
        <w:keepNext w:val="0"/>
        <w:keepLines w:val="0"/>
        <w:pageBreakBefore w:val="0"/>
        <w:widowControl w:val="0"/>
        <w:numPr>
          <w:ilvl w:val="0"/>
          <w:numId w:val="0"/>
        </w:numPr>
        <w:kinsoku/>
        <w:wordWrap/>
        <w:overflowPunct/>
        <w:topLinePunct w:val="0"/>
        <w:autoSpaceDE/>
        <w:autoSpaceDN/>
        <w:bidi w:val="0"/>
        <w:adjustRightInd/>
        <w:snapToGrid/>
        <w:spacing w:after="180"/>
        <w:ind w:left="0" w:leftChars="0"/>
        <w:jc w:val="left"/>
        <w:textAlignment w:val="auto"/>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5: due to very narrow bandwidth of CW interference signal, RAN4 needs to further discuss whether 1dB desense self-interference cancellation target is still applicable or not.</w:t>
      </w:r>
    </w:p>
    <w:p>
      <w:pPr>
        <w:widowControl w:val="0"/>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6: for CW outside topology, RAN4 needs some typical spatial isolation assumption before conclude whether to/ how to reflect self-interference by RF requirements.</w:t>
      </w:r>
    </w:p>
    <w:p>
      <w:pPr>
        <w:widowControl w:val="0"/>
        <w:numPr>
          <w:ilvl w:val="0"/>
          <w:numId w:val="0"/>
        </w:num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11: for ACS requirement</w:t>
      </w:r>
    </w:p>
    <w:p>
      <w:pPr>
        <w:widowControl w:val="0"/>
        <w:numPr>
          <w:ilvl w:val="1"/>
          <w:numId w:val="6"/>
        </w:numPr>
        <w:spacing w:after="180"/>
        <w:ind w:left="816" w:leftChars="0" w:hanging="360" w:firstLineChars="0"/>
        <w:jc w:val="left"/>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Once final co-existence evaluation show that A-IoT system could co-exist with NR system for in-band spectrum mode, then we can conclude legacy UE AC</w:t>
      </w:r>
      <w:r>
        <w:rPr>
          <w:rFonts w:hint="eastAsia" w:ascii="Times New Roman" w:hAnsi="Times New Roman"/>
          <w:b/>
          <w:bCs/>
          <w:sz w:val="20"/>
          <w:szCs w:val="20"/>
          <w:lang w:val="en-US" w:eastAsia="zh-CN"/>
        </w:rPr>
        <w:t>S</w:t>
      </w:r>
      <w:r>
        <w:rPr>
          <w:rFonts w:hint="default" w:ascii="Times New Roman" w:hAnsi="Times New Roman"/>
          <w:b/>
          <w:bCs/>
          <w:sz w:val="20"/>
          <w:szCs w:val="20"/>
          <w:lang w:val="en-US" w:eastAsia="zh-CN"/>
        </w:rPr>
        <w:t xml:space="preserve"> requirement applies for A-IoT UE reader. </w:t>
      </w:r>
    </w:p>
    <w:p>
      <w:pPr>
        <w:widowControl w:val="0"/>
        <w:numPr>
          <w:ilvl w:val="1"/>
          <w:numId w:val="6"/>
        </w:numPr>
        <w:spacing w:after="180"/>
        <w:ind w:left="816" w:leftChars="0" w:hanging="360" w:firstLineChars="0"/>
        <w:jc w:val="left"/>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But if certain interference occurs for in-band spectrum deployment mode, further evaluation is needed for corresponding interference case. But we can leave such analysis to work phase to define corresponding requirements.</w:t>
      </w:r>
    </w:p>
    <w:p>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Observation 7: IMD product of multi-tone CW is much hard to be suppressed and filter solution may not work considering there is frequency overlapping between IMD products and wanted data. </w:t>
      </w:r>
    </w:p>
    <w:p>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12: RAN4 should wait for RAN1 CW signal design conclusion and then decide whether/how to consider the IMD product of multiple-tone CW when defining Rx requirements for reader.</w:t>
      </w:r>
    </w:p>
    <w:p>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13</w:t>
      </w:r>
      <w:r>
        <w:rPr>
          <w:rFonts w:hint="eastAsia" w:ascii="Times New Roman" w:hAnsi="Times New Roman"/>
          <w:b/>
          <w:bCs/>
          <w:sz w:val="20"/>
          <w:szCs w:val="20"/>
        </w:rPr>
        <w:t xml:space="preserve">: for CW outside of topology, it seems only max output power and spurious emission requirement is applicable. </w:t>
      </w:r>
      <w:r>
        <w:rPr>
          <w:rFonts w:hint="eastAsia" w:ascii="Times New Roman" w:hAnsi="Times New Roman"/>
          <w:b/>
          <w:bCs/>
          <w:sz w:val="20"/>
          <w:szCs w:val="20"/>
          <w:lang w:val="en-US" w:eastAsia="zh-CN"/>
        </w:rPr>
        <w:t xml:space="preserve">For out of band emission, if we assume almost perfect performance since single tone is assumed, there is no need for such requirements. </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numPr>
          <w:ilvl w:val="0"/>
          <w:numId w:val="9"/>
        </w:numPr>
        <w:tabs>
          <w:tab w:val="right" w:pos="10440"/>
          <w:tab w:val="right" w:pos="13323"/>
        </w:tabs>
        <w:spacing w:after="0"/>
        <w:jc w:val="left"/>
        <w:rPr>
          <w:rFonts w:hint="default" w:ascii="Times New Roman" w:hAnsi="Times New Roman" w:eastAsia="宋体"/>
          <w:sz w:val="20"/>
          <w:szCs w:val="20"/>
          <w:lang w:val="en-US" w:eastAsia="zh-CN"/>
        </w:rPr>
      </w:pPr>
      <w:r>
        <w:rPr>
          <w:rFonts w:hint="default" w:ascii="Times New Roman" w:hAnsi="Times New Roman" w:cs="Times New Roman"/>
          <w:sz w:val="20"/>
          <w:szCs w:val="20"/>
          <w:highlight w:val="none"/>
        </w:rPr>
        <w:t>R</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54A0A1"/>
    <w:multiLevelType w:val="multilevel"/>
    <w:tmpl w:val="D054A0A1"/>
    <w:lvl w:ilvl="0" w:tentative="0">
      <w:start w:val="1"/>
      <w:numFmt w:val="bullet"/>
      <w:lvlText w:val=""/>
      <w:lvlJc w:val="left"/>
      <w:pPr>
        <w:tabs>
          <w:tab w:val="left" w:pos="-840"/>
        </w:tabs>
        <w:ind w:left="96" w:hanging="360"/>
      </w:pPr>
      <w:rPr>
        <w:rFonts w:hint="default" w:ascii="Symbol" w:hAnsi="Symbol"/>
        <w:lang w:val="en-GB"/>
      </w:rPr>
    </w:lvl>
    <w:lvl w:ilvl="1" w:tentative="0">
      <w:start w:val="1"/>
      <w:numFmt w:val="bullet"/>
      <w:lvlText w:val="o"/>
      <w:lvlJc w:val="left"/>
      <w:pPr>
        <w:tabs>
          <w:tab w:val="left" w:pos="-840"/>
        </w:tabs>
        <w:ind w:left="816" w:hanging="360"/>
      </w:pPr>
      <w:rPr>
        <w:rFonts w:hint="default" w:ascii="Courier New" w:hAnsi="Courier New" w:cs="Cambria"/>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ambria"/>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ambria"/>
      </w:rPr>
    </w:lvl>
    <w:lvl w:ilvl="8" w:tentative="0">
      <w:start w:val="1"/>
      <w:numFmt w:val="bullet"/>
      <w:lvlText w:val=""/>
      <w:lvlJc w:val="left"/>
      <w:pPr>
        <w:tabs>
          <w:tab w:val="left" w:pos="-840"/>
        </w:tabs>
        <w:ind w:left="5856" w:hanging="36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E36BDDE0"/>
    <w:multiLevelType w:val="multilevel"/>
    <w:tmpl w:val="E36BDDE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0800CF2C"/>
    <w:multiLevelType w:val="singleLevel"/>
    <w:tmpl w:val="0800CF2C"/>
    <w:lvl w:ilvl="0" w:tentative="0">
      <w:start w:val="1"/>
      <w:numFmt w:val="bullet"/>
      <w:lvlText w:val=""/>
      <w:lvlJc w:val="left"/>
      <w:pPr>
        <w:ind w:left="420" w:hanging="420"/>
      </w:pPr>
      <w:rPr>
        <w:rFonts w:hint="default" w:ascii="Wingdings" w:hAnsi="Wingdings"/>
      </w:rPr>
    </w:lvl>
  </w:abstractNum>
  <w:abstractNum w:abstractNumId="5">
    <w:nsid w:val="097A406A"/>
    <w:multiLevelType w:val="multilevel"/>
    <w:tmpl w:val="097A40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79A6892F"/>
    <w:multiLevelType w:val="multilevel"/>
    <w:tmpl w:val="79A6892F"/>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G Times (WN)"/>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G Times (WN)"/>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G Times (WN)"/>
      </w:rPr>
    </w:lvl>
    <w:lvl w:ilvl="8" w:tentative="0">
      <w:start w:val="1"/>
      <w:numFmt w:val="bullet"/>
      <w:lvlText w:val=""/>
      <w:lvlJc w:val="left"/>
      <w:pPr>
        <w:ind w:left="6696" w:hanging="360"/>
      </w:pPr>
      <w:rPr>
        <w:rFonts w:hint="default" w:ascii="Wingdings" w:hAnsi="Wingdings"/>
      </w:rPr>
    </w:lvl>
  </w:abstractNum>
  <w:abstractNum w:abstractNumId="8">
    <w:nsid w:val="79BA65EF"/>
    <w:multiLevelType w:val="singleLevel"/>
    <w:tmpl w:val="79BA65EF"/>
    <w:lvl w:ilvl="0" w:tentative="0">
      <w:start w:val="1"/>
      <w:numFmt w:val="bullet"/>
      <w:lvlText w:val=""/>
      <w:lvlJc w:val="left"/>
      <w:pPr>
        <w:ind w:left="420" w:hanging="420"/>
      </w:pPr>
      <w:rPr>
        <w:rFonts w:hint="default" w:ascii="Wingdings" w:hAnsi="Wingdings"/>
      </w:rPr>
    </w:lvl>
  </w:abstractNum>
  <w:num w:numId="1">
    <w:abstractNumId w:val="2"/>
  </w:num>
  <w:num w:numId="2">
    <w:abstractNumId w:val="3"/>
  </w:num>
  <w:num w:numId="3">
    <w:abstractNumId w:val="4"/>
  </w:num>
  <w:num w:numId="4">
    <w:abstractNumId w:val="6"/>
  </w:num>
  <w:num w:numId="5">
    <w:abstractNumId w:val="5"/>
  </w:num>
  <w:num w:numId="6">
    <w:abstractNumId w:val="0"/>
  </w:num>
  <w:num w:numId="7">
    <w:abstractNumId w:val="7"/>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017"/>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B45"/>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49B7"/>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2071E5"/>
    <w:rsid w:val="012F3F7C"/>
    <w:rsid w:val="01361389"/>
    <w:rsid w:val="017932F1"/>
    <w:rsid w:val="018A0E13"/>
    <w:rsid w:val="01BD0368"/>
    <w:rsid w:val="01DE089D"/>
    <w:rsid w:val="0203408A"/>
    <w:rsid w:val="020970CA"/>
    <w:rsid w:val="0226460D"/>
    <w:rsid w:val="023B43AB"/>
    <w:rsid w:val="028213AB"/>
    <w:rsid w:val="028E1852"/>
    <w:rsid w:val="02BB6F86"/>
    <w:rsid w:val="02C81B1F"/>
    <w:rsid w:val="03391357"/>
    <w:rsid w:val="03401DDD"/>
    <w:rsid w:val="035967B1"/>
    <w:rsid w:val="03597E40"/>
    <w:rsid w:val="035D4591"/>
    <w:rsid w:val="03631D1E"/>
    <w:rsid w:val="037E5DCB"/>
    <w:rsid w:val="03E26584"/>
    <w:rsid w:val="04492C16"/>
    <w:rsid w:val="045647A9"/>
    <w:rsid w:val="04680BC2"/>
    <w:rsid w:val="046A6CCD"/>
    <w:rsid w:val="047B4D00"/>
    <w:rsid w:val="048552F8"/>
    <w:rsid w:val="04A732AF"/>
    <w:rsid w:val="04B03BBE"/>
    <w:rsid w:val="04B527F1"/>
    <w:rsid w:val="04C837E3"/>
    <w:rsid w:val="04EA243B"/>
    <w:rsid w:val="04F92D5C"/>
    <w:rsid w:val="05014C42"/>
    <w:rsid w:val="05026E46"/>
    <w:rsid w:val="053C405B"/>
    <w:rsid w:val="056F5AD7"/>
    <w:rsid w:val="057B51DE"/>
    <w:rsid w:val="058916A3"/>
    <w:rsid w:val="059E10D1"/>
    <w:rsid w:val="05A012C8"/>
    <w:rsid w:val="05AA7D54"/>
    <w:rsid w:val="05BF54F8"/>
    <w:rsid w:val="05DD6BAF"/>
    <w:rsid w:val="05E277B3"/>
    <w:rsid w:val="05FF6A11"/>
    <w:rsid w:val="060557D7"/>
    <w:rsid w:val="06305334"/>
    <w:rsid w:val="0636723D"/>
    <w:rsid w:val="06434355"/>
    <w:rsid w:val="068C7C4C"/>
    <w:rsid w:val="06963DDF"/>
    <w:rsid w:val="06A52D74"/>
    <w:rsid w:val="06CC0A35"/>
    <w:rsid w:val="07031681"/>
    <w:rsid w:val="070A3CB8"/>
    <w:rsid w:val="07530E8A"/>
    <w:rsid w:val="0769686A"/>
    <w:rsid w:val="076E27BD"/>
    <w:rsid w:val="076E63D7"/>
    <w:rsid w:val="0770402F"/>
    <w:rsid w:val="078E5270"/>
    <w:rsid w:val="07913C76"/>
    <w:rsid w:val="079C6B56"/>
    <w:rsid w:val="07B42F31"/>
    <w:rsid w:val="07CA6B66"/>
    <w:rsid w:val="07D06FDE"/>
    <w:rsid w:val="07E72487"/>
    <w:rsid w:val="07F15671"/>
    <w:rsid w:val="08200491"/>
    <w:rsid w:val="08425E71"/>
    <w:rsid w:val="08545039"/>
    <w:rsid w:val="085D3E3F"/>
    <w:rsid w:val="087912F3"/>
    <w:rsid w:val="088C4ECC"/>
    <w:rsid w:val="08973524"/>
    <w:rsid w:val="08A26EE3"/>
    <w:rsid w:val="08A65D3D"/>
    <w:rsid w:val="08F47141"/>
    <w:rsid w:val="08F822C4"/>
    <w:rsid w:val="0900762B"/>
    <w:rsid w:val="09264BC9"/>
    <w:rsid w:val="092D4D1C"/>
    <w:rsid w:val="09626007"/>
    <w:rsid w:val="09670379"/>
    <w:rsid w:val="097C4A9B"/>
    <w:rsid w:val="09993AB5"/>
    <w:rsid w:val="09B86E7F"/>
    <w:rsid w:val="09C147BD"/>
    <w:rsid w:val="09D07DA9"/>
    <w:rsid w:val="09F66D51"/>
    <w:rsid w:val="0A0219DF"/>
    <w:rsid w:val="0A6367BB"/>
    <w:rsid w:val="0A894FD9"/>
    <w:rsid w:val="0A9458FA"/>
    <w:rsid w:val="0AA20101"/>
    <w:rsid w:val="0AA35B83"/>
    <w:rsid w:val="0ABA1F25"/>
    <w:rsid w:val="0ADD2F10"/>
    <w:rsid w:val="0AE113D2"/>
    <w:rsid w:val="0AF67B8B"/>
    <w:rsid w:val="0B0758A7"/>
    <w:rsid w:val="0B1B4548"/>
    <w:rsid w:val="0B3166EB"/>
    <w:rsid w:val="0B8373EF"/>
    <w:rsid w:val="0BBF5056"/>
    <w:rsid w:val="0BE65845"/>
    <w:rsid w:val="0BE92617"/>
    <w:rsid w:val="0BEA0098"/>
    <w:rsid w:val="0BF0521B"/>
    <w:rsid w:val="0BF63EAB"/>
    <w:rsid w:val="0BF7455D"/>
    <w:rsid w:val="0BFE4B3A"/>
    <w:rsid w:val="0C296C83"/>
    <w:rsid w:val="0C4357DC"/>
    <w:rsid w:val="0C5C1421"/>
    <w:rsid w:val="0C8D3125"/>
    <w:rsid w:val="0C93502E"/>
    <w:rsid w:val="0CA73CCE"/>
    <w:rsid w:val="0CDD41A8"/>
    <w:rsid w:val="0D3D7FA0"/>
    <w:rsid w:val="0D545798"/>
    <w:rsid w:val="0D5D37FD"/>
    <w:rsid w:val="0D624402"/>
    <w:rsid w:val="0D696CE5"/>
    <w:rsid w:val="0D6B0CA5"/>
    <w:rsid w:val="0D747B9F"/>
    <w:rsid w:val="0D8F41B3"/>
    <w:rsid w:val="0DD237BC"/>
    <w:rsid w:val="0E037D57"/>
    <w:rsid w:val="0E1D4B35"/>
    <w:rsid w:val="0E241F41"/>
    <w:rsid w:val="0E413A70"/>
    <w:rsid w:val="0E585CBC"/>
    <w:rsid w:val="0E5E63A7"/>
    <w:rsid w:val="0E5F68A3"/>
    <w:rsid w:val="0E7813A9"/>
    <w:rsid w:val="0E7D1E11"/>
    <w:rsid w:val="0EBC441C"/>
    <w:rsid w:val="0EBD33B9"/>
    <w:rsid w:val="0EBE690E"/>
    <w:rsid w:val="0F1A117A"/>
    <w:rsid w:val="0F1A5672"/>
    <w:rsid w:val="0F1C3F4D"/>
    <w:rsid w:val="0F4B77A5"/>
    <w:rsid w:val="0F5116AE"/>
    <w:rsid w:val="0F596ABB"/>
    <w:rsid w:val="0F5F09C4"/>
    <w:rsid w:val="0F5F4247"/>
    <w:rsid w:val="0F6273CA"/>
    <w:rsid w:val="0F7D4B34"/>
    <w:rsid w:val="0F984BA4"/>
    <w:rsid w:val="0FB66E54"/>
    <w:rsid w:val="0FC419ED"/>
    <w:rsid w:val="0FCB3577"/>
    <w:rsid w:val="0FD9288C"/>
    <w:rsid w:val="0FEE6FAE"/>
    <w:rsid w:val="0FF20B73"/>
    <w:rsid w:val="10003991"/>
    <w:rsid w:val="100565B7"/>
    <w:rsid w:val="101F3001"/>
    <w:rsid w:val="10254F0A"/>
    <w:rsid w:val="10337AA3"/>
    <w:rsid w:val="10406DB9"/>
    <w:rsid w:val="105E6369"/>
    <w:rsid w:val="107A5C99"/>
    <w:rsid w:val="107B7E97"/>
    <w:rsid w:val="1085402A"/>
    <w:rsid w:val="109045B9"/>
    <w:rsid w:val="10994EC9"/>
    <w:rsid w:val="109C57D8"/>
    <w:rsid w:val="10D64689"/>
    <w:rsid w:val="10E05471"/>
    <w:rsid w:val="10ED29B0"/>
    <w:rsid w:val="10EF7E56"/>
    <w:rsid w:val="10FB74EC"/>
    <w:rsid w:val="11254AAD"/>
    <w:rsid w:val="11321BC4"/>
    <w:rsid w:val="1139154F"/>
    <w:rsid w:val="113A6FD0"/>
    <w:rsid w:val="11462FAC"/>
    <w:rsid w:val="11475BCD"/>
    <w:rsid w:val="1155307D"/>
    <w:rsid w:val="115B4F87"/>
    <w:rsid w:val="1160140E"/>
    <w:rsid w:val="11635C16"/>
    <w:rsid w:val="11797DBA"/>
    <w:rsid w:val="117C38F8"/>
    <w:rsid w:val="117D6EEE"/>
    <w:rsid w:val="11B5219D"/>
    <w:rsid w:val="11DF67EB"/>
    <w:rsid w:val="12106FE1"/>
    <w:rsid w:val="121F121F"/>
    <w:rsid w:val="12213A4B"/>
    <w:rsid w:val="122946DB"/>
    <w:rsid w:val="122D30E1"/>
    <w:rsid w:val="122E65E4"/>
    <w:rsid w:val="12750F57"/>
    <w:rsid w:val="1283026C"/>
    <w:rsid w:val="12897C74"/>
    <w:rsid w:val="129C3395"/>
    <w:rsid w:val="12E65D92"/>
    <w:rsid w:val="12E83AF4"/>
    <w:rsid w:val="131A26ED"/>
    <w:rsid w:val="13771DFE"/>
    <w:rsid w:val="138F4439"/>
    <w:rsid w:val="13F25EC4"/>
    <w:rsid w:val="13FC6B61"/>
    <w:rsid w:val="14245767"/>
    <w:rsid w:val="143177AF"/>
    <w:rsid w:val="144A7BD8"/>
    <w:rsid w:val="144A7C4E"/>
    <w:rsid w:val="145A45EF"/>
    <w:rsid w:val="145C23B3"/>
    <w:rsid w:val="149A0C5C"/>
    <w:rsid w:val="149E7662"/>
    <w:rsid w:val="1508348E"/>
    <w:rsid w:val="15127621"/>
    <w:rsid w:val="15350710"/>
    <w:rsid w:val="155F416A"/>
    <w:rsid w:val="156354FD"/>
    <w:rsid w:val="156C0FB4"/>
    <w:rsid w:val="157A51BC"/>
    <w:rsid w:val="157A5D4B"/>
    <w:rsid w:val="159557BE"/>
    <w:rsid w:val="15A85596"/>
    <w:rsid w:val="15CD7D54"/>
    <w:rsid w:val="15D00CD9"/>
    <w:rsid w:val="15E450B5"/>
    <w:rsid w:val="16371982"/>
    <w:rsid w:val="163D388B"/>
    <w:rsid w:val="16456719"/>
    <w:rsid w:val="1683077C"/>
    <w:rsid w:val="168B5B89"/>
    <w:rsid w:val="16C005E1"/>
    <w:rsid w:val="16D51FE2"/>
    <w:rsid w:val="16E06917"/>
    <w:rsid w:val="16EA49EA"/>
    <w:rsid w:val="16FD2BCB"/>
    <w:rsid w:val="171731EE"/>
    <w:rsid w:val="173B7F2B"/>
    <w:rsid w:val="175862BF"/>
    <w:rsid w:val="17912EB8"/>
    <w:rsid w:val="179D67CA"/>
    <w:rsid w:val="17B730F8"/>
    <w:rsid w:val="17C46B8A"/>
    <w:rsid w:val="17C65910"/>
    <w:rsid w:val="17C80E13"/>
    <w:rsid w:val="17E44EC0"/>
    <w:rsid w:val="17E75E45"/>
    <w:rsid w:val="17F263D4"/>
    <w:rsid w:val="17F52BDC"/>
    <w:rsid w:val="180D2D20"/>
    <w:rsid w:val="180E3E11"/>
    <w:rsid w:val="18147C0E"/>
    <w:rsid w:val="18197DDC"/>
    <w:rsid w:val="182249A5"/>
    <w:rsid w:val="182269B6"/>
    <w:rsid w:val="183A0ACF"/>
    <w:rsid w:val="18642373"/>
    <w:rsid w:val="187831B6"/>
    <w:rsid w:val="187D3DBA"/>
    <w:rsid w:val="18834ED9"/>
    <w:rsid w:val="18A656AF"/>
    <w:rsid w:val="18CE28C0"/>
    <w:rsid w:val="18E26C79"/>
    <w:rsid w:val="18E55D68"/>
    <w:rsid w:val="18F541E7"/>
    <w:rsid w:val="18FE0AB6"/>
    <w:rsid w:val="1911682C"/>
    <w:rsid w:val="19330066"/>
    <w:rsid w:val="19813C3F"/>
    <w:rsid w:val="19A17418"/>
    <w:rsid w:val="19B263B5"/>
    <w:rsid w:val="19B93092"/>
    <w:rsid w:val="19DF2D99"/>
    <w:rsid w:val="19EA686E"/>
    <w:rsid w:val="1A046045"/>
    <w:rsid w:val="1A0A00C9"/>
    <w:rsid w:val="1A325A0A"/>
    <w:rsid w:val="1A7D000B"/>
    <w:rsid w:val="1A8670A6"/>
    <w:rsid w:val="1A97657B"/>
    <w:rsid w:val="1A9E2B3B"/>
    <w:rsid w:val="1AAE167A"/>
    <w:rsid w:val="1AB02A55"/>
    <w:rsid w:val="1AF45AC8"/>
    <w:rsid w:val="1AF91F50"/>
    <w:rsid w:val="1AFD11C6"/>
    <w:rsid w:val="1B00542F"/>
    <w:rsid w:val="1B2F42F1"/>
    <w:rsid w:val="1B301DA5"/>
    <w:rsid w:val="1B3F3E40"/>
    <w:rsid w:val="1B7C00B3"/>
    <w:rsid w:val="1B7C0EA4"/>
    <w:rsid w:val="1BB42683"/>
    <w:rsid w:val="1BC416C3"/>
    <w:rsid w:val="1BF509C2"/>
    <w:rsid w:val="1BF95FEE"/>
    <w:rsid w:val="1C0D0793"/>
    <w:rsid w:val="1C1B332C"/>
    <w:rsid w:val="1C2A6C2E"/>
    <w:rsid w:val="1C363B56"/>
    <w:rsid w:val="1C527C03"/>
    <w:rsid w:val="1C700838"/>
    <w:rsid w:val="1CAB3B14"/>
    <w:rsid w:val="1CE56278"/>
    <w:rsid w:val="1CFC261A"/>
    <w:rsid w:val="1CFF6E5D"/>
    <w:rsid w:val="1D0432AA"/>
    <w:rsid w:val="1D0A4412"/>
    <w:rsid w:val="1D0B38F8"/>
    <w:rsid w:val="1D1D5776"/>
    <w:rsid w:val="1D2753AE"/>
    <w:rsid w:val="1D3E218A"/>
    <w:rsid w:val="1D41310E"/>
    <w:rsid w:val="1D67479E"/>
    <w:rsid w:val="1D6D7456"/>
    <w:rsid w:val="1D7879E5"/>
    <w:rsid w:val="1D867707"/>
    <w:rsid w:val="1DE75A9B"/>
    <w:rsid w:val="1E295925"/>
    <w:rsid w:val="1E3D0B9B"/>
    <w:rsid w:val="1E4C463B"/>
    <w:rsid w:val="1E535731"/>
    <w:rsid w:val="1E634337"/>
    <w:rsid w:val="1E754405"/>
    <w:rsid w:val="1E81151C"/>
    <w:rsid w:val="1E884DB6"/>
    <w:rsid w:val="1EA64BD4"/>
    <w:rsid w:val="1EBF357F"/>
    <w:rsid w:val="1EDC50AE"/>
    <w:rsid w:val="1EFE1319"/>
    <w:rsid w:val="1F0C367F"/>
    <w:rsid w:val="1F0D1045"/>
    <w:rsid w:val="1F163F8E"/>
    <w:rsid w:val="1F1F489E"/>
    <w:rsid w:val="1F2F076D"/>
    <w:rsid w:val="1F5B6C81"/>
    <w:rsid w:val="1F877AC5"/>
    <w:rsid w:val="1F8B19CE"/>
    <w:rsid w:val="1FA86D80"/>
    <w:rsid w:val="1FA90F7F"/>
    <w:rsid w:val="1FB13E0C"/>
    <w:rsid w:val="1FBC5A21"/>
    <w:rsid w:val="1FBF0115"/>
    <w:rsid w:val="1FDC5D1A"/>
    <w:rsid w:val="1FFB17BC"/>
    <w:rsid w:val="200C3221"/>
    <w:rsid w:val="201828B7"/>
    <w:rsid w:val="203D39F0"/>
    <w:rsid w:val="20471021"/>
    <w:rsid w:val="20672636"/>
    <w:rsid w:val="20731CCC"/>
    <w:rsid w:val="20817033"/>
    <w:rsid w:val="208F37FB"/>
    <w:rsid w:val="20990887"/>
    <w:rsid w:val="20B523B5"/>
    <w:rsid w:val="20C65ED3"/>
    <w:rsid w:val="20E833A7"/>
    <w:rsid w:val="20EA2C10"/>
    <w:rsid w:val="20FE602D"/>
    <w:rsid w:val="21182A73"/>
    <w:rsid w:val="2139298F"/>
    <w:rsid w:val="216C01F4"/>
    <w:rsid w:val="219168A1"/>
    <w:rsid w:val="21B038D2"/>
    <w:rsid w:val="21D70408"/>
    <w:rsid w:val="2216237D"/>
    <w:rsid w:val="221E7789"/>
    <w:rsid w:val="223076A3"/>
    <w:rsid w:val="223D6650"/>
    <w:rsid w:val="22666050"/>
    <w:rsid w:val="228B3B2E"/>
    <w:rsid w:val="22A144DF"/>
    <w:rsid w:val="22E55ECD"/>
    <w:rsid w:val="22E84C54"/>
    <w:rsid w:val="22ED23E8"/>
    <w:rsid w:val="232B0F9B"/>
    <w:rsid w:val="235E2230"/>
    <w:rsid w:val="2370600B"/>
    <w:rsid w:val="237B1C44"/>
    <w:rsid w:val="23AD68EA"/>
    <w:rsid w:val="23CA7445"/>
    <w:rsid w:val="240671CC"/>
    <w:rsid w:val="240D11B3"/>
    <w:rsid w:val="240D4A36"/>
    <w:rsid w:val="241B0EB4"/>
    <w:rsid w:val="24513BF6"/>
    <w:rsid w:val="24683E4B"/>
    <w:rsid w:val="246C2851"/>
    <w:rsid w:val="24753161"/>
    <w:rsid w:val="24775DB4"/>
    <w:rsid w:val="24841763"/>
    <w:rsid w:val="2488042D"/>
    <w:rsid w:val="24896A55"/>
    <w:rsid w:val="248A4000"/>
    <w:rsid w:val="24C36C6D"/>
    <w:rsid w:val="24CD15F1"/>
    <w:rsid w:val="24D50BFC"/>
    <w:rsid w:val="254734B9"/>
    <w:rsid w:val="254E0ABD"/>
    <w:rsid w:val="25641764"/>
    <w:rsid w:val="256F2F84"/>
    <w:rsid w:val="257C268E"/>
    <w:rsid w:val="258A21E5"/>
    <w:rsid w:val="25A10883"/>
    <w:rsid w:val="25A767FE"/>
    <w:rsid w:val="25D729E7"/>
    <w:rsid w:val="25E92929"/>
    <w:rsid w:val="260E417C"/>
    <w:rsid w:val="260F5480"/>
    <w:rsid w:val="26174810"/>
    <w:rsid w:val="26382DB8"/>
    <w:rsid w:val="264017D0"/>
    <w:rsid w:val="265C4D5F"/>
    <w:rsid w:val="26644B8A"/>
    <w:rsid w:val="2683355D"/>
    <w:rsid w:val="268A1547"/>
    <w:rsid w:val="268B3CAF"/>
    <w:rsid w:val="269243D5"/>
    <w:rsid w:val="26A30F19"/>
    <w:rsid w:val="26A73075"/>
    <w:rsid w:val="26B2270B"/>
    <w:rsid w:val="26E718E0"/>
    <w:rsid w:val="26F853FE"/>
    <w:rsid w:val="270030DD"/>
    <w:rsid w:val="270B1F80"/>
    <w:rsid w:val="274B1605"/>
    <w:rsid w:val="27706A48"/>
    <w:rsid w:val="277D7855"/>
    <w:rsid w:val="27816C71"/>
    <w:rsid w:val="278B3C06"/>
    <w:rsid w:val="278F1ADE"/>
    <w:rsid w:val="27990C94"/>
    <w:rsid w:val="27C61EE6"/>
    <w:rsid w:val="27D86C6A"/>
    <w:rsid w:val="27E33F9B"/>
    <w:rsid w:val="27F23097"/>
    <w:rsid w:val="2805016B"/>
    <w:rsid w:val="2816336D"/>
    <w:rsid w:val="281F2C62"/>
    <w:rsid w:val="286036CB"/>
    <w:rsid w:val="286C642C"/>
    <w:rsid w:val="2896161D"/>
    <w:rsid w:val="28A2792A"/>
    <w:rsid w:val="28AA4C8A"/>
    <w:rsid w:val="28DF529E"/>
    <w:rsid w:val="28E13644"/>
    <w:rsid w:val="28E30421"/>
    <w:rsid w:val="28F12FBA"/>
    <w:rsid w:val="294A494E"/>
    <w:rsid w:val="29560760"/>
    <w:rsid w:val="29574DBB"/>
    <w:rsid w:val="2960326E"/>
    <w:rsid w:val="296A7401"/>
    <w:rsid w:val="2975343F"/>
    <w:rsid w:val="297731BB"/>
    <w:rsid w:val="29776717"/>
    <w:rsid w:val="29922597"/>
    <w:rsid w:val="29AB7E6A"/>
    <w:rsid w:val="29AE0DEF"/>
    <w:rsid w:val="29B84F82"/>
    <w:rsid w:val="29C71D19"/>
    <w:rsid w:val="29F87F6A"/>
    <w:rsid w:val="29FE3300"/>
    <w:rsid w:val="2A144016"/>
    <w:rsid w:val="2A172D9D"/>
    <w:rsid w:val="2A24682F"/>
    <w:rsid w:val="2A270F8C"/>
    <w:rsid w:val="2A2C74BF"/>
    <w:rsid w:val="2A377A4E"/>
    <w:rsid w:val="2A53737E"/>
    <w:rsid w:val="2A573A81"/>
    <w:rsid w:val="2A6A7DD8"/>
    <w:rsid w:val="2A704730"/>
    <w:rsid w:val="2A8A52DA"/>
    <w:rsid w:val="2AC70C94"/>
    <w:rsid w:val="2AE354DA"/>
    <w:rsid w:val="2AE83C9F"/>
    <w:rsid w:val="2B1E47FB"/>
    <w:rsid w:val="2B2A3B5F"/>
    <w:rsid w:val="2B6A6B46"/>
    <w:rsid w:val="2B7042D3"/>
    <w:rsid w:val="2B7A5997"/>
    <w:rsid w:val="2B833767"/>
    <w:rsid w:val="2BCE466D"/>
    <w:rsid w:val="2BCF4650"/>
    <w:rsid w:val="2BF92F32"/>
    <w:rsid w:val="2C0547C6"/>
    <w:rsid w:val="2C380499"/>
    <w:rsid w:val="2C401128"/>
    <w:rsid w:val="2C8A2F49"/>
    <w:rsid w:val="2C9F3BCE"/>
    <w:rsid w:val="2CA12446"/>
    <w:rsid w:val="2CA64350"/>
    <w:rsid w:val="2CDB1327"/>
    <w:rsid w:val="2CF9108B"/>
    <w:rsid w:val="2CFB0BBA"/>
    <w:rsid w:val="2D0B6272"/>
    <w:rsid w:val="2D34475F"/>
    <w:rsid w:val="2D3A1340"/>
    <w:rsid w:val="2D4D51B1"/>
    <w:rsid w:val="2D4D79AC"/>
    <w:rsid w:val="2D593F87"/>
    <w:rsid w:val="2D5F79DA"/>
    <w:rsid w:val="2DA873F6"/>
    <w:rsid w:val="2DB7418D"/>
    <w:rsid w:val="2DD00879"/>
    <w:rsid w:val="2DD5373D"/>
    <w:rsid w:val="2DF80479"/>
    <w:rsid w:val="2E0B52AE"/>
    <w:rsid w:val="2E0E041F"/>
    <w:rsid w:val="2E141396"/>
    <w:rsid w:val="2E2A44CC"/>
    <w:rsid w:val="2E4317F2"/>
    <w:rsid w:val="2E747DC3"/>
    <w:rsid w:val="2E8F1C72"/>
    <w:rsid w:val="2E9118F2"/>
    <w:rsid w:val="2E9C0F87"/>
    <w:rsid w:val="2EA61F97"/>
    <w:rsid w:val="2EB7077F"/>
    <w:rsid w:val="2EB8044F"/>
    <w:rsid w:val="2EC16B9C"/>
    <w:rsid w:val="2ECF4C5A"/>
    <w:rsid w:val="2ED53072"/>
    <w:rsid w:val="2ED8336B"/>
    <w:rsid w:val="2EDF426C"/>
    <w:rsid w:val="2EEC200B"/>
    <w:rsid w:val="2EEC4E92"/>
    <w:rsid w:val="2F1A1856"/>
    <w:rsid w:val="2F1C0982"/>
    <w:rsid w:val="2F357E81"/>
    <w:rsid w:val="2F5B00C1"/>
    <w:rsid w:val="2F63302B"/>
    <w:rsid w:val="2F747966"/>
    <w:rsid w:val="2FA22A33"/>
    <w:rsid w:val="2FA801C0"/>
    <w:rsid w:val="2FCB6344"/>
    <w:rsid w:val="2FE02BA9"/>
    <w:rsid w:val="2FE04DD6"/>
    <w:rsid w:val="2FEC0BD0"/>
    <w:rsid w:val="2FEC1523"/>
    <w:rsid w:val="2FF93442"/>
    <w:rsid w:val="300D5786"/>
    <w:rsid w:val="3011145B"/>
    <w:rsid w:val="302467E6"/>
    <w:rsid w:val="30524DF2"/>
    <w:rsid w:val="305E446B"/>
    <w:rsid w:val="306B7868"/>
    <w:rsid w:val="30781792"/>
    <w:rsid w:val="30846887"/>
    <w:rsid w:val="3099089E"/>
    <w:rsid w:val="30B97FFD"/>
    <w:rsid w:val="30E346C5"/>
    <w:rsid w:val="30E766F3"/>
    <w:rsid w:val="31187F2F"/>
    <w:rsid w:val="313C4D53"/>
    <w:rsid w:val="31432160"/>
    <w:rsid w:val="31490DA5"/>
    <w:rsid w:val="31570E00"/>
    <w:rsid w:val="315F5D75"/>
    <w:rsid w:val="31653999"/>
    <w:rsid w:val="31A54783"/>
    <w:rsid w:val="31CA113F"/>
    <w:rsid w:val="31E91E87"/>
    <w:rsid w:val="320E10B5"/>
    <w:rsid w:val="321A7611"/>
    <w:rsid w:val="3243059C"/>
    <w:rsid w:val="3265353C"/>
    <w:rsid w:val="32697D44"/>
    <w:rsid w:val="326D0948"/>
    <w:rsid w:val="328A5CFA"/>
    <w:rsid w:val="32985010"/>
    <w:rsid w:val="32C835E0"/>
    <w:rsid w:val="32CD5D61"/>
    <w:rsid w:val="32D23EF0"/>
    <w:rsid w:val="32DF7982"/>
    <w:rsid w:val="331537CD"/>
    <w:rsid w:val="331E4E70"/>
    <w:rsid w:val="33285651"/>
    <w:rsid w:val="332F4289"/>
    <w:rsid w:val="33334E8E"/>
    <w:rsid w:val="336E17F0"/>
    <w:rsid w:val="33814F8D"/>
    <w:rsid w:val="33C133A6"/>
    <w:rsid w:val="33CB4108"/>
    <w:rsid w:val="33CC276C"/>
    <w:rsid w:val="33E2230D"/>
    <w:rsid w:val="33FB26D9"/>
    <w:rsid w:val="34163C10"/>
    <w:rsid w:val="3424001A"/>
    <w:rsid w:val="34291F23"/>
    <w:rsid w:val="34413D46"/>
    <w:rsid w:val="34432ACD"/>
    <w:rsid w:val="344A45A5"/>
    <w:rsid w:val="345C5BF5"/>
    <w:rsid w:val="34692D0C"/>
    <w:rsid w:val="348103B3"/>
    <w:rsid w:val="34A76F6E"/>
    <w:rsid w:val="34E116D1"/>
    <w:rsid w:val="352765C3"/>
    <w:rsid w:val="356F47B8"/>
    <w:rsid w:val="357C3ACE"/>
    <w:rsid w:val="357D1550"/>
    <w:rsid w:val="35962F2D"/>
    <w:rsid w:val="359F2D89"/>
    <w:rsid w:val="35AB6D2D"/>
    <w:rsid w:val="35B629AE"/>
    <w:rsid w:val="35B71496"/>
    <w:rsid w:val="35B73EBF"/>
    <w:rsid w:val="35B8262E"/>
    <w:rsid w:val="35BA5B31"/>
    <w:rsid w:val="35BC1034"/>
    <w:rsid w:val="35CC12CF"/>
    <w:rsid w:val="35D319E6"/>
    <w:rsid w:val="35D72EE3"/>
    <w:rsid w:val="35E768F5"/>
    <w:rsid w:val="35F559C7"/>
    <w:rsid w:val="36075C31"/>
    <w:rsid w:val="36110713"/>
    <w:rsid w:val="3622425C"/>
    <w:rsid w:val="362C25ED"/>
    <w:rsid w:val="362D458B"/>
    <w:rsid w:val="36354715"/>
    <w:rsid w:val="36414A73"/>
    <w:rsid w:val="364A0F5C"/>
    <w:rsid w:val="36510879"/>
    <w:rsid w:val="36E16C19"/>
    <w:rsid w:val="37036DCD"/>
    <w:rsid w:val="372F46A7"/>
    <w:rsid w:val="373972A7"/>
    <w:rsid w:val="37726C9D"/>
    <w:rsid w:val="379A1E22"/>
    <w:rsid w:val="37BD6848"/>
    <w:rsid w:val="37CC6816"/>
    <w:rsid w:val="37DE6907"/>
    <w:rsid w:val="37E810A7"/>
    <w:rsid w:val="380E1C87"/>
    <w:rsid w:val="382614AE"/>
    <w:rsid w:val="38994363"/>
    <w:rsid w:val="38A9437C"/>
    <w:rsid w:val="38C2712E"/>
    <w:rsid w:val="38D16127"/>
    <w:rsid w:val="390B4FA4"/>
    <w:rsid w:val="391017BE"/>
    <w:rsid w:val="391842BA"/>
    <w:rsid w:val="39390072"/>
    <w:rsid w:val="393C0FF6"/>
    <w:rsid w:val="393F1C6B"/>
    <w:rsid w:val="39515718"/>
    <w:rsid w:val="39592B25"/>
    <w:rsid w:val="39706EC7"/>
    <w:rsid w:val="39741150"/>
    <w:rsid w:val="39787B56"/>
    <w:rsid w:val="398E1CFA"/>
    <w:rsid w:val="39923F83"/>
    <w:rsid w:val="399A358E"/>
    <w:rsid w:val="39B62EBE"/>
    <w:rsid w:val="3A106A7B"/>
    <w:rsid w:val="3A1918DE"/>
    <w:rsid w:val="3A2A75FA"/>
    <w:rsid w:val="3A3F5379"/>
    <w:rsid w:val="3A436689"/>
    <w:rsid w:val="3A4614A9"/>
    <w:rsid w:val="3A675260"/>
    <w:rsid w:val="3A6F00EE"/>
    <w:rsid w:val="3A8646CD"/>
    <w:rsid w:val="3AAC45FF"/>
    <w:rsid w:val="3AC37B79"/>
    <w:rsid w:val="3ACB4F85"/>
    <w:rsid w:val="3AE070A1"/>
    <w:rsid w:val="3AF86D4E"/>
    <w:rsid w:val="3B1E2869"/>
    <w:rsid w:val="3B356BB3"/>
    <w:rsid w:val="3B4413CB"/>
    <w:rsid w:val="3B564B69"/>
    <w:rsid w:val="3B617677"/>
    <w:rsid w:val="3B757B5E"/>
    <w:rsid w:val="3B883620"/>
    <w:rsid w:val="3B997439"/>
    <w:rsid w:val="3BA65BED"/>
    <w:rsid w:val="3BA96B71"/>
    <w:rsid w:val="3BDB4DC2"/>
    <w:rsid w:val="3BE47C50"/>
    <w:rsid w:val="3C090267"/>
    <w:rsid w:val="3C09240E"/>
    <w:rsid w:val="3C146221"/>
    <w:rsid w:val="3C184FB2"/>
    <w:rsid w:val="3C1D10AF"/>
    <w:rsid w:val="3C277440"/>
    <w:rsid w:val="3C317D4F"/>
    <w:rsid w:val="3C4D1CC0"/>
    <w:rsid w:val="3C525089"/>
    <w:rsid w:val="3C5C6615"/>
    <w:rsid w:val="3C653409"/>
    <w:rsid w:val="3C7360F1"/>
    <w:rsid w:val="3CC365B8"/>
    <w:rsid w:val="3CD51844"/>
    <w:rsid w:val="3CE93C7A"/>
    <w:rsid w:val="3CE979FE"/>
    <w:rsid w:val="3CF53310"/>
    <w:rsid w:val="3D08452F"/>
    <w:rsid w:val="3D0F1AC5"/>
    <w:rsid w:val="3D2C6D33"/>
    <w:rsid w:val="3D3675FD"/>
    <w:rsid w:val="3D5001A7"/>
    <w:rsid w:val="3D55441E"/>
    <w:rsid w:val="3D6B2F4F"/>
    <w:rsid w:val="3D713555"/>
    <w:rsid w:val="3D741DEE"/>
    <w:rsid w:val="3D85737C"/>
    <w:rsid w:val="3D9C3FFF"/>
    <w:rsid w:val="3DA92F31"/>
    <w:rsid w:val="3DB3244A"/>
    <w:rsid w:val="3DC213DF"/>
    <w:rsid w:val="3DDE328E"/>
    <w:rsid w:val="3E0B0DB0"/>
    <w:rsid w:val="3E0C635B"/>
    <w:rsid w:val="3E0D3FE3"/>
    <w:rsid w:val="3E116F60"/>
    <w:rsid w:val="3E572F58"/>
    <w:rsid w:val="3E5E28E2"/>
    <w:rsid w:val="3E636D6A"/>
    <w:rsid w:val="3E872DEF"/>
    <w:rsid w:val="3E962A3C"/>
    <w:rsid w:val="3E9704BE"/>
    <w:rsid w:val="3EE73740"/>
    <w:rsid w:val="3EE94A45"/>
    <w:rsid w:val="3EF13413"/>
    <w:rsid w:val="3F043070"/>
    <w:rsid w:val="3F1D2CEE"/>
    <w:rsid w:val="3F4D0EE6"/>
    <w:rsid w:val="3F4D6968"/>
    <w:rsid w:val="3F572AFA"/>
    <w:rsid w:val="3F6116ED"/>
    <w:rsid w:val="3F8B424E"/>
    <w:rsid w:val="3F934EDE"/>
    <w:rsid w:val="3FA97081"/>
    <w:rsid w:val="3FB14FDF"/>
    <w:rsid w:val="3FC0585C"/>
    <w:rsid w:val="3FCE6ABE"/>
    <w:rsid w:val="40130E98"/>
    <w:rsid w:val="401776B5"/>
    <w:rsid w:val="403501D5"/>
    <w:rsid w:val="40516596"/>
    <w:rsid w:val="407E4ADB"/>
    <w:rsid w:val="408966EF"/>
    <w:rsid w:val="408D7F6C"/>
    <w:rsid w:val="40B04E56"/>
    <w:rsid w:val="40C60753"/>
    <w:rsid w:val="40C761D4"/>
    <w:rsid w:val="40D01062"/>
    <w:rsid w:val="40D15800"/>
    <w:rsid w:val="40D24565"/>
    <w:rsid w:val="40D74270"/>
    <w:rsid w:val="40DB20A4"/>
    <w:rsid w:val="40E55784"/>
    <w:rsid w:val="410113A2"/>
    <w:rsid w:val="415D4149"/>
    <w:rsid w:val="416F143B"/>
    <w:rsid w:val="41880811"/>
    <w:rsid w:val="419633AA"/>
    <w:rsid w:val="41B44DE2"/>
    <w:rsid w:val="41C60C56"/>
    <w:rsid w:val="41C660F7"/>
    <w:rsid w:val="41E9727E"/>
    <w:rsid w:val="41F50509"/>
    <w:rsid w:val="41F9564C"/>
    <w:rsid w:val="420226D9"/>
    <w:rsid w:val="42375131"/>
    <w:rsid w:val="42610172"/>
    <w:rsid w:val="426339F7"/>
    <w:rsid w:val="42705E47"/>
    <w:rsid w:val="42733C91"/>
    <w:rsid w:val="427C45A1"/>
    <w:rsid w:val="428803B3"/>
    <w:rsid w:val="428C76CE"/>
    <w:rsid w:val="42916AC5"/>
    <w:rsid w:val="42A3645B"/>
    <w:rsid w:val="42C47ED0"/>
    <w:rsid w:val="42CE0B28"/>
    <w:rsid w:val="42D37514"/>
    <w:rsid w:val="43046EDF"/>
    <w:rsid w:val="432106B2"/>
    <w:rsid w:val="43603542"/>
    <w:rsid w:val="436807A8"/>
    <w:rsid w:val="43790FC1"/>
    <w:rsid w:val="43942E55"/>
    <w:rsid w:val="439901E8"/>
    <w:rsid w:val="43A14703"/>
    <w:rsid w:val="43BB74AB"/>
    <w:rsid w:val="43CD51C7"/>
    <w:rsid w:val="43E3286B"/>
    <w:rsid w:val="43EC12FF"/>
    <w:rsid w:val="43F11B33"/>
    <w:rsid w:val="43F17986"/>
    <w:rsid w:val="43FF4262"/>
    <w:rsid w:val="44062B2A"/>
    <w:rsid w:val="440875AB"/>
    <w:rsid w:val="444678CE"/>
    <w:rsid w:val="444744C8"/>
    <w:rsid w:val="44495B09"/>
    <w:rsid w:val="44565A46"/>
    <w:rsid w:val="445C041A"/>
    <w:rsid w:val="44604594"/>
    <w:rsid w:val="447A1E11"/>
    <w:rsid w:val="447E086E"/>
    <w:rsid w:val="449A491B"/>
    <w:rsid w:val="44A42F93"/>
    <w:rsid w:val="44B454C5"/>
    <w:rsid w:val="44C125DD"/>
    <w:rsid w:val="44CA2EEC"/>
    <w:rsid w:val="44D35D7A"/>
    <w:rsid w:val="44DD6689"/>
    <w:rsid w:val="44E7774D"/>
    <w:rsid w:val="45127C50"/>
    <w:rsid w:val="45177768"/>
    <w:rsid w:val="452B6409"/>
    <w:rsid w:val="452E738D"/>
    <w:rsid w:val="454221FD"/>
    <w:rsid w:val="454416D4"/>
    <w:rsid w:val="45595C53"/>
    <w:rsid w:val="455E7EDC"/>
    <w:rsid w:val="45830A1B"/>
    <w:rsid w:val="458A4224"/>
    <w:rsid w:val="458D51A8"/>
    <w:rsid w:val="459B4244"/>
    <w:rsid w:val="45A33E4B"/>
    <w:rsid w:val="45A94422"/>
    <w:rsid w:val="45B253E8"/>
    <w:rsid w:val="45CC5F92"/>
    <w:rsid w:val="46236563"/>
    <w:rsid w:val="462640A2"/>
    <w:rsid w:val="465C2D4B"/>
    <w:rsid w:val="465C457C"/>
    <w:rsid w:val="46641988"/>
    <w:rsid w:val="467609A9"/>
    <w:rsid w:val="468E5B5F"/>
    <w:rsid w:val="469842A4"/>
    <w:rsid w:val="46B86E94"/>
    <w:rsid w:val="46B94916"/>
    <w:rsid w:val="46CB2631"/>
    <w:rsid w:val="46E67A01"/>
    <w:rsid w:val="46F87BA3"/>
    <w:rsid w:val="470F78A3"/>
    <w:rsid w:val="47262D4B"/>
    <w:rsid w:val="474779FD"/>
    <w:rsid w:val="474A246F"/>
    <w:rsid w:val="47524F9F"/>
    <w:rsid w:val="47670737"/>
    <w:rsid w:val="47916C31"/>
    <w:rsid w:val="47BE512C"/>
    <w:rsid w:val="47BE6742"/>
    <w:rsid w:val="47D927EF"/>
    <w:rsid w:val="47F00216"/>
    <w:rsid w:val="47F236FB"/>
    <w:rsid w:val="480F5247"/>
    <w:rsid w:val="4839608B"/>
    <w:rsid w:val="483A3F41"/>
    <w:rsid w:val="485D1370"/>
    <w:rsid w:val="485E2A48"/>
    <w:rsid w:val="48622CF7"/>
    <w:rsid w:val="48655C56"/>
    <w:rsid w:val="4869465C"/>
    <w:rsid w:val="488678AB"/>
    <w:rsid w:val="48B06FCF"/>
    <w:rsid w:val="48C37CC6"/>
    <w:rsid w:val="48EA262C"/>
    <w:rsid w:val="48FF25D1"/>
    <w:rsid w:val="49281A93"/>
    <w:rsid w:val="492F313E"/>
    <w:rsid w:val="495010D7"/>
    <w:rsid w:val="4955555E"/>
    <w:rsid w:val="49611371"/>
    <w:rsid w:val="499C3754"/>
    <w:rsid w:val="49A21DDA"/>
    <w:rsid w:val="49E453DD"/>
    <w:rsid w:val="49EE4458"/>
    <w:rsid w:val="49FE2C8C"/>
    <w:rsid w:val="4A2137F9"/>
    <w:rsid w:val="4A2E1214"/>
    <w:rsid w:val="4A3C21D9"/>
    <w:rsid w:val="4A521971"/>
    <w:rsid w:val="4A570604"/>
    <w:rsid w:val="4A880DD3"/>
    <w:rsid w:val="4A9B7DF4"/>
    <w:rsid w:val="4A9C4E28"/>
    <w:rsid w:val="4AE74DF4"/>
    <w:rsid w:val="4AEC68F9"/>
    <w:rsid w:val="4AFF7B18"/>
    <w:rsid w:val="4B254325"/>
    <w:rsid w:val="4B275459"/>
    <w:rsid w:val="4B2941E0"/>
    <w:rsid w:val="4B547222"/>
    <w:rsid w:val="4B6057DD"/>
    <w:rsid w:val="4B7D2F03"/>
    <w:rsid w:val="4BE90D9B"/>
    <w:rsid w:val="4BEF2CA4"/>
    <w:rsid w:val="4BFF2F3E"/>
    <w:rsid w:val="4C261BDE"/>
    <w:rsid w:val="4C334692"/>
    <w:rsid w:val="4C660668"/>
    <w:rsid w:val="4C6F730B"/>
    <w:rsid w:val="4C7166F5"/>
    <w:rsid w:val="4C816990"/>
    <w:rsid w:val="4CB613E8"/>
    <w:rsid w:val="4CCC6E0F"/>
    <w:rsid w:val="4CE51F37"/>
    <w:rsid w:val="4D1B40EF"/>
    <w:rsid w:val="4D2079EB"/>
    <w:rsid w:val="4D2B4C2A"/>
    <w:rsid w:val="4D2F6526"/>
    <w:rsid w:val="4D3A7443"/>
    <w:rsid w:val="4D570F71"/>
    <w:rsid w:val="4D6F7F85"/>
    <w:rsid w:val="4DB12905"/>
    <w:rsid w:val="4DE1452E"/>
    <w:rsid w:val="4DEE01EB"/>
    <w:rsid w:val="4DF036EE"/>
    <w:rsid w:val="4DF30DF0"/>
    <w:rsid w:val="4DF6271E"/>
    <w:rsid w:val="4DF73079"/>
    <w:rsid w:val="4DFC16FF"/>
    <w:rsid w:val="4E03108A"/>
    <w:rsid w:val="4E042C86"/>
    <w:rsid w:val="4E2822B5"/>
    <w:rsid w:val="4E5A1A99"/>
    <w:rsid w:val="4E640249"/>
    <w:rsid w:val="4E723844"/>
    <w:rsid w:val="4E7D0D54"/>
    <w:rsid w:val="4E835C30"/>
    <w:rsid w:val="4E85035F"/>
    <w:rsid w:val="4E9E77F7"/>
    <w:rsid w:val="4EB95335"/>
    <w:rsid w:val="4ED33CE1"/>
    <w:rsid w:val="4F01352B"/>
    <w:rsid w:val="4F0150D5"/>
    <w:rsid w:val="4F13254C"/>
    <w:rsid w:val="4F26376B"/>
    <w:rsid w:val="4F423F95"/>
    <w:rsid w:val="4F4C1158"/>
    <w:rsid w:val="4F6279AB"/>
    <w:rsid w:val="4F9D400F"/>
    <w:rsid w:val="4FA74FBE"/>
    <w:rsid w:val="4FBF6DE2"/>
    <w:rsid w:val="4FDB2D6C"/>
    <w:rsid w:val="501555F2"/>
    <w:rsid w:val="502D7993"/>
    <w:rsid w:val="502E071A"/>
    <w:rsid w:val="504273BB"/>
    <w:rsid w:val="505605DA"/>
    <w:rsid w:val="506A727A"/>
    <w:rsid w:val="50941CF8"/>
    <w:rsid w:val="509636E2"/>
    <w:rsid w:val="50B13272"/>
    <w:rsid w:val="50B6710F"/>
    <w:rsid w:val="50BC2F96"/>
    <w:rsid w:val="50DE7239"/>
    <w:rsid w:val="512F0CC6"/>
    <w:rsid w:val="51435EF0"/>
    <w:rsid w:val="51A227FA"/>
    <w:rsid w:val="51A57002"/>
    <w:rsid w:val="51B95CA3"/>
    <w:rsid w:val="51F65583"/>
    <w:rsid w:val="520A0F25"/>
    <w:rsid w:val="521274CB"/>
    <w:rsid w:val="522265CC"/>
    <w:rsid w:val="523D726B"/>
    <w:rsid w:val="52611333"/>
    <w:rsid w:val="526E0C49"/>
    <w:rsid w:val="528278EA"/>
    <w:rsid w:val="52B5070D"/>
    <w:rsid w:val="52E03A67"/>
    <w:rsid w:val="52FC46EA"/>
    <w:rsid w:val="534D042C"/>
    <w:rsid w:val="5350703E"/>
    <w:rsid w:val="538B07B0"/>
    <w:rsid w:val="538C361F"/>
    <w:rsid w:val="538D10A1"/>
    <w:rsid w:val="539D22BA"/>
    <w:rsid w:val="53A46AC8"/>
    <w:rsid w:val="53A54549"/>
    <w:rsid w:val="53A56748"/>
    <w:rsid w:val="53C25E9B"/>
    <w:rsid w:val="53DC6880"/>
    <w:rsid w:val="53F47B4C"/>
    <w:rsid w:val="5403314B"/>
    <w:rsid w:val="54213B13"/>
    <w:rsid w:val="542A2224"/>
    <w:rsid w:val="544A4CD7"/>
    <w:rsid w:val="545309AA"/>
    <w:rsid w:val="54782323"/>
    <w:rsid w:val="54BF0519"/>
    <w:rsid w:val="54E603D9"/>
    <w:rsid w:val="552827AD"/>
    <w:rsid w:val="552B1450"/>
    <w:rsid w:val="552D6BF5"/>
    <w:rsid w:val="55496DF8"/>
    <w:rsid w:val="55584783"/>
    <w:rsid w:val="55835CD9"/>
    <w:rsid w:val="558E2FA7"/>
    <w:rsid w:val="55922A70"/>
    <w:rsid w:val="559B1181"/>
    <w:rsid w:val="55B464A8"/>
    <w:rsid w:val="55B577AC"/>
    <w:rsid w:val="55B7742C"/>
    <w:rsid w:val="55BD2802"/>
    <w:rsid w:val="55CF7BF3"/>
    <w:rsid w:val="55F969E7"/>
    <w:rsid w:val="56024028"/>
    <w:rsid w:val="5616190A"/>
    <w:rsid w:val="563F7711"/>
    <w:rsid w:val="56856B80"/>
    <w:rsid w:val="56941399"/>
    <w:rsid w:val="56962361"/>
    <w:rsid w:val="5696582D"/>
    <w:rsid w:val="569F71AC"/>
    <w:rsid w:val="56BA15D9"/>
    <w:rsid w:val="56E65920"/>
    <w:rsid w:val="56EF3AF5"/>
    <w:rsid w:val="56F23931"/>
    <w:rsid w:val="56F34C36"/>
    <w:rsid w:val="56F83407"/>
    <w:rsid w:val="571A4227"/>
    <w:rsid w:val="571E54DC"/>
    <w:rsid w:val="572210F5"/>
    <w:rsid w:val="572A730E"/>
    <w:rsid w:val="57435A05"/>
    <w:rsid w:val="574B7843"/>
    <w:rsid w:val="576146B9"/>
    <w:rsid w:val="57677173"/>
    <w:rsid w:val="577865C9"/>
    <w:rsid w:val="578F7CCE"/>
    <w:rsid w:val="579C1BCB"/>
    <w:rsid w:val="579D1528"/>
    <w:rsid w:val="57B74973"/>
    <w:rsid w:val="57D05465"/>
    <w:rsid w:val="57D57589"/>
    <w:rsid w:val="57E1103B"/>
    <w:rsid w:val="57E23AB5"/>
    <w:rsid w:val="57F020A7"/>
    <w:rsid w:val="580637F9"/>
    <w:rsid w:val="580F0885"/>
    <w:rsid w:val="58144D0D"/>
    <w:rsid w:val="58244FA7"/>
    <w:rsid w:val="58420BB7"/>
    <w:rsid w:val="58467715"/>
    <w:rsid w:val="584C3F6D"/>
    <w:rsid w:val="585E3E88"/>
    <w:rsid w:val="587B1239"/>
    <w:rsid w:val="58886F75"/>
    <w:rsid w:val="58B65B9B"/>
    <w:rsid w:val="58DF56DB"/>
    <w:rsid w:val="58F567FA"/>
    <w:rsid w:val="593309E8"/>
    <w:rsid w:val="598227C6"/>
    <w:rsid w:val="59907A7D"/>
    <w:rsid w:val="5999618E"/>
    <w:rsid w:val="59AD4E2E"/>
    <w:rsid w:val="59B07FB1"/>
    <w:rsid w:val="59E31A85"/>
    <w:rsid w:val="59EB5450"/>
    <w:rsid w:val="59FB712C"/>
    <w:rsid w:val="59FD262F"/>
    <w:rsid w:val="5A050D40"/>
    <w:rsid w:val="5A09064B"/>
    <w:rsid w:val="5A364636"/>
    <w:rsid w:val="5A5468C1"/>
    <w:rsid w:val="5A5A624C"/>
    <w:rsid w:val="5A770B6E"/>
    <w:rsid w:val="5A7B6781"/>
    <w:rsid w:val="5A8A0BF0"/>
    <w:rsid w:val="5AB246DC"/>
    <w:rsid w:val="5AB3215E"/>
    <w:rsid w:val="5AB61CF5"/>
    <w:rsid w:val="5AC01473"/>
    <w:rsid w:val="5AD05E8B"/>
    <w:rsid w:val="5AD42692"/>
    <w:rsid w:val="5AE250B9"/>
    <w:rsid w:val="5AE65E30"/>
    <w:rsid w:val="5B122177"/>
    <w:rsid w:val="5B2F7529"/>
    <w:rsid w:val="5B3204AE"/>
    <w:rsid w:val="5B81246B"/>
    <w:rsid w:val="5B814DBA"/>
    <w:rsid w:val="5B8931D8"/>
    <w:rsid w:val="5BBA168B"/>
    <w:rsid w:val="5BBD01B3"/>
    <w:rsid w:val="5BCC5178"/>
    <w:rsid w:val="5C13779B"/>
    <w:rsid w:val="5C297741"/>
    <w:rsid w:val="5C443BB1"/>
    <w:rsid w:val="5CB660AB"/>
    <w:rsid w:val="5CC069BB"/>
    <w:rsid w:val="5CC611FF"/>
    <w:rsid w:val="5CCF11D3"/>
    <w:rsid w:val="5D44590F"/>
    <w:rsid w:val="5D45030B"/>
    <w:rsid w:val="5D4A309B"/>
    <w:rsid w:val="5D6A315C"/>
    <w:rsid w:val="5D7F7CF2"/>
    <w:rsid w:val="5D851C35"/>
    <w:rsid w:val="5DAA43BA"/>
    <w:rsid w:val="5DBB1104"/>
    <w:rsid w:val="5DBC7B57"/>
    <w:rsid w:val="5DD14279"/>
    <w:rsid w:val="5DDE7708"/>
    <w:rsid w:val="5DF04B2E"/>
    <w:rsid w:val="5E0C0BDB"/>
    <w:rsid w:val="5E203FF8"/>
    <w:rsid w:val="5E6160E7"/>
    <w:rsid w:val="5E6F53FC"/>
    <w:rsid w:val="5E77028A"/>
    <w:rsid w:val="5EE23AA6"/>
    <w:rsid w:val="5F075C6B"/>
    <w:rsid w:val="5F187E14"/>
    <w:rsid w:val="5F255EFF"/>
    <w:rsid w:val="5F3C12CD"/>
    <w:rsid w:val="5F3D0F4D"/>
    <w:rsid w:val="5F5159EF"/>
    <w:rsid w:val="5FBE2597"/>
    <w:rsid w:val="5FC559AE"/>
    <w:rsid w:val="5FDA5B33"/>
    <w:rsid w:val="5FDC7E75"/>
    <w:rsid w:val="5FED6EB7"/>
    <w:rsid w:val="5FF120B4"/>
    <w:rsid w:val="60083E99"/>
    <w:rsid w:val="602874D1"/>
    <w:rsid w:val="603A596D"/>
    <w:rsid w:val="607B393B"/>
    <w:rsid w:val="607C7F53"/>
    <w:rsid w:val="609B470C"/>
    <w:rsid w:val="60AC4695"/>
    <w:rsid w:val="60B168B0"/>
    <w:rsid w:val="60BA2331"/>
    <w:rsid w:val="60BE3B13"/>
    <w:rsid w:val="60D45B6B"/>
    <w:rsid w:val="60D6106E"/>
    <w:rsid w:val="60EB32AF"/>
    <w:rsid w:val="61051BBD"/>
    <w:rsid w:val="61171AD8"/>
    <w:rsid w:val="61187559"/>
    <w:rsid w:val="612620F2"/>
    <w:rsid w:val="612B657A"/>
    <w:rsid w:val="6142291C"/>
    <w:rsid w:val="614E316C"/>
    <w:rsid w:val="61B606DC"/>
    <w:rsid w:val="61B73BDF"/>
    <w:rsid w:val="61EC0BB6"/>
    <w:rsid w:val="61EE1B3B"/>
    <w:rsid w:val="61FE0917"/>
    <w:rsid w:val="620152D8"/>
    <w:rsid w:val="620174D7"/>
    <w:rsid w:val="623E513D"/>
    <w:rsid w:val="624834CE"/>
    <w:rsid w:val="62563CE5"/>
    <w:rsid w:val="62E47AC9"/>
    <w:rsid w:val="63097D09"/>
    <w:rsid w:val="63192522"/>
    <w:rsid w:val="63236202"/>
    <w:rsid w:val="6350047D"/>
    <w:rsid w:val="636935A6"/>
    <w:rsid w:val="63723EB5"/>
    <w:rsid w:val="63BB0C13"/>
    <w:rsid w:val="63EA31B6"/>
    <w:rsid w:val="6412053C"/>
    <w:rsid w:val="64430D0B"/>
    <w:rsid w:val="646621C4"/>
    <w:rsid w:val="648065F1"/>
    <w:rsid w:val="64971BDD"/>
    <w:rsid w:val="64B607D2"/>
    <w:rsid w:val="64BA3B41"/>
    <w:rsid w:val="64D4607B"/>
    <w:rsid w:val="64F81E92"/>
    <w:rsid w:val="65015C46"/>
    <w:rsid w:val="65046BCA"/>
    <w:rsid w:val="650A2CD2"/>
    <w:rsid w:val="650B0753"/>
    <w:rsid w:val="650D32FF"/>
    <w:rsid w:val="651200DE"/>
    <w:rsid w:val="651435E1"/>
    <w:rsid w:val="651B09EE"/>
    <w:rsid w:val="653C2719"/>
    <w:rsid w:val="654153AA"/>
    <w:rsid w:val="654D4A40"/>
    <w:rsid w:val="6566621E"/>
    <w:rsid w:val="656A3FF0"/>
    <w:rsid w:val="65821697"/>
    <w:rsid w:val="65A279CD"/>
    <w:rsid w:val="65AB55E7"/>
    <w:rsid w:val="65CE6293"/>
    <w:rsid w:val="65D95929"/>
    <w:rsid w:val="65F740ED"/>
    <w:rsid w:val="66077C6A"/>
    <w:rsid w:val="660A60F8"/>
    <w:rsid w:val="661E7317"/>
    <w:rsid w:val="66402935"/>
    <w:rsid w:val="66495BDD"/>
    <w:rsid w:val="666D4B17"/>
    <w:rsid w:val="669E696B"/>
    <w:rsid w:val="66A0406D"/>
    <w:rsid w:val="66B40B0F"/>
    <w:rsid w:val="66B94F97"/>
    <w:rsid w:val="66BA4C17"/>
    <w:rsid w:val="66C60005"/>
    <w:rsid w:val="66D435C2"/>
    <w:rsid w:val="66ED66EB"/>
    <w:rsid w:val="670A2898"/>
    <w:rsid w:val="671E273D"/>
    <w:rsid w:val="67364560"/>
    <w:rsid w:val="67763396"/>
    <w:rsid w:val="6779274B"/>
    <w:rsid w:val="6784366C"/>
    <w:rsid w:val="678A1A6C"/>
    <w:rsid w:val="67926E78"/>
    <w:rsid w:val="679F070D"/>
    <w:rsid w:val="67A9335C"/>
    <w:rsid w:val="67D44D17"/>
    <w:rsid w:val="68014F2E"/>
    <w:rsid w:val="6802310C"/>
    <w:rsid w:val="680B32BF"/>
    <w:rsid w:val="680C4CB4"/>
    <w:rsid w:val="680E2045"/>
    <w:rsid w:val="68123743"/>
    <w:rsid w:val="68334803"/>
    <w:rsid w:val="68374408"/>
    <w:rsid w:val="68400296"/>
    <w:rsid w:val="688506E3"/>
    <w:rsid w:val="68976726"/>
    <w:rsid w:val="68B46056"/>
    <w:rsid w:val="69156EBB"/>
    <w:rsid w:val="691C697F"/>
    <w:rsid w:val="69516645"/>
    <w:rsid w:val="69760313"/>
    <w:rsid w:val="698132E1"/>
    <w:rsid w:val="698A6FB3"/>
    <w:rsid w:val="69DD483F"/>
    <w:rsid w:val="69F47683"/>
    <w:rsid w:val="69F942E4"/>
    <w:rsid w:val="6A010AFD"/>
    <w:rsid w:val="6A0568FD"/>
    <w:rsid w:val="6A2B6B3C"/>
    <w:rsid w:val="6A2F5543"/>
    <w:rsid w:val="6A5F0290"/>
    <w:rsid w:val="6A865F51"/>
    <w:rsid w:val="6A92342E"/>
    <w:rsid w:val="6AA40D85"/>
    <w:rsid w:val="6ABB09AA"/>
    <w:rsid w:val="6AD74A57"/>
    <w:rsid w:val="6B266753"/>
    <w:rsid w:val="6B4F341C"/>
    <w:rsid w:val="6B7845E0"/>
    <w:rsid w:val="6B7A7AE3"/>
    <w:rsid w:val="6B911907"/>
    <w:rsid w:val="6B9F60AC"/>
    <w:rsid w:val="6BA350A4"/>
    <w:rsid w:val="6BB119F7"/>
    <w:rsid w:val="6BC52A2B"/>
    <w:rsid w:val="6BD858FE"/>
    <w:rsid w:val="6BFA38B5"/>
    <w:rsid w:val="6C0A3B4F"/>
    <w:rsid w:val="6C254067"/>
    <w:rsid w:val="6C3426E1"/>
    <w:rsid w:val="6C5703CB"/>
    <w:rsid w:val="6C68196A"/>
    <w:rsid w:val="6C774F51"/>
    <w:rsid w:val="6C7A1884"/>
    <w:rsid w:val="6CD62F24"/>
    <w:rsid w:val="6D0A6F75"/>
    <w:rsid w:val="6D2E4BAB"/>
    <w:rsid w:val="6D4A44DB"/>
    <w:rsid w:val="6D63623C"/>
    <w:rsid w:val="6D730AA1"/>
    <w:rsid w:val="6D812437"/>
    <w:rsid w:val="6D853006"/>
    <w:rsid w:val="6DE82CCD"/>
    <w:rsid w:val="6DEB7F47"/>
    <w:rsid w:val="6E087CA3"/>
    <w:rsid w:val="6E123F24"/>
    <w:rsid w:val="6E353454"/>
    <w:rsid w:val="6E3B72E7"/>
    <w:rsid w:val="6E567A37"/>
    <w:rsid w:val="6E5C02CB"/>
    <w:rsid w:val="6E680DA5"/>
    <w:rsid w:val="6E804558"/>
    <w:rsid w:val="6EA0288E"/>
    <w:rsid w:val="6EE509F4"/>
    <w:rsid w:val="6EF0198C"/>
    <w:rsid w:val="6EFC51A7"/>
    <w:rsid w:val="6F023405"/>
    <w:rsid w:val="6F0834BA"/>
    <w:rsid w:val="6F0B13DB"/>
    <w:rsid w:val="6F25039A"/>
    <w:rsid w:val="6F376285"/>
    <w:rsid w:val="6F457799"/>
    <w:rsid w:val="6F607449"/>
    <w:rsid w:val="6F8C598F"/>
    <w:rsid w:val="6F8D3411"/>
    <w:rsid w:val="6FA8783E"/>
    <w:rsid w:val="6FBC2EB1"/>
    <w:rsid w:val="6FDB6D93"/>
    <w:rsid w:val="700346D4"/>
    <w:rsid w:val="7046232B"/>
    <w:rsid w:val="704A4E48"/>
    <w:rsid w:val="70623166"/>
    <w:rsid w:val="70714D08"/>
    <w:rsid w:val="7073020B"/>
    <w:rsid w:val="709C35CE"/>
    <w:rsid w:val="70D127A3"/>
    <w:rsid w:val="70F86AD9"/>
    <w:rsid w:val="71032079"/>
    <w:rsid w:val="71327344"/>
    <w:rsid w:val="718B39D1"/>
    <w:rsid w:val="71936767"/>
    <w:rsid w:val="71A26F09"/>
    <w:rsid w:val="71C032CE"/>
    <w:rsid w:val="720F35F2"/>
    <w:rsid w:val="72100F31"/>
    <w:rsid w:val="7220374A"/>
    <w:rsid w:val="72287D95"/>
    <w:rsid w:val="72304FDF"/>
    <w:rsid w:val="723356D2"/>
    <w:rsid w:val="72434C03"/>
    <w:rsid w:val="7247717D"/>
    <w:rsid w:val="725E40D0"/>
    <w:rsid w:val="729926C8"/>
    <w:rsid w:val="72C651DC"/>
    <w:rsid w:val="72DB607B"/>
    <w:rsid w:val="73096F4B"/>
    <w:rsid w:val="73131A58"/>
    <w:rsid w:val="73142D5D"/>
    <w:rsid w:val="7317045F"/>
    <w:rsid w:val="732D5E85"/>
    <w:rsid w:val="733D42E3"/>
    <w:rsid w:val="734E1AC2"/>
    <w:rsid w:val="737230F7"/>
    <w:rsid w:val="73854316"/>
    <w:rsid w:val="73950D2D"/>
    <w:rsid w:val="73A57DF9"/>
    <w:rsid w:val="73A744CA"/>
    <w:rsid w:val="73AB7D4A"/>
    <w:rsid w:val="73AC617D"/>
    <w:rsid w:val="73CC19D5"/>
    <w:rsid w:val="74126445"/>
    <w:rsid w:val="741A7D2C"/>
    <w:rsid w:val="74486D25"/>
    <w:rsid w:val="744E5F5D"/>
    <w:rsid w:val="746016FA"/>
    <w:rsid w:val="74694588"/>
    <w:rsid w:val="746C550D"/>
    <w:rsid w:val="74AF2AFE"/>
    <w:rsid w:val="74B54A08"/>
    <w:rsid w:val="74CB0DAA"/>
    <w:rsid w:val="74E146D2"/>
    <w:rsid w:val="74F86B15"/>
    <w:rsid w:val="750F0599"/>
    <w:rsid w:val="754D5E80"/>
    <w:rsid w:val="756A3232"/>
    <w:rsid w:val="75745DF5"/>
    <w:rsid w:val="75876F5E"/>
    <w:rsid w:val="75895CE5"/>
    <w:rsid w:val="759901A2"/>
    <w:rsid w:val="759F2407"/>
    <w:rsid w:val="75D02BD6"/>
    <w:rsid w:val="75E15270"/>
    <w:rsid w:val="76116EC2"/>
    <w:rsid w:val="76325B80"/>
    <w:rsid w:val="763B7D07"/>
    <w:rsid w:val="76566332"/>
    <w:rsid w:val="768A3309"/>
    <w:rsid w:val="768E1D0F"/>
    <w:rsid w:val="76B72ED4"/>
    <w:rsid w:val="76C07F60"/>
    <w:rsid w:val="76E3721B"/>
    <w:rsid w:val="76F00D88"/>
    <w:rsid w:val="771928DB"/>
    <w:rsid w:val="771C067A"/>
    <w:rsid w:val="772032D2"/>
    <w:rsid w:val="772A6AEC"/>
    <w:rsid w:val="77693C0F"/>
    <w:rsid w:val="77695CCA"/>
    <w:rsid w:val="776C5E7A"/>
    <w:rsid w:val="77785510"/>
    <w:rsid w:val="778F5135"/>
    <w:rsid w:val="779202B8"/>
    <w:rsid w:val="779415BD"/>
    <w:rsid w:val="779C0BC8"/>
    <w:rsid w:val="779C4C9B"/>
    <w:rsid w:val="77B25750"/>
    <w:rsid w:val="77C2468B"/>
    <w:rsid w:val="780A11FC"/>
    <w:rsid w:val="780B5507"/>
    <w:rsid w:val="7855167B"/>
    <w:rsid w:val="7861548E"/>
    <w:rsid w:val="78674E18"/>
    <w:rsid w:val="788F4999"/>
    <w:rsid w:val="78A049F4"/>
    <w:rsid w:val="78A53586"/>
    <w:rsid w:val="78A92755"/>
    <w:rsid w:val="78B8009B"/>
    <w:rsid w:val="78B9366E"/>
    <w:rsid w:val="78BC0364"/>
    <w:rsid w:val="78BC17CD"/>
    <w:rsid w:val="78C5192F"/>
    <w:rsid w:val="78D366C6"/>
    <w:rsid w:val="78FC6C88"/>
    <w:rsid w:val="790B20A3"/>
    <w:rsid w:val="79171739"/>
    <w:rsid w:val="79226737"/>
    <w:rsid w:val="796C47DC"/>
    <w:rsid w:val="799B610F"/>
    <w:rsid w:val="79D85F74"/>
    <w:rsid w:val="79DF2C7C"/>
    <w:rsid w:val="79E47779"/>
    <w:rsid w:val="79F57AA2"/>
    <w:rsid w:val="7A091FC6"/>
    <w:rsid w:val="7A194129"/>
    <w:rsid w:val="7A1F66E8"/>
    <w:rsid w:val="7A361B91"/>
    <w:rsid w:val="7A4A0831"/>
    <w:rsid w:val="7A4C3D34"/>
    <w:rsid w:val="7A7C0DAF"/>
    <w:rsid w:val="7A7D4CC5"/>
    <w:rsid w:val="7A9131A4"/>
    <w:rsid w:val="7A9479AC"/>
    <w:rsid w:val="7AC04CBB"/>
    <w:rsid w:val="7AD57A5A"/>
    <w:rsid w:val="7AD9139A"/>
    <w:rsid w:val="7AE67D87"/>
    <w:rsid w:val="7B484ED1"/>
    <w:rsid w:val="7B6E2211"/>
    <w:rsid w:val="7B8472B4"/>
    <w:rsid w:val="7BBE5711"/>
    <w:rsid w:val="7BC80470"/>
    <w:rsid w:val="7BD75A39"/>
    <w:rsid w:val="7BE0484E"/>
    <w:rsid w:val="7C081A8C"/>
    <w:rsid w:val="7C0A4F8F"/>
    <w:rsid w:val="7C0F40E4"/>
    <w:rsid w:val="7C153320"/>
    <w:rsid w:val="7C207132"/>
    <w:rsid w:val="7C345209"/>
    <w:rsid w:val="7C362168"/>
    <w:rsid w:val="7C482875"/>
    <w:rsid w:val="7C4F43FE"/>
    <w:rsid w:val="7C513185"/>
    <w:rsid w:val="7C5D3714"/>
    <w:rsid w:val="7C823224"/>
    <w:rsid w:val="7C86235A"/>
    <w:rsid w:val="7C92278E"/>
    <w:rsid w:val="7C970076"/>
    <w:rsid w:val="7CD32459"/>
    <w:rsid w:val="7CDE07EA"/>
    <w:rsid w:val="7CE271F0"/>
    <w:rsid w:val="7CEF1D89"/>
    <w:rsid w:val="7CEF6506"/>
    <w:rsid w:val="7CF22D0E"/>
    <w:rsid w:val="7D0C0035"/>
    <w:rsid w:val="7D407A70"/>
    <w:rsid w:val="7D42434A"/>
    <w:rsid w:val="7D4D3494"/>
    <w:rsid w:val="7D9E7791"/>
    <w:rsid w:val="7DA22244"/>
    <w:rsid w:val="7DBC28DE"/>
    <w:rsid w:val="7DC50AE8"/>
    <w:rsid w:val="7DCE3976"/>
    <w:rsid w:val="7DD03016"/>
    <w:rsid w:val="7DFB0564"/>
    <w:rsid w:val="7E0B59D9"/>
    <w:rsid w:val="7E1178E2"/>
    <w:rsid w:val="7E4C3A0F"/>
    <w:rsid w:val="7E4C3A98"/>
    <w:rsid w:val="7E4C4244"/>
    <w:rsid w:val="7E4F51C9"/>
    <w:rsid w:val="7E9E07CB"/>
    <w:rsid w:val="7EB70070"/>
    <w:rsid w:val="7EDD5D31"/>
    <w:rsid w:val="7F1A61C1"/>
    <w:rsid w:val="7F23352A"/>
    <w:rsid w:val="7F5A30FD"/>
    <w:rsid w:val="7F6C689A"/>
    <w:rsid w:val="7F7D33DC"/>
    <w:rsid w:val="7F8242C1"/>
    <w:rsid w:val="7F8B38CC"/>
    <w:rsid w:val="7F8E00D4"/>
    <w:rsid w:val="7FA06BEF"/>
    <w:rsid w:val="7FAA1790"/>
    <w:rsid w:val="7FAB1C02"/>
    <w:rsid w:val="7FBD539F"/>
    <w:rsid w:val="7FC13DA6"/>
    <w:rsid w:val="7FD3213E"/>
    <w:rsid w:val="7FD8724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line="240" w:lineRule="auto"/>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Header Char"/>
    <w:basedOn w:val="18"/>
    <w:link w:val="13"/>
    <w:qFormat/>
    <w:uiPriority w:val="99"/>
    <w:rPr>
      <w:sz w:val="18"/>
      <w:szCs w:val="18"/>
    </w:rPr>
  </w:style>
  <w:style w:type="character" w:customStyle="1" w:styleId="22">
    <w:name w:val="Footer Char"/>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Balloon Text Char"/>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Comment Text Char"/>
    <w:basedOn w:val="18"/>
    <w:link w:val="8"/>
    <w:qFormat/>
    <w:uiPriority w:val="0"/>
    <w:rPr>
      <w:rFonts w:ascii="CG Times (WN)" w:hAnsi="CG Times (WN)" w:eastAsia="宋体" w:cs="Times New Roman"/>
    </w:rPr>
  </w:style>
  <w:style w:type="character" w:customStyle="1" w:styleId="38">
    <w:name w:val="Comment Subject Char"/>
    <w:basedOn w:val="37"/>
    <w:link w:val="15"/>
    <w:semiHidden/>
    <w:qFormat/>
    <w:uiPriority w:val="99"/>
    <w:rPr>
      <w:rFonts w:ascii="CG Times (WN)" w:hAnsi="CG Times (WN)" w:eastAsia="宋体" w:cs="Times New Roman"/>
      <w:b/>
      <w:bCs/>
    </w:rPr>
  </w:style>
  <w:style w:type="character" w:customStyle="1" w:styleId="39">
    <w:name w:val="Document Map Char"/>
    <w:basedOn w:val="18"/>
    <w:link w:val="7"/>
    <w:semiHidden/>
    <w:qFormat/>
    <w:uiPriority w:val="99"/>
    <w:rPr>
      <w:rFonts w:ascii="宋体" w:hAnsi="CG Times (WN)" w:eastAsia="宋体" w:cs="Times New Roman"/>
      <w:sz w:val="18"/>
      <w:szCs w:val="18"/>
    </w:rPr>
  </w:style>
  <w:style w:type="character" w:customStyle="1" w:styleId="40">
    <w:name w:val="Caption Char"/>
    <w:link w:val="6"/>
    <w:qFormat/>
    <w:uiPriority w:val="35"/>
    <w:rPr>
      <w:rFonts w:ascii="Times New Roman" w:hAnsi="Times New Roman" w:eastAsia="MS Mincho" w:cs="Times New Roman"/>
      <w:b/>
      <w:kern w:val="0"/>
      <w:sz w:val="20"/>
      <w:szCs w:val="20"/>
      <w:lang w:val="en-GB" w:eastAsia="en-US"/>
    </w:rPr>
  </w:style>
  <w:style w:type="character" w:customStyle="1" w:styleId="41">
    <w:name w:val="List Paragraph Char"/>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Heading 2 Char"/>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Heading 3 Char"/>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Heading 5 Char"/>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before="0"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1692</Words>
  <Characters>9204</Characters>
  <Lines>37</Lines>
  <Paragraphs>10</Paragraphs>
  <TotalTime>0</TotalTime>
  <ScaleCrop>false</ScaleCrop>
  <LinksUpToDate>false</LinksUpToDate>
  <CharactersWithSpaces>10852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2024-08-09T06:44:16Z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98DA602ECDDE49208759EB72CF8D6DA7_13</vt:lpwstr>
  </property>
</Properties>
</file>