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r>
        <w:rPr>
          <w:rFonts w:ascii="Arial" w:hAnsi="Arial" w:eastAsia="宋体" w:cs="Arial"/>
          <w:b/>
          <w:kern w:val="0"/>
          <w:sz w:val="24"/>
          <w:szCs w:val="24"/>
          <w:lang w:val="en-US" w:eastAsia="zh-CN" w:bidi="ar-SA"/>
        </w:rPr>
        <w:t>3GPP TSG-RAN WG4 Meeting #112</w:t>
      </w:r>
      <w:r>
        <w:rPr>
          <w:rFonts w:hint="eastAsia"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R4-2411767</w:t>
      </w:r>
      <w:bookmarkStart w:id="2" w:name="_GoBack"/>
      <w:bookmarkEnd w:id="2"/>
    </w:p>
    <w:p>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Maastricht</w:t>
      </w:r>
      <w:r>
        <w:rPr>
          <w:rFonts w:hint="eastAsia" w:ascii="Arial" w:hAnsi="Arial" w:eastAsia="宋体" w:cs="Arial"/>
          <w:b/>
          <w:kern w:val="0"/>
          <w:sz w:val="24"/>
          <w:szCs w:val="24"/>
          <w:lang w:val="en-US" w:eastAsia="zh-CN" w:bidi="ar-SA"/>
        </w:rPr>
        <w:t>,</w:t>
      </w:r>
      <w:r>
        <w:rPr>
          <w:rFonts w:ascii="Arial" w:hAnsi="Arial" w:eastAsia="宋体" w:cs="Arial"/>
          <w:b/>
          <w:kern w:val="0"/>
          <w:sz w:val="24"/>
          <w:szCs w:val="24"/>
          <w:lang w:val="en-US" w:eastAsia="zh-CN" w:bidi="ar-SA"/>
        </w:rPr>
        <w:t xml:space="preserve"> Netherlands, 19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23</w:t>
      </w:r>
      <w:r>
        <w:rPr>
          <w:rFonts w:ascii="Arial" w:hAnsi="Arial" w:eastAsia="宋体" w:cs="Arial"/>
          <w:b/>
          <w:kern w:val="0"/>
          <w:sz w:val="24"/>
          <w:szCs w:val="24"/>
          <w:vertAlign w:val="superscript"/>
          <w:lang w:val="en-US" w:eastAsia="zh-CN" w:bidi="ar-SA"/>
        </w:rPr>
        <w:t>rd</w:t>
      </w:r>
      <w:r>
        <w:rPr>
          <w:rFonts w:ascii="Arial" w:hAnsi="Arial" w:eastAsia="宋体" w:cs="Arial"/>
          <w:b/>
          <w:kern w:val="0"/>
          <w:sz w:val="24"/>
          <w:szCs w:val="24"/>
          <w:lang w:val="en-US" w:eastAsia="zh-CN" w:bidi="ar-SA"/>
        </w:rPr>
        <w:t xml:space="preserve"> August, 2024</w:t>
      </w:r>
    </w:p>
    <w:p>
      <w:pPr>
        <w:bidi w:val="0"/>
        <w:rPr>
          <w:rFonts w:hint="default" w:ascii="Arial" w:hAnsi="Arial" w:cs="Arial"/>
          <w:b/>
          <w:bCs/>
          <w:sz w:val="24"/>
          <w:szCs w:val="28"/>
          <w:lang w:val="en-US" w:eastAsia="zh-CN"/>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highlight w:val="none"/>
          <w:lang w:val="en-US" w:eastAsia="zh-CN"/>
        </w:rPr>
        <w:t>8.20.2.1</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Deployment scenario and spectrum usage</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hint="default" w:ascii="Times New Roman" w:hAnsi="Times New Roman"/>
          <w:sz w:val="20"/>
          <w:lang w:val="en-US" w:eastAsia="zh-CN"/>
        </w:rPr>
      </w:pPr>
      <w:r>
        <w:rPr>
          <w:rFonts w:hint="eastAsia" w:ascii="Times New Roman" w:hAnsi="Times New Roman"/>
          <w:sz w:val="20"/>
          <w:lang w:val="en-US" w:eastAsia="zh-CN"/>
        </w:rPr>
        <w:t>In RAN plenary #102 meeting, a new SID[1] of A-IoT is approved with following RAN4 lead RF part objectives, and in last meeting, a WF is approved [2].</w:t>
      </w:r>
    </w:p>
    <w:p>
      <w:pPr>
        <w:numPr>
          <w:ilvl w:val="0"/>
          <w:numId w:val="1"/>
        </w:numPr>
        <w:spacing w:after="180"/>
        <w:ind w:left="72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Coexistence study of Ambient IoT and NR/LTE.</w:t>
      </w:r>
    </w:p>
    <w:p>
      <w:pPr>
        <w:numPr>
          <w:ilvl w:val="0"/>
          <w:numId w:val="1"/>
        </w:numPr>
        <w:spacing w:after="180"/>
        <w:ind w:left="72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RF requirements study for Ambient IoT:</w:t>
      </w:r>
    </w:p>
    <w:p>
      <w:pPr>
        <w:numPr>
          <w:ilvl w:val="1"/>
          <w:numId w:val="1"/>
        </w:numPr>
        <w:spacing w:after="180"/>
        <w:ind w:left="144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Ambient IoT BS transmission and reception</w:t>
      </w:r>
    </w:p>
    <w:p>
      <w:pPr>
        <w:numPr>
          <w:ilvl w:val="1"/>
          <w:numId w:val="1"/>
        </w:numPr>
        <w:spacing w:after="180"/>
        <w:ind w:left="144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Ambient IoT Device, as per the General Scope, transmission and reception</w:t>
      </w:r>
    </w:p>
    <w:p>
      <w:pPr>
        <w:numPr>
          <w:ilvl w:val="1"/>
          <w:numId w:val="1"/>
        </w:numPr>
        <w:spacing w:after="180"/>
        <w:ind w:left="144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Intermediate node (UE), as per the General Scope, transmission and reception</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0"/>
        <w:ind w:left="0" w:leftChars="0"/>
        <w:textAlignment w:val="auto"/>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Considering RAN4 only have 4 meetings to finish co-existence analysis and RF requirement analysis, it</w:t>
      </w:r>
      <w:r>
        <w:rPr>
          <w:rFonts w:hint="default" w:ascii="Times New Roman" w:hAnsi="Times New Roman" w:cs="Times New Roman"/>
          <w:bCs/>
          <w:sz w:val="20"/>
          <w:szCs w:val="20"/>
          <w:lang w:val="en-US" w:eastAsia="zh-CN"/>
        </w:rPr>
        <w:t>’</w:t>
      </w:r>
      <w:r>
        <w:rPr>
          <w:rFonts w:hint="eastAsia" w:ascii="Times New Roman" w:hAnsi="Times New Roman" w:cs="Times New Roman"/>
          <w:bCs/>
          <w:sz w:val="20"/>
          <w:szCs w:val="20"/>
          <w:lang w:val="en-US" w:eastAsia="zh-CN"/>
        </w:rPr>
        <w:t xml:space="preserve">s challenging with high workload to finish all evaluation cases. In this contribution, we only list our preferred evaluation cases from commercial deployment scenario point of view.  </w:t>
      </w:r>
    </w:p>
    <w:p>
      <w:pPr>
        <w:keepNext/>
        <w:keepLines/>
        <w:widowControl/>
        <w:numPr>
          <w:ilvl w:val="0"/>
          <w:numId w:val="0"/>
        </w:numPr>
        <w:pBdr>
          <w:top w:val="single" w:color="auto" w:sz="12" w:space="1"/>
        </w:pBdr>
        <w:tabs>
          <w:tab w:val="left" w:pos="567"/>
        </w:tabs>
        <w:adjustRightInd w:val="0"/>
        <w:spacing w:before="240" w:after="180"/>
        <w:outlineLvl w:val="0"/>
        <w:rPr>
          <w:rFonts w:hint="eastAsia"/>
          <w:lang w:val="en-US" w:eastAsia="zh-CN"/>
        </w:rPr>
      </w:pPr>
      <w:r>
        <w:rPr>
          <w:rFonts w:hint="eastAsia" w:ascii="Arial" w:hAnsi="Arial" w:eastAsiaTheme="minorEastAsia" w:cstheme="minorBidi"/>
          <w:sz w:val="32"/>
          <w:szCs w:val="36"/>
          <w:lang w:val="en-US" w:eastAsia="zh-CN"/>
        </w:rPr>
        <w:t>2.</w:t>
      </w:r>
      <w:r>
        <w:rPr>
          <w:rFonts w:hint="eastAsia" w:ascii="Arial" w:hAnsi="Arial" w:eastAsiaTheme="minorEastAsia" w:cstheme="minorBidi"/>
          <w:sz w:val="32"/>
          <w:szCs w:val="36"/>
        </w:rPr>
        <w:t>Discussion</w:t>
      </w:r>
      <w:r>
        <w:rPr>
          <w:rFonts w:hint="eastAsia"/>
          <w:lang w:val="en-US" w:eastAsia="zh-CN"/>
        </w:rPr>
        <w:t xml:space="preserve"> </w:t>
      </w:r>
    </w:p>
    <w:p>
      <w:pPr>
        <w:pStyle w:val="4"/>
        <w:bidi w:val="0"/>
        <w:rPr>
          <w:rFonts w:hint="default"/>
          <w:lang w:val="en-US" w:eastAsia="zh-CN"/>
        </w:rPr>
      </w:pPr>
      <w:r>
        <w:rPr>
          <w:rFonts w:hint="eastAsia"/>
          <w:lang w:val="en-US" w:eastAsia="zh-CN"/>
        </w:rPr>
        <w:t>2.1 Spectrum usage for D1T1</w:t>
      </w:r>
    </w:p>
    <w:p>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Last meeting agreements are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5"/>
              <w:numPr>
                <w:ilvl w:val="0"/>
                <w:numId w:val="2"/>
              </w:numPr>
              <w:spacing w:before="120" w:line="280" w:lineRule="atLeast"/>
              <w:ind w:firstLineChars="0"/>
              <w:rPr>
                <w:rFonts w:hint="default" w:ascii="Times New Roman" w:hAnsi="Times New Roman" w:cs="Times New Roman" w:eastAsiaTheme="minorEastAsia"/>
              </w:rPr>
            </w:pPr>
            <w:r>
              <w:rPr>
                <w:rFonts w:hint="default" w:ascii="Times New Roman" w:hAnsi="Times New Roman" w:cs="Times New Roman" w:eastAsiaTheme="minorEastAsia"/>
              </w:rPr>
              <w:t>Use FDD DL as starting point for co-existence evaluation for R2D in D1T1</w:t>
            </w:r>
          </w:p>
          <w:p>
            <w:pPr>
              <w:pStyle w:val="25"/>
              <w:numPr>
                <w:ilvl w:val="1"/>
                <w:numId w:val="3"/>
              </w:numPr>
              <w:spacing w:before="120" w:line="280" w:lineRule="atLeast"/>
              <w:ind w:firstLineChars="0"/>
              <w:rPr>
                <w:rFonts w:hint="default" w:ascii="Times New Roman" w:hAnsi="Times New Roman" w:cs="Times New Roman"/>
                <w:b w:val="0"/>
                <w:bCs w:val="0"/>
                <w:sz w:val="20"/>
                <w:szCs w:val="20"/>
                <w:vertAlign w:val="baseline"/>
                <w:lang w:val="en-US" w:eastAsia="zh-CN"/>
              </w:rPr>
            </w:pPr>
            <w:r>
              <w:rPr>
                <w:rFonts w:hint="default" w:ascii="Times New Roman" w:hAnsi="Times New Roman" w:cs="Times New Roman" w:eastAsiaTheme="minorEastAsia"/>
              </w:rPr>
              <w:t>FFS on FDD UL spectrum.</w:t>
            </w:r>
          </w:p>
        </w:tc>
      </w:tr>
    </w:tbl>
    <w:p>
      <w:pPr>
        <w:numPr>
          <w:ilvl w:val="0"/>
          <w:numId w:val="0"/>
        </w:numPr>
        <w:spacing w:after="180"/>
        <w:ind w:leftChars="0"/>
        <w:jc w:val="left"/>
        <w:rPr>
          <w:rFonts w:hint="default" w:ascii="Times New Roman" w:hAnsi="Times New Roman"/>
          <w:b w:val="0"/>
          <w:bCs w:val="0"/>
          <w:sz w:val="20"/>
          <w:szCs w:val="20"/>
          <w:lang w:val="en-US" w:eastAsia="zh-CN"/>
        </w:rPr>
      </w:pPr>
    </w:p>
    <w:p>
      <w:pPr>
        <w:numPr>
          <w:ilvl w:val="0"/>
          <w:numId w:val="0"/>
        </w:numPr>
        <w:spacing w:after="180"/>
        <w:ind w:left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Considering now RAN4 co-existence evaluation workload is much high,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suggested to leave FDD UL spectrum for R2D in D1T1 as low priority because usually from regulation point of view, gNB should transmit using FDD DL spectrum.</w:t>
      </w:r>
    </w:p>
    <w:p>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FDD UL spectrum for R2D in D1T1 as low priority.</w:t>
      </w:r>
    </w:p>
    <w:p>
      <w:pPr>
        <w:pStyle w:val="4"/>
        <w:bidi w:val="0"/>
        <w:rPr>
          <w:rFonts w:hint="default"/>
          <w:lang w:val="en-US" w:eastAsia="zh-CN"/>
        </w:rPr>
      </w:pPr>
      <w:r>
        <w:rPr>
          <w:rFonts w:hint="eastAsia"/>
          <w:lang w:val="en-US" w:eastAsia="zh-CN"/>
        </w:rPr>
        <w:t>2.2 inside/outside topology</w:t>
      </w:r>
    </w:p>
    <w:p>
      <w:pPr>
        <w:numPr>
          <w:ilvl w:val="0"/>
          <w:numId w:val="0"/>
        </w:numPr>
        <w:spacing w:after="180"/>
        <w:ind w:left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 main difference between D1T1-A2 and D1T1-B is the CW location. In the simulation, following three aspects will use CW signal.</w:t>
      </w:r>
    </w:p>
    <w:p>
      <w:pPr>
        <w:numPr>
          <w:ilvl w:val="0"/>
          <w:numId w:val="4"/>
        </w:numPr>
        <w:spacing w:after="180"/>
        <w:ind w:left="420" w:leftChars="0" w:hanging="420" w:firstLineChars="0"/>
        <w:jc w:val="left"/>
        <w:rPr>
          <w:rFonts w:hint="default"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Self-interference at reader side</w:t>
      </w:r>
    </w:p>
    <w:p>
      <w:pPr>
        <w:numPr>
          <w:ilvl w:val="0"/>
          <w:numId w:val="5"/>
        </w:numPr>
        <w:spacing w:after="180"/>
        <w:ind w:left="420" w:leftChars="0" w:hanging="420" w:firstLineChars="0"/>
        <w:jc w:val="left"/>
        <w:rPr>
          <w:rFonts w:ascii="Times New Roman" w:hAnsi="Times New Roman"/>
          <w:sz w:val="20"/>
          <w:szCs w:val="20"/>
          <w:highlight w:val="none"/>
        </w:rPr>
      </w:pPr>
      <w:r>
        <w:rPr>
          <w:rFonts w:hint="eastAsia" w:ascii="Times New Roman" w:hAnsi="Times New Roman"/>
          <w:sz w:val="20"/>
          <w:szCs w:val="20"/>
          <w:highlight w:val="none"/>
          <w:lang w:val="en-US" w:eastAsia="zh-CN"/>
        </w:rPr>
        <w:t>Unwanted emission level of CW, this is assumed to be zero and no need to be considered since CW almost have perfect unwanted emission performance.</w:t>
      </w:r>
    </w:p>
    <w:p>
      <w:pPr>
        <w:numPr>
          <w:ilvl w:val="0"/>
          <w:numId w:val="5"/>
        </w:numPr>
        <w:spacing w:after="180"/>
        <w:ind w:left="420" w:leftChars="0" w:hanging="420" w:firstLineChars="0"/>
        <w:jc w:val="left"/>
        <w:rPr>
          <w:rFonts w:ascii="Times New Roman" w:hAnsi="Times New Roman"/>
          <w:sz w:val="20"/>
          <w:szCs w:val="20"/>
          <w:highlight w:val="none"/>
        </w:rPr>
      </w:pPr>
      <w:r>
        <w:rPr>
          <w:rFonts w:hint="eastAsia" w:ascii="Times New Roman" w:hAnsi="Times New Roman"/>
          <w:sz w:val="20"/>
          <w:szCs w:val="20"/>
          <w:highlight w:val="none"/>
          <w:lang w:val="en-US" w:eastAsia="zh-CN"/>
        </w:rPr>
        <w:t>Other CW node interference to derive which is caused due to dense deployment of CW nodes</w:t>
      </w:r>
    </w:p>
    <w:p>
      <w:pPr>
        <w:numPr>
          <w:ilvl w:val="1"/>
          <w:numId w:val="5"/>
        </w:numPr>
        <w:spacing w:after="180"/>
        <w:ind w:left="84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sz w:val="20"/>
          <w:szCs w:val="20"/>
          <w:highlight w:val="none"/>
          <w:lang w:val="en-US" w:eastAsia="zh-CN"/>
        </w:rPr>
        <w:t xml:space="preserve">This is something like other reader interference to device and </w:t>
      </w:r>
      <w:r>
        <w:rPr>
          <w:rFonts w:hint="eastAsia" w:ascii="Times New Roman" w:hAnsi="Times New Roman"/>
          <w:b w:val="0"/>
          <w:bCs w:val="0"/>
          <w:sz w:val="20"/>
          <w:szCs w:val="20"/>
          <w:lang w:val="en-US" w:eastAsia="zh-CN"/>
        </w:rPr>
        <w:t>as discussed in other tdoc, certain activation ratio of topology 1 reader is suggested with the basic principle that there is no reader interference at device side. Therefore it seems after defining the activation ratio of CW, the CW interference to device could be avoided</w:t>
      </w:r>
    </w:p>
    <w:p>
      <w:pPr>
        <w:numPr>
          <w:ilvl w:val="0"/>
          <w:numId w:val="0"/>
        </w:numPr>
        <w:spacing w:after="180"/>
        <w:ind w:left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So the main difference between D1T1-A2 and D1T1-B is the self-interference at reader side. Compared with D1T1-A2, D1T1-B has less remaining self-interference due to larger spatial isolation. If we use SINR degradation as performance metric when reader as victim and self-interference is calculated in baseline SINR, D1T1-A2 with remained self-interference will allow larger interference compared with D1T1-B and D1T1-B is the worst case. Otherwise if we use SINR degradation as performance metric when reader as victim but self-interference is </w:t>
      </w:r>
      <w:r>
        <w:rPr>
          <w:rFonts w:hint="eastAsia" w:ascii="Times New Roman" w:hAnsi="Times New Roman"/>
          <w:b/>
          <w:bCs/>
          <w:sz w:val="20"/>
          <w:szCs w:val="20"/>
          <w:lang w:val="en-US" w:eastAsia="zh-CN"/>
        </w:rPr>
        <w:t>not</w:t>
      </w:r>
      <w:r>
        <w:rPr>
          <w:rFonts w:hint="eastAsia" w:ascii="Times New Roman" w:hAnsi="Times New Roman"/>
          <w:b w:val="0"/>
          <w:bCs w:val="0"/>
          <w:sz w:val="20"/>
          <w:szCs w:val="20"/>
          <w:lang w:val="en-US" w:eastAsia="zh-CN"/>
        </w:rPr>
        <w:t xml:space="preserve"> calculated in baseline SINR, D1T1-A2 with remained self-interference will allow less interference compared with D1T1-B and D1T1-A2 is the worst case. </w:t>
      </w:r>
    </w:p>
    <w:p>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1: compared with D1T1-A2, D1T1-B is the worst case if we calculate self-interference into baseline SINR and using SINR degradation as performance metric. But if self-interference is not calculated into baseline SINR, D1T1-A2 is the worst case.</w:t>
      </w:r>
    </w:p>
    <w:p>
      <w:pPr>
        <w:numPr>
          <w:ilvl w:val="0"/>
          <w:numId w:val="0"/>
        </w:numPr>
        <w:spacing w:after="180"/>
        <w:ind w:left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According to the experience, self-interference should be calculated into baseline SINR, therefore, D1T1-B is the worst case compared with D1T1-A2. but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noted, if we assume no CW into final D1T1-A2 simulation, then D1T1-A2 is the worst case. Since we already have agreements of D1T1-A2 layout,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to use D1T1-A2 results without considering CW self-interference as the worst case compared with D1T1-B.</w:t>
      </w:r>
    </w:p>
    <w:p>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2: D1T1-A2 without considering CW interference is the worst case compared with D1T1-B. there is no need to consider D1T1-B.</w:t>
      </w:r>
    </w:p>
    <w:p>
      <w:pPr>
        <w:widowControl w:val="0"/>
        <w:numPr>
          <w:ilvl w:val="0"/>
          <w:numId w:val="0"/>
        </w:num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If we define activation ratio of reader to avoid interference from nearby reader to device, then it seems the layout of D1T1-A1will not have big impact for final simulation results. The key factor that will impact final simulation results is the remaining self-interference. As discussed above, D1T1-A2 without considering CW is the worst case compared with D1T1-A1.</w:t>
      </w:r>
    </w:p>
    <w:p>
      <w:pPr>
        <w:widowControl w:val="0"/>
        <w:numPr>
          <w:ilvl w:val="0"/>
          <w:numId w:val="0"/>
        </w:num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D1T1-A2 without considering CW interference is the worst case compared with D1T1-A1. there is no need to consider D1T1-A1.</w:t>
      </w:r>
    </w:p>
    <w:p>
      <w:pPr>
        <w:pStyle w:val="4"/>
        <w:bidi w:val="0"/>
        <w:rPr>
          <w:rFonts w:hint="eastAsia"/>
          <w:lang w:val="en-US" w:eastAsia="zh-CN"/>
        </w:rPr>
      </w:pPr>
      <w:r>
        <w:rPr>
          <w:rFonts w:hint="eastAsia"/>
          <w:lang w:val="en-US" w:eastAsia="zh-CN"/>
        </w:rPr>
        <w:t>2.3  spectrum usage for CW transmission in D2T2</w:t>
      </w:r>
    </w:p>
    <w:p>
      <w:pPr>
        <w:widowControl w:val="0"/>
        <w:numPr>
          <w:ilvl w:val="0"/>
          <w:numId w:val="0"/>
        </w:num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Last meeting agreements are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val="0"/>
              <w:numPr>
                <w:ilvl w:val="0"/>
                <w:numId w:val="0"/>
              </w:numPr>
              <w:spacing w:before="120" w:after="180" w:line="280" w:lineRule="atLeast"/>
              <w:jc w:val="left"/>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For the case that D2R backscattering is transmitted in the same carrier as CW for D2R backscattering, and for topology 2, the following cases for CW transmission are studied.</w:t>
            </w:r>
          </w:p>
          <w:p>
            <w:pPr>
              <w:widowControl w:val="0"/>
              <w:numPr>
                <w:ilvl w:val="0"/>
                <w:numId w:val="0"/>
              </w:numPr>
              <w:spacing w:before="120" w:after="180" w:line="280" w:lineRule="atLeast"/>
              <w:jc w:val="left"/>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Case 2-2: CW is transmitted from inside the topology (i.e., intermediate UE), transmitted in UL spectrum</w:t>
            </w:r>
          </w:p>
          <w:p>
            <w:pPr>
              <w:widowControl w:val="0"/>
              <w:numPr>
                <w:ilvl w:val="0"/>
                <w:numId w:val="0"/>
              </w:numPr>
              <w:spacing w:before="120" w:after="180" w:line="280" w:lineRule="atLeast"/>
              <w:jc w:val="left"/>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 Case 2-3: CW is transmitted from outside the topology, transmitted in DL spectrum </w:t>
            </w:r>
          </w:p>
          <w:p>
            <w:pPr>
              <w:widowControl w:val="0"/>
              <w:numPr>
                <w:ilvl w:val="0"/>
                <w:numId w:val="0"/>
              </w:numPr>
              <w:spacing w:before="120" w:after="180" w:line="280" w:lineRule="atLeast"/>
              <w:jc w:val="left"/>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Case 2-4: CW is transmitted from outside the topology, transmitted in UL spectrum</w:t>
            </w:r>
          </w:p>
          <w:p>
            <w:pPr>
              <w:spacing w:before="120" w:line="280" w:lineRule="atLeast"/>
              <w:rPr>
                <w:rFonts w:hint="default" w:ascii="Times New Roman" w:hAnsi="Times New Roman" w:cs="Times New Roman" w:eastAsiaTheme="minorEastAsia"/>
                <w:b/>
                <w:bCs/>
                <w:sz w:val="20"/>
                <w:szCs w:val="21"/>
                <w:lang w:val="en-US" w:eastAsia="zh-CN"/>
              </w:rPr>
            </w:pPr>
            <w:r>
              <w:rPr>
                <w:rFonts w:hint="default" w:ascii="Times New Roman" w:hAnsi="Times New Roman" w:cs="Times New Roman" w:eastAsiaTheme="minorEastAsia"/>
                <w:b/>
                <w:bCs/>
                <w:sz w:val="20"/>
                <w:szCs w:val="21"/>
                <w:lang w:val="en-US" w:eastAsia="zh-CN"/>
              </w:rPr>
              <w:t>Agreement:</w:t>
            </w:r>
          </w:p>
          <w:p>
            <w:pPr>
              <w:pStyle w:val="25"/>
              <w:numPr>
                <w:ilvl w:val="0"/>
                <w:numId w:val="2"/>
              </w:numPr>
              <w:spacing w:before="120" w:line="280" w:lineRule="atLeast"/>
              <w:ind w:firstLineChars="0"/>
              <w:rPr>
                <w:rFonts w:hint="default" w:ascii="Times New Roman" w:hAnsi="Times New Roman" w:cs="Times New Roman" w:eastAsiaTheme="minorEastAsia"/>
                <w:sz w:val="20"/>
                <w:szCs w:val="21"/>
              </w:rPr>
            </w:pPr>
            <w:r>
              <w:rPr>
                <w:rFonts w:hint="default" w:ascii="Times New Roman" w:hAnsi="Times New Roman" w:cs="Times New Roman" w:eastAsiaTheme="minorEastAsia"/>
                <w:sz w:val="20"/>
                <w:szCs w:val="21"/>
              </w:rPr>
              <w:t>Use case 2-2 as starting point for co-existence evaluation for calibration.</w:t>
            </w:r>
          </w:p>
          <w:p>
            <w:pPr>
              <w:pStyle w:val="25"/>
              <w:numPr>
                <w:ilvl w:val="0"/>
                <w:numId w:val="2"/>
              </w:numPr>
              <w:spacing w:before="120" w:line="280" w:lineRule="atLeast"/>
              <w:ind w:firstLineChars="0"/>
              <w:rPr>
                <w:rFonts w:hint="default" w:ascii="Times New Roman" w:hAnsi="Times New Roman" w:cs="Times New Roman" w:eastAsiaTheme="minorEastAsia"/>
                <w:sz w:val="20"/>
                <w:szCs w:val="21"/>
              </w:rPr>
            </w:pPr>
            <w:r>
              <w:rPr>
                <w:rFonts w:hint="default" w:ascii="Times New Roman" w:hAnsi="Times New Roman" w:cs="Times New Roman" w:eastAsiaTheme="minorEastAsia"/>
                <w:sz w:val="20"/>
                <w:szCs w:val="21"/>
                <w:lang w:eastAsia="zh-CN"/>
              </w:rPr>
              <w:t>FFS on case 2-3</w:t>
            </w:r>
          </w:p>
          <w:p>
            <w:pPr>
              <w:pStyle w:val="25"/>
              <w:numPr>
                <w:ilvl w:val="0"/>
                <w:numId w:val="2"/>
              </w:numPr>
              <w:spacing w:before="120" w:line="280" w:lineRule="atLeast"/>
              <w:ind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eastAsiaTheme="minorEastAsia"/>
                <w:sz w:val="20"/>
                <w:szCs w:val="21"/>
              </w:rPr>
              <w:t>Further discuss the difference of outside topology (case2-4) from co-existence study perspective.</w:t>
            </w:r>
          </w:p>
        </w:tc>
      </w:tr>
    </w:tbl>
    <w:p>
      <w:pPr>
        <w:widowControl w:val="0"/>
        <w:numPr>
          <w:ilvl w:val="0"/>
          <w:numId w:val="0"/>
        </w:numPr>
        <w:spacing w:after="180"/>
        <w:jc w:val="left"/>
        <w:rPr>
          <w:rFonts w:hint="default"/>
          <w:lang w:val="en-US" w:eastAsia="zh-CN"/>
        </w:rPr>
      </w:pPr>
    </w:p>
    <w:p>
      <w:pPr>
        <w:widowControl w:val="0"/>
        <w:numPr>
          <w:ilvl w:val="0"/>
          <w:numId w:val="0"/>
        </w:numPr>
        <w:spacing w:after="180"/>
        <w:jc w:val="left"/>
        <w:rPr>
          <w:rFonts w:hint="default" w:ascii="Times New Roman" w:hAnsi="Times New Roman" w:cs="Times New Roman"/>
          <w:sz w:val="20"/>
          <w:szCs w:val="21"/>
          <w:lang w:val="en-US" w:eastAsia="zh-CN"/>
        </w:rPr>
      </w:pPr>
      <w:r>
        <w:rPr>
          <w:rFonts w:hint="default" w:ascii="Times New Roman" w:hAnsi="Times New Roman" w:cs="Times New Roman"/>
          <w:sz w:val="20"/>
          <w:szCs w:val="21"/>
          <w:lang w:val="en-US" w:eastAsia="zh-CN"/>
        </w:rPr>
        <w:t>As discussed above for topology 1, the case without CW self-interference is the worst case, from this point of view, case 2-2 is the worst case if we assume no CW interference as used in calibration. So no need for case 2-4.</w:t>
      </w:r>
    </w:p>
    <w:p>
      <w:pPr>
        <w:widowControl w:val="0"/>
        <w:numPr>
          <w:ilvl w:val="0"/>
          <w:numId w:val="0"/>
        </w:numPr>
        <w:spacing w:after="180"/>
        <w:jc w:val="left"/>
        <w:rPr>
          <w:rFonts w:hint="default" w:ascii="Times New Roman" w:hAnsi="Times New Roman" w:cs="Times New Roman"/>
          <w:b/>
          <w:bCs/>
          <w:sz w:val="20"/>
          <w:szCs w:val="21"/>
          <w:lang w:val="en-US" w:eastAsia="zh-CN"/>
        </w:rPr>
      </w:pPr>
      <w:r>
        <w:rPr>
          <w:rFonts w:hint="default" w:ascii="Times New Roman" w:hAnsi="Times New Roman" w:cs="Times New Roman"/>
          <w:b/>
          <w:bCs/>
          <w:sz w:val="20"/>
          <w:szCs w:val="21"/>
          <w:lang w:val="en-US" w:eastAsia="zh-CN"/>
        </w:rPr>
        <w:t xml:space="preserve">Proposal </w:t>
      </w:r>
      <w:r>
        <w:rPr>
          <w:rFonts w:hint="eastAsia" w:ascii="Times New Roman" w:hAnsi="Times New Roman" w:cs="Times New Roman"/>
          <w:b/>
          <w:bCs/>
          <w:sz w:val="20"/>
          <w:szCs w:val="21"/>
          <w:lang w:val="en-US" w:eastAsia="zh-CN"/>
        </w:rPr>
        <w:t>4</w:t>
      </w:r>
      <w:r>
        <w:rPr>
          <w:rFonts w:hint="default" w:ascii="Times New Roman" w:hAnsi="Times New Roman" w:cs="Times New Roman"/>
          <w:b/>
          <w:bCs/>
          <w:sz w:val="20"/>
          <w:szCs w:val="21"/>
          <w:lang w:val="en-US" w:eastAsia="zh-CN"/>
        </w:rPr>
        <w:t>: case 2-2 is the worst case if we assume no CW interference as used in calibration. So no need for case 2-4.</w:t>
      </w:r>
    </w:p>
    <w:p>
      <w:pPr>
        <w:widowControl w:val="0"/>
        <w:numPr>
          <w:ilvl w:val="0"/>
          <w:numId w:val="0"/>
        </w:numPr>
        <w:spacing w:after="180"/>
        <w:jc w:val="left"/>
        <w:rPr>
          <w:rFonts w:hint="default" w:ascii="Times New Roman" w:hAnsi="Times New Roman" w:cs="Times New Roman"/>
          <w:sz w:val="20"/>
          <w:szCs w:val="21"/>
          <w:lang w:val="en-US" w:eastAsia="zh-CN"/>
        </w:rPr>
      </w:pPr>
      <w:r>
        <w:rPr>
          <w:rFonts w:hint="default" w:ascii="Times New Roman" w:hAnsi="Times New Roman" w:cs="Times New Roman"/>
          <w:sz w:val="20"/>
          <w:szCs w:val="21"/>
          <w:lang w:val="en-US" w:eastAsia="zh-CN"/>
        </w:rPr>
        <w:t xml:space="preserve">For case 2-3, D2R will transmit at DL spectrum, which will cause interference from device to legacy UE and NR DL to reader. Such two links have been analyzed in D1T1 scenario. </w:t>
      </w:r>
    </w:p>
    <w:p>
      <w:pPr>
        <w:widowControl w:val="0"/>
        <w:numPr>
          <w:ilvl w:val="0"/>
          <w:numId w:val="6"/>
        </w:numPr>
        <w:spacing w:after="180"/>
        <w:ind w:left="516" w:leftChars="0" w:hanging="360" w:firstLineChars="0"/>
        <w:jc w:val="left"/>
        <w:rPr>
          <w:rFonts w:hint="default" w:ascii="Times New Roman" w:hAnsi="Times New Roman" w:cs="Times New Roman"/>
          <w:sz w:val="20"/>
          <w:szCs w:val="21"/>
          <w:lang w:val="en-US" w:eastAsia="zh-CN"/>
        </w:rPr>
      </w:pPr>
      <w:r>
        <w:rPr>
          <w:rFonts w:hint="default" w:ascii="Times New Roman" w:hAnsi="Times New Roman" w:cs="Times New Roman"/>
          <w:sz w:val="20"/>
          <w:szCs w:val="21"/>
          <w:lang w:val="en-US" w:eastAsia="zh-CN"/>
        </w:rPr>
        <w:t>For interference from device to legacy UE, this is much like D1T1 scenario. No need to further simulation, the same conclude from D1T1 could be reused.</w:t>
      </w:r>
    </w:p>
    <w:p>
      <w:pPr>
        <w:widowControl w:val="0"/>
        <w:numPr>
          <w:ilvl w:val="0"/>
          <w:numId w:val="6"/>
        </w:numPr>
        <w:spacing w:after="180"/>
        <w:ind w:left="516" w:leftChars="0" w:hanging="360" w:firstLineChars="0"/>
        <w:jc w:val="left"/>
        <w:rPr>
          <w:rFonts w:hint="default" w:ascii="Times New Roman" w:hAnsi="Times New Roman" w:cs="Times New Roman"/>
          <w:sz w:val="20"/>
          <w:szCs w:val="21"/>
          <w:lang w:val="en-US" w:eastAsia="zh-CN"/>
        </w:rPr>
      </w:pPr>
      <w:r>
        <w:rPr>
          <w:rFonts w:hint="default" w:ascii="Times New Roman" w:hAnsi="Times New Roman" w:cs="Times New Roman"/>
          <w:sz w:val="20"/>
          <w:szCs w:val="21"/>
          <w:lang w:val="en-US" w:eastAsia="zh-CN"/>
        </w:rPr>
        <w:t xml:space="preserve">For interference from NR DL to reader, the main difference from D1T1 is </w:t>
      </w:r>
      <w:r>
        <w:rPr>
          <w:rFonts w:hint="eastAsia" w:ascii="Times New Roman" w:hAnsi="Times New Roman" w:cs="Times New Roman"/>
          <w:sz w:val="20"/>
          <w:szCs w:val="21"/>
          <w:lang w:val="en-US" w:eastAsia="zh-CN"/>
        </w:rPr>
        <w:t>intermediate UE have</w:t>
      </w:r>
      <w:r>
        <w:rPr>
          <w:rFonts w:hint="default" w:ascii="Times New Roman" w:hAnsi="Times New Roman" w:cs="Times New Roman"/>
          <w:sz w:val="20"/>
          <w:szCs w:val="21"/>
          <w:lang w:val="en-US" w:eastAsia="zh-CN"/>
        </w:rPr>
        <w:t xml:space="preserve"> no directional antenna pattern in vertical domain. The interference from NR DL to UE reader would be larger than to gNB reader since gNB reader antenna gain is less than 0 dB due to height difference between outdoor gNB and indoor reader. But as stated, RAN4 workload is much high, it’s not suggested to increase simulation cases. If other companies think it is necessary, we can only add the interference from NR DL to reader for case 2-3.</w:t>
      </w:r>
      <w:r>
        <w:rPr>
          <w:rFonts w:hint="eastAsia" w:ascii="Times New Roman" w:hAnsi="Times New Roman" w:cs="Times New Roman"/>
          <w:sz w:val="20"/>
          <w:szCs w:val="21"/>
          <w:lang w:val="en-US" w:eastAsia="zh-CN"/>
        </w:rPr>
        <w:t xml:space="preserve"> but according to calibration results, there is no interference for this link.</w:t>
      </w:r>
    </w:p>
    <w:p>
      <w:pPr>
        <w:widowControl w:val="0"/>
        <w:numPr>
          <w:ilvl w:val="0"/>
          <w:numId w:val="0"/>
        </w:numPr>
        <w:spacing w:after="180"/>
        <w:jc w:val="left"/>
        <w:rPr>
          <w:rFonts w:hint="default" w:ascii="Times New Roman" w:hAnsi="Times New Roman" w:cs="Times New Roman"/>
          <w:b w:val="0"/>
          <w:bCs w:val="0"/>
          <w:sz w:val="20"/>
          <w:szCs w:val="21"/>
          <w:lang w:val="en-US" w:eastAsia="zh-CN"/>
        </w:rPr>
      </w:pPr>
      <w:r>
        <w:rPr>
          <w:rFonts w:hint="eastAsia" w:ascii="Times New Roman" w:hAnsi="Times New Roman" w:cs="Times New Roman"/>
          <w:b w:val="0"/>
          <w:bCs w:val="0"/>
          <w:sz w:val="20"/>
          <w:szCs w:val="21"/>
          <w:lang w:val="en-US" w:eastAsia="zh-CN"/>
        </w:rPr>
        <w:t>I</w:t>
      </w:r>
      <w:r>
        <w:rPr>
          <w:rFonts w:hint="default" w:ascii="Times New Roman" w:hAnsi="Times New Roman" w:cs="Times New Roman"/>
          <w:b w:val="0"/>
          <w:bCs w:val="0"/>
          <w:sz w:val="20"/>
          <w:szCs w:val="21"/>
          <w:lang w:val="en-US" w:eastAsia="zh-CN"/>
        </w:rPr>
        <w:t>f companies have very strong view of case 2-3, we can only focus on interference link from NR DL to reader</w:t>
      </w:r>
      <w:r>
        <w:rPr>
          <w:rFonts w:hint="eastAsia" w:ascii="Times New Roman" w:hAnsi="Times New Roman" w:cs="Times New Roman"/>
          <w:b w:val="0"/>
          <w:bCs w:val="0"/>
          <w:sz w:val="20"/>
          <w:szCs w:val="21"/>
          <w:lang w:val="en-US" w:eastAsia="zh-CN"/>
        </w:rPr>
        <w:t xml:space="preserve"> which may have no interference based on analysis of calibration results</w:t>
      </w:r>
      <w:r>
        <w:rPr>
          <w:rFonts w:hint="default" w:ascii="Times New Roman" w:hAnsi="Times New Roman" w:cs="Times New Roman"/>
          <w:b w:val="0"/>
          <w:bCs w:val="0"/>
          <w:sz w:val="20"/>
          <w:szCs w:val="21"/>
          <w:lang w:val="en-US" w:eastAsia="zh-CN"/>
        </w:rPr>
        <w:t>. The conclusion from D1T1 of device interfering legacy UE could be reused for D2T2.</w:t>
      </w:r>
    </w:p>
    <w:p>
      <w:pPr>
        <w:widowControl w:val="0"/>
        <w:numPr>
          <w:ilvl w:val="0"/>
          <w:numId w:val="0"/>
        </w:numPr>
        <w:spacing w:after="180"/>
        <w:jc w:val="left"/>
        <w:rPr>
          <w:rFonts w:hint="default" w:ascii="Times New Roman" w:hAnsi="Times New Roman" w:cs="Times New Roman"/>
          <w:b/>
          <w:bCs/>
          <w:sz w:val="20"/>
          <w:szCs w:val="21"/>
          <w:lang w:val="en-US" w:eastAsia="zh-CN"/>
        </w:rPr>
      </w:pPr>
      <w:r>
        <w:rPr>
          <w:rFonts w:hint="eastAsia" w:ascii="Times New Roman" w:hAnsi="Times New Roman" w:cs="Times New Roman"/>
          <w:b/>
          <w:bCs/>
          <w:sz w:val="20"/>
          <w:szCs w:val="21"/>
          <w:lang w:val="en-US" w:eastAsia="zh-CN"/>
        </w:rPr>
        <w:t>Proposal 5: it</w:t>
      </w:r>
      <w:r>
        <w:rPr>
          <w:rFonts w:hint="default" w:ascii="Times New Roman" w:hAnsi="Times New Roman" w:cs="Times New Roman"/>
          <w:b/>
          <w:bCs/>
          <w:sz w:val="20"/>
          <w:szCs w:val="21"/>
          <w:lang w:val="en-US" w:eastAsia="zh-CN"/>
        </w:rPr>
        <w:t>’</w:t>
      </w:r>
      <w:r>
        <w:rPr>
          <w:rFonts w:hint="eastAsia" w:ascii="Times New Roman" w:hAnsi="Times New Roman" w:cs="Times New Roman"/>
          <w:b/>
          <w:bCs/>
          <w:sz w:val="20"/>
          <w:szCs w:val="21"/>
          <w:lang w:val="en-US" w:eastAsia="zh-CN"/>
        </w:rPr>
        <w:t>s suggested to focus on case 2-2 as high priority.</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co-existence interference scenario and key evaluation parameters are discussed with following observations and proposals.</w:t>
      </w:r>
    </w:p>
    <w:p>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FDD UL spectrum for R2D in D1T1 as low priority.</w:t>
      </w:r>
    </w:p>
    <w:p>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1: compared with D1T1-A2, D1T1-B is the worst case if we calculate self-interference into baseline SINR and using SINR degradation as performance metric. But if self-interference is not calculated into baseline SINR, D1T1-A2 is the worst case.</w:t>
      </w:r>
    </w:p>
    <w:p>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2: D1T1-A2 without considering CW interference is the worst case compared with D1T1-B. there is no need to consider D1T1-B.</w:t>
      </w:r>
    </w:p>
    <w:p>
      <w:pPr>
        <w:widowControl w:val="0"/>
        <w:numPr>
          <w:ilvl w:val="0"/>
          <w:numId w:val="0"/>
        </w:num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D1T1-A2 without considering CW interference is the worst case compared with D1T1-A1. there is no need to consider D1T1-A1.</w:t>
      </w:r>
    </w:p>
    <w:p>
      <w:pPr>
        <w:widowControl w:val="0"/>
        <w:numPr>
          <w:ilvl w:val="0"/>
          <w:numId w:val="0"/>
        </w:numPr>
        <w:spacing w:after="180"/>
        <w:jc w:val="left"/>
        <w:rPr>
          <w:rFonts w:hint="default" w:ascii="Times New Roman" w:hAnsi="Times New Roman" w:cs="Times New Roman"/>
          <w:b/>
          <w:bCs/>
          <w:sz w:val="20"/>
          <w:szCs w:val="21"/>
          <w:lang w:val="en-US" w:eastAsia="zh-CN"/>
        </w:rPr>
      </w:pPr>
      <w:r>
        <w:rPr>
          <w:rFonts w:hint="default" w:ascii="Times New Roman" w:hAnsi="Times New Roman" w:cs="Times New Roman"/>
          <w:b/>
          <w:bCs/>
          <w:sz w:val="20"/>
          <w:szCs w:val="21"/>
          <w:lang w:val="en-US" w:eastAsia="zh-CN"/>
        </w:rPr>
        <w:t xml:space="preserve">Proposal </w:t>
      </w:r>
      <w:r>
        <w:rPr>
          <w:rFonts w:hint="eastAsia" w:ascii="Times New Roman" w:hAnsi="Times New Roman" w:cs="Times New Roman"/>
          <w:b/>
          <w:bCs/>
          <w:sz w:val="20"/>
          <w:szCs w:val="21"/>
          <w:lang w:val="en-US" w:eastAsia="zh-CN"/>
        </w:rPr>
        <w:t>4</w:t>
      </w:r>
      <w:r>
        <w:rPr>
          <w:rFonts w:hint="default" w:ascii="Times New Roman" w:hAnsi="Times New Roman" w:cs="Times New Roman"/>
          <w:b/>
          <w:bCs/>
          <w:sz w:val="20"/>
          <w:szCs w:val="21"/>
          <w:lang w:val="en-US" w:eastAsia="zh-CN"/>
        </w:rPr>
        <w:t>: case 2-2 is the worst case if we assume no CW interference as used in calibration. So no need for case 2-4.</w:t>
      </w:r>
    </w:p>
    <w:p>
      <w:pPr>
        <w:widowControl w:val="0"/>
        <w:numPr>
          <w:ilvl w:val="0"/>
          <w:numId w:val="0"/>
        </w:numPr>
        <w:spacing w:after="180"/>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1"/>
          <w:lang w:val="en-US" w:eastAsia="zh-CN"/>
        </w:rPr>
        <w:t>Proposal 5: it</w:t>
      </w:r>
      <w:r>
        <w:rPr>
          <w:rFonts w:hint="default" w:ascii="Times New Roman" w:hAnsi="Times New Roman" w:cs="Times New Roman"/>
          <w:b/>
          <w:bCs/>
          <w:sz w:val="20"/>
          <w:szCs w:val="21"/>
          <w:lang w:val="en-US" w:eastAsia="zh-CN"/>
        </w:rPr>
        <w:t>’</w:t>
      </w:r>
      <w:r>
        <w:rPr>
          <w:rFonts w:hint="eastAsia" w:ascii="Times New Roman" w:hAnsi="Times New Roman" w:cs="Times New Roman"/>
          <w:b/>
          <w:bCs/>
          <w:sz w:val="20"/>
          <w:szCs w:val="21"/>
          <w:lang w:val="en-US" w:eastAsia="zh-CN"/>
        </w:rPr>
        <w:t>s suggested to focus on case 2-2 as high priority.</w:t>
      </w:r>
      <w:r>
        <w:rPr>
          <w:rFonts w:hint="eastAsia" w:ascii="Times New Roman" w:hAnsi="Times New Roman"/>
          <w:b w:val="0"/>
          <w:bCs w:val="0"/>
          <w:sz w:val="20"/>
          <w:szCs w:val="20"/>
          <w:lang w:val="en-US" w:eastAsia="zh-CN"/>
        </w:rPr>
        <w:t xml:space="preserve"> </w:t>
      </w:r>
    </w:p>
    <w:p>
      <w:pPr>
        <w:keepNext/>
        <w:keepLines/>
        <w:widowControl/>
        <w:pBdr>
          <w:top w:val="single" w:color="auto" w:sz="12" w:space="1"/>
        </w:pBdr>
        <w:tabs>
          <w:tab w:val="left" w:pos="567"/>
        </w:tabs>
        <w:adjustRightInd w:val="0"/>
        <w:spacing w:before="240" w:after="180"/>
        <w:ind w:left="510" w:hanging="510"/>
        <w:outlineLvl w:val="0"/>
        <w:rPr>
          <w:rFonts w:hint="default" w:ascii="Times New Roman" w:hAnsi="Times New Roman" w:eastAsia="宋体"/>
          <w:sz w:val="20"/>
          <w:szCs w:val="20"/>
          <w:lang w:val="en-US" w:eastAsia="zh-CN"/>
        </w:rPr>
      </w:pPr>
      <w:r>
        <w:rPr>
          <w:rFonts w:ascii="Arial" w:hAnsi="Arial" w:eastAsiaTheme="minorEastAsia" w:cstheme="minorBidi"/>
          <w:sz w:val="32"/>
          <w:szCs w:val="36"/>
        </w:rPr>
        <w:t>4. Reference</w:t>
      </w:r>
    </w:p>
    <w:p>
      <w:pPr>
        <w:numPr>
          <w:ilvl w:val="0"/>
          <w:numId w:val="7"/>
        </w:numPr>
        <w:tabs>
          <w:tab w:val="right" w:pos="10440"/>
          <w:tab w:val="right" w:pos="13323"/>
        </w:tabs>
        <w:spacing w:after="0"/>
        <w:jc w:val="left"/>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R4-2406714</w:t>
      </w:r>
      <w:r>
        <w:rPr>
          <w:rFonts w:hint="eastAsia" w:ascii="Times New Roman" w:hAnsi="Times New Roman"/>
          <w:sz w:val="20"/>
          <w:szCs w:val="20"/>
          <w:lang w:val="en-US" w:eastAsia="zh-CN"/>
        </w:rPr>
        <w:t>, WF on Ambient IoT in NR, CMCC</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FBB291"/>
    <w:multiLevelType w:val="multilevel"/>
    <w:tmpl w:val="A0FBB291"/>
    <w:lvl w:ilvl="0" w:tentative="0">
      <w:start w:val="1"/>
      <w:numFmt w:val="bullet"/>
      <w:lvlText w:val=""/>
      <w:lvlJc w:val="left"/>
      <w:pPr>
        <w:tabs>
          <w:tab w:val="left" w:pos="-420"/>
        </w:tabs>
        <w:ind w:left="516" w:hanging="360"/>
      </w:pPr>
      <w:rPr>
        <w:rFonts w:hint="default" w:ascii="Symbol" w:hAnsi="Symbol"/>
        <w:lang w:val="en-GB"/>
      </w:rPr>
    </w:lvl>
    <w:lvl w:ilvl="1" w:tentative="0">
      <w:start w:val="1"/>
      <w:numFmt w:val="bullet"/>
      <w:lvlText w:val="o"/>
      <w:lvlJc w:val="left"/>
      <w:pPr>
        <w:tabs>
          <w:tab w:val="left" w:pos="-420"/>
        </w:tabs>
        <w:ind w:left="1236" w:hanging="360"/>
      </w:pPr>
      <w:rPr>
        <w:rFonts w:hint="default" w:ascii="Courier New" w:hAnsi="Courier New" w:cs="CG Times (WN)"/>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G Times (WN)"/>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G Times (WN)"/>
      </w:rPr>
    </w:lvl>
    <w:lvl w:ilvl="8" w:tentative="0">
      <w:start w:val="1"/>
      <w:numFmt w:val="bullet"/>
      <w:lvlText w:val=""/>
      <w:lvlJc w:val="left"/>
      <w:pPr>
        <w:tabs>
          <w:tab w:val="left" w:pos="-420"/>
        </w:tabs>
        <w:ind w:left="6276" w:hanging="360"/>
      </w:pPr>
      <w:rPr>
        <w:rFonts w:hint="default" w:ascii="Wingdings" w:hAnsi="Wingdings"/>
      </w:rPr>
    </w:lvl>
  </w:abstractNum>
  <w:abstractNum w:abstractNumId="1">
    <w:nsid w:val="CD0769AB"/>
    <w:multiLevelType w:val="multilevel"/>
    <w:tmpl w:val="CD0769A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E36BDDE0"/>
    <w:multiLevelType w:val="multilevel"/>
    <w:tmpl w:val="E36BDDE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0F513A1C"/>
    <w:multiLevelType w:val="multilevel"/>
    <w:tmpl w:val="0F513A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51B67B3"/>
    <w:multiLevelType w:val="multilevel"/>
    <w:tmpl w:val="151B67B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085269C"/>
    <w:multiLevelType w:val="singleLevel"/>
    <w:tmpl w:val="6085269C"/>
    <w:lvl w:ilvl="0" w:tentative="0">
      <w:start w:val="1"/>
      <w:numFmt w:val="bullet"/>
      <w:lvlText w:val=""/>
      <w:lvlJc w:val="left"/>
      <w:pPr>
        <w:ind w:left="420" w:hanging="420"/>
      </w:pPr>
      <w:rPr>
        <w:rFonts w:hint="default" w:ascii="Wingdings" w:hAnsi="Wingdings"/>
      </w:rPr>
    </w:lvl>
  </w:abstractNum>
  <w:num w:numId="1">
    <w:abstractNumId w:val="3"/>
  </w:num>
  <w:num w:numId="2">
    <w:abstractNumId w:val="4"/>
  </w:num>
  <w:num w:numId="3">
    <w:abstractNumId w:val="5"/>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653"/>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5D3A75"/>
    <w:rsid w:val="017932F1"/>
    <w:rsid w:val="018A0E13"/>
    <w:rsid w:val="01BD0368"/>
    <w:rsid w:val="01C57A0B"/>
    <w:rsid w:val="01DE089D"/>
    <w:rsid w:val="01FD6584"/>
    <w:rsid w:val="020970CA"/>
    <w:rsid w:val="0226460D"/>
    <w:rsid w:val="023B43AB"/>
    <w:rsid w:val="027F6091"/>
    <w:rsid w:val="028E1852"/>
    <w:rsid w:val="02C81B1F"/>
    <w:rsid w:val="03391357"/>
    <w:rsid w:val="035967B1"/>
    <w:rsid w:val="03597E40"/>
    <w:rsid w:val="035D4591"/>
    <w:rsid w:val="03631D1E"/>
    <w:rsid w:val="037E5DCB"/>
    <w:rsid w:val="03DB4E5F"/>
    <w:rsid w:val="03E26584"/>
    <w:rsid w:val="0428558C"/>
    <w:rsid w:val="04492C16"/>
    <w:rsid w:val="045647A9"/>
    <w:rsid w:val="045E5439"/>
    <w:rsid w:val="04680BC2"/>
    <w:rsid w:val="046A6CCD"/>
    <w:rsid w:val="047B4D00"/>
    <w:rsid w:val="04A732AF"/>
    <w:rsid w:val="04B527F1"/>
    <w:rsid w:val="05026E46"/>
    <w:rsid w:val="053C405B"/>
    <w:rsid w:val="056F5AD7"/>
    <w:rsid w:val="058916A3"/>
    <w:rsid w:val="059E10D1"/>
    <w:rsid w:val="05A012C8"/>
    <w:rsid w:val="05BF54F8"/>
    <w:rsid w:val="05E277B3"/>
    <w:rsid w:val="05FF6A11"/>
    <w:rsid w:val="060557D7"/>
    <w:rsid w:val="06305334"/>
    <w:rsid w:val="06434355"/>
    <w:rsid w:val="068C7C4C"/>
    <w:rsid w:val="06963DDF"/>
    <w:rsid w:val="06CC0A35"/>
    <w:rsid w:val="07031681"/>
    <w:rsid w:val="070A3CB8"/>
    <w:rsid w:val="07530E8A"/>
    <w:rsid w:val="0769686A"/>
    <w:rsid w:val="076E27BD"/>
    <w:rsid w:val="076E63D7"/>
    <w:rsid w:val="0770402F"/>
    <w:rsid w:val="078E5270"/>
    <w:rsid w:val="07913C76"/>
    <w:rsid w:val="07B42F31"/>
    <w:rsid w:val="07CA6B66"/>
    <w:rsid w:val="07F15671"/>
    <w:rsid w:val="08115849"/>
    <w:rsid w:val="08200491"/>
    <w:rsid w:val="08425E71"/>
    <w:rsid w:val="085D3E3F"/>
    <w:rsid w:val="087912F3"/>
    <w:rsid w:val="088C4ECC"/>
    <w:rsid w:val="08973524"/>
    <w:rsid w:val="08A26EE3"/>
    <w:rsid w:val="08A65D3D"/>
    <w:rsid w:val="0900762B"/>
    <w:rsid w:val="09264BC9"/>
    <w:rsid w:val="092D4D1C"/>
    <w:rsid w:val="0958491E"/>
    <w:rsid w:val="09604272"/>
    <w:rsid w:val="09626007"/>
    <w:rsid w:val="09670379"/>
    <w:rsid w:val="096D7D04"/>
    <w:rsid w:val="096E27BC"/>
    <w:rsid w:val="097168DB"/>
    <w:rsid w:val="097C4A9B"/>
    <w:rsid w:val="09993AB5"/>
    <w:rsid w:val="09B86E7F"/>
    <w:rsid w:val="09BD0D88"/>
    <w:rsid w:val="09DD383B"/>
    <w:rsid w:val="09E85450"/>
    <w:rsid w:val="09F66D51"/>
    <w:rsid w:val="0A0219DF"/>
    <w:rsid w:val="0A894FD9"/>
    <w:rsid w:val="0A9458FA"/>
    <w:rsid w:val="0AA20101"/>
    <w:rsid w:val="0ABA1F25"/>
    <w:rsid w:val="0AC8756E"/>
    <w:rsid w:val="0ADD2F10"/>
    <w:rsid w:val="0AE113D2"/>
    <w:rsid w:val="0AF67B8B"/>
    <w:rsid w:val="0B0758A7"/>
    <w:rsid w:val="0B1B4548"/>
    <w:rsid w:val="0B3166EB"/>
    <w:rsid w:val="0B9A4B54"/>
    <w:rsid w:val="0BA15049"/>
    <w:rsid w:val="0BBF5056"/>
    <w:rsid w:val="0BE65845"/>
    <w:rsid w:val="0BE92617"/>
    <w:rsid w:val="0BEA0098"/>
    <w:rsid w:val="0BF0521B"/>
    <w:rsid w:val="0BF7455D"/>
    <w:rsid w:val="0BFE4B3A"/>
    <w:rsid w:val="0C296C83"/>
    <w:rsid w:val="0C2F5309"/>
    <w:rsid w:val="0C5C1421"/>
    <w:rsid w:val="0C8D3125"/>
    <w:rsid w:val="0D545798"/>
    <w:rsid w:val="0D624402"/>
    <w:rsid w:val="0D696CE5"/>
    <w:rsid w:val="0D747B9F"/>
    <w:rsid w:val="0D8F41B3"/>
    <w:rsid w:val="0DAB5AFB"/>
    <w:rsid w:val="0DD237BC"/>
    <w:rsid w:val="0DED1DE7"/>
    <w:rsid w:val="0E037D57"/>
    <w:rsid w:val="0E1D4B35"/>
    <w:rsid w:val="0E241F41"/>
    <w:rsid w:val="0E413A70"/>
    <w:rsid w:val="0E5F68A3"/>
    <w:rsid w:val="0E7813A9"/>
    <w:rsid w:val="0EBC441C"/>
    <w:rsid w:val="0EBD33B9"/>
    <w:rsid w:val="0EBE690E"/>
    <w:rsid w:val="0F1A117A"/>
    <w:rsid w:val="0F1C3F4D"/>
    <w:rsid w:val="0F356D7A"/>
    <w:rsid w:val="0F5116AE"/>
    <w:rsid w:val="0F596ABB"/>
    <w:rsid w:val="0F5F09C4"/>
    <w:rsid w:val="0F5F4247"/>
    <w:rsid w:val="0F6273CA"/>
    <w:rsid w:val="0F7D4B34"/>
    <w:rsid w:val="0F7E2FAD"/>
    <w:rsid w:val="0FC419ED"/>
    <w:rsid w:val="0FC57800"/>
    <w:rsid w:val="0FD9288C"/>
    <w:rsid w:val="0FEE6FAE"/>
    <w:rsid w:val="0FF20B73"/>
    <w:rsid w:val="10003991"/>
    <w:rsid w:val="100565B7"/>
    <w:rsid w:val="101F3001"/>
    <w:rsid w:val="10254F0A"/>
    <w:rsid w:val="10406DB9"/>
    <w:rsid w:val="105C207C"/>
    <w:rsid w:val="107336D9"/>
    <w:rsid w:val="107A5C99"/>
    <w:rsid w:val="107B7E97"/>
    <w:rsid w:val="108E4939"/>
    <w:rsid w:val="10994EC9"/>
    <w:rsid w:val="109C57D8"/>
    <w:rsid w:val="10D33DA9"/>
    <w:rsid w:val="10D64689"/>
    <w:rsid w:val="10E05471"/>
    <w:rsid w:val="10ED29B0"/>
    <w:rsid w:val="10EF7E56"/>
    <w:rsid w:val="10FB74EC"/>
    <w:rsid w:val="11321BC4"/>
    <w:rsid w:val="113A6FD0"/>
    <w:rsid w:val="11462FAC"/>
    <w:rsid w:val="11475BCD"/>
    <w:rsid w:val="1155307D"/>
    <w:rsid w:val="1160140E"/>
    <w:rsid w:val="11797DBA"/>
    <w:rsid w:val="117C38F8"/>
    <w:rsid w:val="117D6EEE"/>
    <w:rsid w:val="117F47ED"/>
    <w:rsid w:val="11B40E99"/>
    <w:rsid w:val="11B5219D"/>
    <w:rsid w:val="11DF67EB"/>
    <w:rsid w:val="12106FE1"/>
    <w:rsid w:val="12213A4B"/>
    <w:rsid w:val="122946DB"/>
    <w:rsid w:val="12750F57"/>
    <w:rsid w:val="12897C74"/>
    <w:rsid w:val="129C3395"/>
    <w:rsid w:val="12E83AF4"/>
    <w:rsid w:val="12F627A9"/>
    <w:rsid w:val="131A26ED"/>
    <w:rsid w:val="13771DFE"/>
    <w:rsid w:val="138F4439"/>
    <w:rsid w:val="13F25EC4"/>
    <w:rsid w:val="14245767"/>
    <w:rsid w:val="144A7BD8"/>
    <w:rsid w:val="144A7C4E"/>
    <w:rsid w:val="145C23B3"/>
    <w:rsid w:val="149A0C5C"/>
    <w:rsid w:val="149E7662"/>
    <w:rsid w:val="15067F8B"/>
    <w:rsid w:val="1508348E"/>
    <w:rsid w:val="1518063B"/>
    <w:rsid w:val="15350710"/>
    <w:rsid w:val="155F416A"/>
    <w:rsid w:val="156354FD"/>
    <w:rsid w:val="156C0FB4"/>
    <w:rsid w:val="157A51BC"/>
    <w:rsid w:val="159557BE"/>
    <w:rsid w:val="15A85596"/>
    <w:rsid w:val="15CD7D54"/>
    <w:rsid w:val="15D00CD9"/>
    <w:rsid w:val="15E450B5"/>
    <w:rsid w:val="16321C77"/>
    <w:rsid w:val="16371982"/>
    <w:rsid w:val="163D388B"/>
    <w:rsid w:val="16456719"/>
    <w:rsid w:val="16613562"/>
    <w:rsid w:val="1683077C"/>
    <w:rsid w:val="168B5B89"/>
    <w:rsid w:val="16C005E1"/>
    <w:rsid w:val="16E06917"/>
    <w:rsid w:val="16FD2BCB"/>
    <w:rsid w:val="175862BF"/>
    <w:rsid w:val="178A7CAA"/>
    <w:rsid w:val="179D67CA"/>
    <w:rsid w:val="17B730F8"/>
    <w:rsid w:val="17C65910"/>
    <w:rsid w:val="17C80E13"/>
    <w:rsid w:val="17E44EC0"/>
    <w:rsid w:val="17F263D4"/>
    <w:rsid w:val="17F52BDC"/>
    <w:rsid w:val="180D2D20"/>
    <w:rsid w:val="182249A5"/>
    <w:rsid w:val="182269B6"/>
    <w:rsid w:val="183A0ACF"/>
    <w:rsid w:val="18642373"/>
    <w:rsid w:val="18686AE0"/>
    <w:rsid w:val="187831B6"/>
    <w:rsid w:val="18834ED9"/>
    <w:rsid w:val="18A656AF"/>
    <w:rsid w:val="18CE28C0"/>
    <w:rsid w:val="18E26C79"/>
    <w:rsid w:val="18E55D68"/>
    <w:rsid w:val="18FE0AB6"/>
    <w:rsid w:val="1911682C"/>
    <w:rsid w:val="19813C3F"/>
    <w:rsid w:val="19A17418"/>
    <w:rsid w:val="19B263B5"/>
    <w:rsid w:val="19B93092"/>
    <w:rsid w:val="19DF2D99"/>
    <w:rsid w:val="19EA686E"/>
    <w:rsid w:val="1A0A00C9"/>
    <w:rsid w:val="1A7C1301"/>
    <w:rsid w:val="1A7D000B"/>
    <w:rsid w:val="1A8670A6"/>
    <w:rsid w:val="1A97657B"/>
    <w:rsid w:val="1A9E2B3B"/>
    <w:rsid w:val="1AAE167A"/>
    <w:rsid w:val="1AB02A55"/>
    <w:rsid w:val="1AF91F50"/>
    <w:rsid w:val="1AFD11C6"/>
    <w:rsid w:val="1AFE05D6"/>
    <w:rsid w:val="1B00542F"/>
    <w:rsid w:val="1B0D536D"/>
    <w:rsid w:val="1B2F42F1"/>
    <w:rsid w:val="1B301DA5"/>
    <w:rsid w:val="1B3F3E40"/>
    <w:rsid w:val="1B7C00B3"/>
    <w:rsid w:val="1B7C0EA4"/>
    <w:rsid w:val="1B81532C"/>
    <w:rsid w:val="1BB42683"/>
    <w:rsid w:val="1BF509C2"/>
    <w:rsid w:val="1BF95FEE"/>
    <w:rsid w:val="1C0D0793"/>
    <w:rsid w:val="1C1B332C"/>
    <w:rsid w:val="1C2A6C2E"/>
    <w:rsid w:val="1C363B56"/>
    <w:rsid w:val="1C527C03"/>
    <w:rsid w:val="1C700838"/>
    <w:rsid w:val="1CAB3B14"/>
    <w:rsid w:val="1CE56278"/>
    <w:rsid w:val="1CFC261A"/>
    <w:rsid w:val="1CFF6E5D"/>
    <w:rsid w:val="1D0432AA"/>
    <w:rsid w:val="1D0A4412"/>
    <w:rsid w:val="1D0B38F8"/>
    <w:rsid w:val="1D0E163B"/>
    <w:rsid w:val="1D181F4A"/>
    <w:rsid w:val="1D1D5776"/>
    <w:rsid w:val="1D2753AE"/>
    <w:rsid w:val="1D3E218A"/>
    <w:rsid w:val="1D41310E"/>
    <w:rsid w:val="1D6D7456"/>
    <w:rsid w:val="1D7879E5"/>
    <w:rsid w:val="1D867707"/>
    <w:rsid w:val="1DBC71D5"/>
    <w:rsid w:val="1DE75A9B"/>
    <w:rsid w:val="1E295925"/>
    <w:rsid w:val="1E3D0B9B"/>
    <w:rsid w:val="1E467139"/>
    <w:rsid w:val="1E535731"/>
    <w:rsid w:val="1E81151C"/>
    <w:rsid w:val="1E884DB6"/>
    <w:rsid w:val="1EBF357F"/>
    <w:rsid w:val="1EDC50AE"/>
    <w:rsid w:val="1EFE1319"/>
    <w:rsid w:val="1F0C367F"/>
    <w:rsid w:val="1F0D1045"/>
    <w:rsid w:val="1F1F489E"/>
    <w:rsid w:val="1F2F076D"/>
    <w:rsid w:val="1F5B6C81"/>
    <w:rsid w:val="1F62701D"/>
    <w:rsid w:val="1F7B1734"/>
    <w:rsid w:val="1FEF5AA0"/>
    <w:rsid w:val="1FFB17BC"/>
    <w:rsid w:val="200C3221"/>
    <w:rsid w:val="201828B7"/>
    <w:rsid w:val="203D39F0"/>
    <w:rsid w:val="20471021"/>
    <w:rsid w:val="20672636"/>
    <w:rsid w:val="20731CCC"/>
    <w:rsid w:val="20817033"/>
    <w:rsid w:val="208F37FB"/>
    <w:rsid w:val="20990887"/>
    <w:rsid w:val="20B523B5"/>
    <w:rsid w:val="20C51A80"/>
    <w:rsid w:val="20E833A7"/>
    <w:rsid w:val="20EA2C10"/>
    <w:rsid w:val="21182A73"/>
    <w:rsid w:val="2139298F"/>
    <w:rsid w:val="21533539"/>
    <w:rsid w:val="216C01F4"/>
    <w:rsid w:val="219168A1"/>
    <w:rsid w:val="21A62B38"/>
    <w:rsid w:val="21B038D2"/>
    <w:rsid w:val="21D70408"/>
    <w:rsid w:val="2216237D"/>
    <w:rsid w:val="221E7789"/>
    <w:rsid w:val="223076A3"/>
    <w:rsid w:val="228B3B2E"/>
    <w:rsid w:val="22B30639"/>
    <w:rsid w:val="22E84C54"/>
    <w:rsid w:val="22ED23E8"/>
    <w:rsid w:val="235E2230"/>
    <w:rsid w:val="2370600B"/>
    <w:rsid w:val="237B1C44"/>
    <w:rsid w:val="23880F5A"/>
    <w:rsid w:val="23CA7445"/>
    <w:rsid w:val="240671CC"/>
    <w:rsid w:val="241B0EB4"/>
    <w:rsid w:val="24513BF6"/>
    <w:rsid w:val="24683E4B"/>
    <w:rsid w:val="246C2851"/>
    <w:rsid w:val="24775DB4"/>
    <w:rsid w:val="24841763"/>
    <w:rsid w:val="2488042D"/>
    <w:rsid w:val="24896A55"/>
    <w:rsid w:val="248A4000"/>
    <w:rsid w:val="248B7B2F"/>
    <w:rsid w:val="24C36C6D"/>
    <w:rsid w:val="24CD15F1"/>
    <w:rsid w:val="24D50BFC"/>
    <w:rsid w:val="25156162"/>
    <w:rsid w:val="254734B9"/>
    <w:rsid w:val="254E0ABD"/>
    <w:rsid w:val="25641764"/>
    <w:rsid w:val="256A366E"/>
    <w:rsid w:val="257C268E"/>
    <w:rsid w:val="258A21E5"/>
    <w:rsid w:val="25A10883"/>
    <w:rsid w:val="25D729E7"/>
    <w:rsid w:val="260E417C"/>
    <w:rsid w:val="260F5480"/>
    <w:rsid w:val="26382DB8"/>
    <w:rsid w:val="264017D0"/>
    <w:rsid w:val="265C4D5F"/>
    <w:rsid w:val="26644B8A"/>
    <w:rsid w:val="2683355D"/>
    <w:rsid w:val="268A1547"/>
    <w:rsid w:val="268B3CAF"/>
    <w:rsid w:val="269243D5"/>
    <w:rsid w:val="26A3466F"/>
    <w:rsid w:val="26A73075"/>
    <w:rsid w:val="26B2270B"/>
    <w:rsid w:val="26D43F45"/>
    <w:rsid w:val="26F853FE"/>
    <w:rsid w:val="270B1F80"/>
    <w:rsid w:val="274B1605"/>
    <w:rsid w:val="27706A48"/>
    <w:rsid w:val="277D7855"/>
    <w:rsid w:val="27816C71"/>
    <w:rsid w:val="278B3C06"/>
    <w:rsid w:val="27990C94"/>
    <w:rsid w:val="27C55A4B"/>
    <w:rsid w:val="27C61EE6"/>
    <w:rsid w:val="27E33F9B"/>
    <w:rsid w:val="27F06609"/>
    <w:rsid w:val="27F23097"/>
    <w:rsid w:val="2805016B"/>
    <w:rsid w:val="281F2C62"/>
    <w:rsid w:val="285C4CC5"/>
    <w:rsid w:val="286036CB"/>
    <w:rsid w:val="28A2792A"/>
    <w:rsid w:val="28AA4C8A"/>
    <w:rsid w:val="28DF529E"/>
    <w:rsid w:val="294A494E"/>
    <w:rsid w:val="295419DA"/>
    <w:rsid w:val="29560760"/>
    <w:rsid w:val="2960326E"/>
    <w:rsid w:val="2975343F"/>
    <w:rsid w:val="297731BB"/>
    <w:rsid w:val="29922597"/>
    <w:rsid w:val="29B84F82"/>
    <w:rsid w:val="29C71D19"/>
    <w:rsid w:val="29FE3300"/>
    <w:rsid w:val="2A032BEA"/>
    <w:rsid w:val="2A144016"/>
    <w:rsid w:val="2A24682F"/>
    <w:rsid w:val="2A270F8C"/>
    <w:rsid w:val="2A2C74BF"/>
    <w:rsid w:val="2A377A4E"/>
    <w:rsid w:val="2A53737E"/>
    <w:rsid w:val="2A573A81"/>
    <w:rsid w:val="2A704730"/>
    <w:rsid w:val="2A8A52DA"/>
    <w:rsid w:val="2AB61621"/>
    <w:rsid w:val="2AC70C94"/>
    <w:rsid w:val="2AE354DA"/>
    <w:rsid w:val="2B1E47FB"/>
    <w:rsid w:val="2B2A3B5F"/>
    <w:rsid w:val="2B6A6B46"/>
    <w:rsid w:val="2B7042D3"/>
    <w:rsid w:val="2B7A5997"/>
    <w:rsid w:val="2B833767"/>
    <w:rsid w:val="2C0547C6"/>
    <w:rsid w:val="2C380499"/>
    <w:rsid w:val="2C401128"/>
    <w:rsid w:val="2C8A2F49"/>
    <w:rsid w:val="2C9F3BCE"/>
    <w:rsid w:val="2CA12446"/>
    <w:rsid w:val="2CA64350"/>
    <w:rsid w:val="2CDB1327"/>
    <w:rsid w:val="2CF9108B"/>
    <w:rsid w:val="2D0B6272"/>
    <w:rsid w:val="2D1A688D"/>
    <w:rsid w:val="2D34475F"/>
    <w:rsid w:val="2D4D51B1"/>
    <w:rsid w:val="2D4D79AC"/>
    <w:rsid w:val="2D593F87"/>
    <w:rsid w:val="2DB7418D"/>
    <w:rsid w:val="2DD00879"/>
    <w:rsid w:val="2DD5373D"/>
    <w:rsid w:val="2DE5725A"/>
    <w:rsid w:val="2DF80479"/>
    <w:rsid w:val="2E0B52AE"/>
    <w:rsid w:val="2E0E041F"/>
    <w:rsid w:val="2E141396"/>
    <w:rsid w:val="2E2A44CC"/>
    <w:rsid w:val="2E747DC3"/>
    <w:rsid w:val="2E8F1C72"/>
    <w:rsid w:val="2E9C0F87"/>
    <w:rsid w:val="2EA61F97"/>
    <w:rsid w:val="2EB7077F"/>
    <w:rsid w:val="2EB8044F"/>
    <w:rsid w:val="2EC16B9C"/>
    <w:rsid w:val="2ED53072"/>
    <w:rsid w:val="2ED8336B"/>
    <w:rsid w:val="2EDF426C"/>
    <w:rsid w:val="2EEC200B"/>
    <w:rsid w:val="2EEC4E92"/>
    <w:rsid w:val="2F1A1856"/>
    <w:rsid w:val="2F1C0982"/>
    <w:rsid w:val="2F5B00C1"/>
    <w:rsid w:val="2F63302B"/>
    <w:rsid w:val="2F731EE4"/>
    <w:rsid w:val="2F747966"/>
    <w:rsid w:val="2FA801C0"/>
    <w:rsid w:val="2FCB6344"/>
    <w:rsid w:val="2FE04DD6"/>
    <w:rsid w:val="2FEC0BD0"/>
    <w:rsid w:val="2FEC1523"/>
    <w:rsid w:val="300140D2"/>
    <w:rsid w:val="300D5786"/>
    <w:rsid w:val="3011145B"/>
    <w:rsid w:val="30524DF2"/>
    <w:rsid w:val="306B7868"/>
    <w:rsid w:val="30781792"/>
    <w:rsid w:val="3099089E"/>
    <w:rsid w:val="30CB701E"/>
    <w:rsid w:val="30E346C5"/>
    <w:rsid w:val="31187F2F"/>
    <w:rsid w:val="313C4D53"/>
    <w:rsid w:val="31432160"/>
    <w:rsid w:val="31490DA5"/>
    <w:rsid w:val="31570E00"/>
    <w:rsid w:val="315F5D75"/>
    <w:rsid w:val="31A54783"/>
    <w:rsid w:val="31CA113F"/>
    <w:rsid w:val="31E91E87"/>
    <w:rsid w:val="320E10B5"/>
    <w:rsid w:val="3243059C"/>
    <w:rsid w:val="32697D44"/>
    <w:rsid w:val="326D0948"/>
    <w:rsid w:val="328A5CFA"/>
    <w:rsid w:val="32A93C0F"/>
    <w:rsid w:val="32C835E0"/>
    <w:rsid w:val="32D23EF0"/>
    <w:rsid w:val="32DF7982"/>
    <w:rsid w:val="331537CD"/>
    <w:rsid w:val="331E4E70"/>
    <w:rsid w:val="33285651"/>
    <w:rsid w:val="332F4289"/>
    <w:rsid w:val="33332C90"/>
    <w:rsid w:val="336E17F0"/>
    <w:rsid w:val="33814F8D"/>
    <w:rsid w:val="33C133A6"/>
    <w:rsid w:val="33CC276C"/>
    <w:rsid w:val="33D56C16"/>
    <w:rsid w:val="33E2230D"/>
    <w:rsid w:val="33FB26D9"/>
    <w:rsid w:val="3424001A"/>
    <w:rsid w:val="34291F23"/>
    <w:rsid w:val="34413D46"/>
    <w:rsid w:val="34432ACD"/>
    <w:rsid w:val="344A45A5"/>
    <w:rsid w:val="345C5BF5"/>
    <w:rsid w:val="34630E03"/>
    <w:rsid w:val="34692D0C"/>
    <w:rsid w:val="348103B3"/>
    <w:rsid w:val="34A76F6E"/>
    <w:rsid w:val="34F11BAA"/>
    <w:rsid w:val="35141114"/>
    <w:rsid w:val="356F47B8"/>
    <w:rsid w:val="357C3ACE"/>
    <w:rsid w:val="357D1550"/>
    <w:rsid w:val="35962F2D"/>
    <w:rsid w:val="359F2D89"/>
    <w:rsid w:val="35AB6D2D"/>
    <w:rsid w:val="35B629AE"/>
    <w:rsid w:val="35B71496"/>
    <w:rsid w:val="35B73EBF"/>
    <w:rsid w:val="35B8262E"/>
    <w:rsid w:val="35BA5B31"/>
    <w:rsid w:val="35CC12CF"/>
    <w:rsid w:val="35D319E6"/>
    <w:rsid w:val="35D72EE3"/>
    <w:rsid w:val="35E768F5"/>
    <w:rsid w:val="35F559C7"/>
    <w:rsid w:val="36075C31"/>
    <w:rsid w:val="362D458B"/>
    <w:rsid w:val="36354715"/>
    <w:rsid w:val="36414A73"/>
    <w:rsid w:val="364A0F5C"/>
    <w:rsid w:val="36510879"/>
    <w:rsid w:val="36C91572"/>
    <w:rsid w:val="36E16C19"/>
    <w:rsid w:val="37036DCD"/>
    <w:rsid w:val="372D5A13"/>
    <w:rsid w:val="372F46A7"/>
    <w:rsid w:val="37726C9D"/>
    <w:rsid w:val="379A1E22"/>
    <w:rsid w:val="37BD6848"/>
    <w:rsid w:val="37CC6816"/>
    <w:rsid w:val="37DE6907"/>
    <w:rsid w:val="37E810A7"/>
    <w:rsid w:val="380E1C87"/>
    <w:rsid w:val="38994363"/>
    <w:rsid w:val="38A9437C"/>
    <w:rsid w:val="38C2712E"/>
    <w:rsid w:val="38D16127"/>
    <w:rsid w:val="391842BA"/>
    <w:rsid w:val="392A45EC"/>
    <w:rsid w:val="39390072"/>
    <w:rsid w:val="393C0FF6"/>
    <w:rsid w:val="39515718"/>
    <w:rsid w:val="39592B25"/>
    <w:rsid w:val="39706EC7"/>
    <w:rsid w:val="39741150"/>
    <w:rsid w:val="39787B56"/>
    <w:rsid w:val="398E1CFA"/>
    <w:rsid w:val="39923F83"/>
    <w:rsid w:val="399A358E"/>
    <w:rsid w:val="39B62EBE"/>
    <w:rsid w:val="39ED3354"/>
    <w:rsid w:val="3A2A75FA"/>
    <w:rsid w:val="3A3F5379"/>
    <w:rsid w:val="3A436689"/>
    <w:rsid w:val="3A4614A9"/>
    <w:rsid w:val="3A675260"/>
    <w:rsid w:val="3A8646CD"/>
    <w:rsid w:val="3AAC45FF"/>
    <w:rsid w:val="3AB4755E"/>
    <w:rsid w:val="3AC37B79"/>
    <w:rsid w:val="3AE070A1"/>
    <w:rsid w:val="3AED3A1B"/>
    <w:rsid w:val="3AF86D4E"/>
    <w:rsid w:val="3B133644"/>
    <w:rsid w:val="3B1E2869"/>
    <w:rsid w:val="3B4413CB"/>
    <w:rsid w:val="3B617677"/>
    <w:rsid w:val="3B757B5E"/>
    <w:rsid w:val="3B883620"/>
    <w:rsid w:val="3B997439"/>
    <w:rsid w:val="3BA65BED"/>
    <w:rsid w:val="3BDB4DC2"/>
    <w:rsid w:val="3BF70E6F"/>
    <w:rsid w:val="3C090267"/>
    <w:rsid w:val="3C09240E"/>
    <w:rsid w:val="3C146221"/>
    <w:rsid w:val="3C1D10AF"/>
    <w:rsid w:val="3C317D4F"/>
    <w:rsid w:val="3C5C6615"/>
    <w:rsid w:val="3C6F7834"/>
    <w:rsid w:val="3C7360F1"/>
    <w:rsid w:val="3CAE432E"/>
    <w:rsid w:val="3CC365B8"/>
    <w:rsid w:val="3CD51844"/>
    <w:rsid w:val="3CE979FE"/>
    <w:rsid w:val="3D08452F"/>
    <w:rsid w:val="3D3675FD"/>
    <w:rsid w:val="3D5001A7"/>
    <w:rsid w:val="3D55441E"/>
    <w:rsid w:val="3D6B2F4F"/>
    <w:rsid w:val="3D713555"/>
    <w:rsid w:val="3D741DEE"/>
    <w:rsid w:val="3D85737C"/>
    <w:rsid w:val="3D9C3FFF"/>
    <w:rsid w:val="3DA92F31"/>
    <w:rsid w:val="3DB3244A"/>
    <w:rsid w:val="3DC213DF"/>
    <w:rsid w:val="3DDE328E"/>
    <w:rsid w:val="3E0B0DB0"/>
    <w:rsid w:val="3E0C635B"/>
    <w:rsid w:val="3E116F60"/>
    <w:rsid w:val="3E572F58"/>
    <w:rsid w:val="3E636D6A"/>
    <w:rsid w:val="3E872DEF"/>
    <w:rsid w:val="3E962A3C"/>
    <w:rsid w:val="3E9704BE"/>
    <w:rsid w:val="3EE94A45"/>
    <w:rsid w:val="3F043070"/>
    <w:rsid w:val="3F1D2CEE"/>
    <w:rsid w:val="3F4D6968"/>
    <w:rsid w:val="3F6116ED"/>
    <w:rsid w:val="3F8B424E"/>
    <w:rsid w:val="3F934EDE"/>
    <w:rsid w:val="3FA97081"/>
    <w:rsid w:val="3FB14FDF"/>
    <w:rsid w:val="3FCE6ABE"/>
    <w:rsid w:val="40130E98"/>
    <w:rsid w:val="401776B5"/>
    <w:rsid w:val="403501D5"/>
    <w:rsid w:val="40516596"/>
    <w:rsid w:val="40782BD2"/>
    <w:rsid w:val="407E4ADB"/>
    <w:rsid w:val="40B04E56"/>
    <w:rsid w:val="40B94CC0"/>
    <w:rsid w:val="40C60753"/>
    <w:rsid w:val="40C761D4"/>
    <w:rsid w:val="40D15800"/>
    <w:rsid w:val="40D24565"/>
    <w:rsid w:val="40D74270"/>
    <w:rsid w:val="410113A2"/>
    <w:rsid w:val="415D4149"/>
    <w:rsid w:val="41654DD9"/>
    <w:rsid w:val="416F143B"/>
    <w:rsid w:val="41880811"/>
    <w:rsid w:val="419633AA"/>
    <w:rsid w:val="41AF6E95"/>
    <w:rsid w:val="41B44DE2"/>
    <w:rsid w:val="41C60C56"/>
    <w:rsid w:val="41E9727E"/>
    <w:rsid w:val="41F50509"/>
    <w:rsid w:val="420226D9"/>
    <w:rsid w:val="42124EF1"/>
    <w:rsid w:val="42375131"/>
    <w:rsid w:val="42610172"/>
    <w:rsid w:val="426339F7"/>
    <w:rsid w:val="426565DA"/>
    <w:rsid w:val="42705E47"/>
    <w:rsid w:val="42733C91"/>
    <w:rsid w:val="427C45A1"/>
    <w:rsid w:val="428803B3"/>
    <w:rsid w:val="428C76CE"/>
    <w:rsid w:val="42916AC5"/>
    <w:rsid w:val="429A3B51"/>
    <w:rsid w:val="42A3645B"/>
    <w:rsid w:val="42AB766E"/>
    <w:rsid w:val="42CE0B28"/>
    <w:rsid w:val="42DA5063"/>
    <w:rsid w:val="42F609E7"/>
    <w:rsid w:val="43046EDF"/>
    <w:rsid w:val="432106B2"/>
    <w:rsid w:val="43603542"/>
    <w:rsid w:val="436807A8"/>
    <w:rsid w:val="43790FC1"/>
    <w:rsid w:val="439901E8"/>
    <w:rsid w:val="43A14703"/>
    <w:rsid w:val="43BB74AB"/>
    <w:rsid w:val="43CD51C7"/>
    <w:rsid w:val="43EC12FF"/>
    <w:rsid w:val="43F11B33"/>
    <w:rsid w:val="43F17986"/>
    <w:rsid w:val="43FF4262"/>
    <w:rsid w:val="44062B2A"/>
    <w:rsid w:val="444678CE"/>
    <w:rsid w:val="444744C8"/>
    <w:rsid w:val="44495B09"/>
    <w:rsid w:val="44565A46"/>
    <w:rsid w:val="445C041A"/>
    <w:rsid w:val="44604594"/>
    <w:rsid w:val="447E086E"/>
    <w:rsid w:val="44B454C5"/>
    <w:rsid w:val="44C125DD"/>
    <w:rsid w:val="44CA2EEC"/>
    <w:rsid w:val="44D35D7A"/>
    <w:rsid w:val="44DD6689"/>
    <w:rsid w:val="44E7774D"/>
    <w:rsid w:val="44F0184B"/>
    <w:rsid w:val="45127C50"/>
    <w:rsid w:val="452B6409"/>
    <w:rsid w:val="454416D4"/>
    <w:rsid w:val="45595C53"/>
    <w:rsid w:val="455E7EDC"/>
    <w:rsid w:val="45830A1B"/>
    <w:rsid w:val="458A4224"/>
    <w:rsid w:val="458D51A8"/>
    <w:rsid w:val="459B4244"/>
    <w:rsid w:val="45A33E4B"/>
    <w:rsid w:val="45A94422"/>
    <w:rsid w:val="45B253E8"/>
    <w:rsid w:val="45CC5F92"/>
    <w:rsid w:val="46236563"/>
    <w:rsid w:val="465B6AFA"/>
    <w:rsid w:val="465C2D4B"/>
    <w:rsid w:val="465C457C"/>
    <w:rsid w:val="467609A9"/>
    <w:rsid w:val="46B86E94"/>
    <w:rsid w:val="46E67A01"/>
    <w:rsid w:val="46F87BA3"/>
    <w:rsid w:val="47262D4B"/>
    <w:rsid w:val="47291DCB"/>
    <w:rsid w:val="474A246F"/>
    <w:rsid w:val="47613E2A"/>
    <w:rsid w:val="47670737"/>
    <w:rsid w:val="47771298"/>
    <w:rsid w:val="47BE6742"/>
    <w:rsid w:val="47D927EF"/>
    <w:rsid w:val="47F00216"/>
    <w:rsid w:val="47F236FB"/>
    <w:rsid w:val="48015F32"/>
    <w:rsid w:val="480F5247"/>
    <w:rsid w:val="4839608B"/>
    <w:rsid w:val="483A3F41"/>
    <w:rsid w:val="485D1370"/>
    <w:rsid w:val="486017CE"/>
    <w:rsid w:val="48622CF7"/>
    <w:rsid w:val="4866492C"/>
    <w:rsid w:val="4869465C"/>
    <w:rsid w:val="488678AB"/>
    <w:rsid w:val="48B06FCF"/>
    <w:rsid w:val="48C37CC6"/>
    <w:rsid w:val="48FF25D1"/>
    <w:rsid w:val="49281A93"/>
    <w:rsid w:val="492F313E"/>
    <w:rsid w:val="495010D7"/>
    <w:rsid w:val="4955555E"/>
    <w:rsid w:val="49611371"/>
    <w:rsid w:val="49A21DDA"/>
    <w:rsid w:val="49E453DD"/>
    <w:rsid w:val="49EE4458"/>
    <w:rsid w:val="4A3835D3"/>
    <w:rsid w:val="4A3C21D9"/>
    <w:rsid w:val="4A521971"/>
    <w:rsid w:val="4A880DD3"/>
    <w:rsid w:val="4A9C4E28"/>
    <w:rsid w:val="4AEC68F9"/>
    <w:rsid w:val="4AFF7B18"/>
    <w:rsid w:val="4B254325"/>
    <w:rsid w:val="4B275459"/>
    <w:rsid w:val="4B2941E0"/>
    <w:rsid w:val="4B7D2F03"/>
    <w:rsid w:val="4BE90D9B"/>
    <w:rsid w:val="4BEF2CA4"/>
    <w:rsid w:val="4BFF2F3E"/>
    <w:rsid w:val="4C261BDE"/>
    <w:rsid w:val="4C334692"/>
    <w:rsid w:val="4C660668"/>
    <w:rsid w:val="4C816990"/>
    <w:rsid w:val="4CB613E8"/>
    <w:rsid w:val="4CCC6E0F"/>
    <w:rsid w:val="4CE51F37"/>
    <w:rsid w:val="4D1B40EF"/>
    <w:rsid w:val="4D2079EB"/>
    <w:rsid w:val="4D2B4C2A"/>
    <w:rsid w:val="4D39613E"/>
    <w:rsid w:val="4D3A7443"/>
    <w:rsid w:val="4D570F71"/>
    <w:rsid w:val="4D5A6673"/>
    <w:rsid w:val="4DA37D6C"/>
    <w:rsid w:val="4DE1452E"/>
    <w:rsid w:val="4DEE01EB"/>
    <w:rsid w:val="4DF036EE"/>
    <w:rsid w:val="4DF30DF0"/>
    <w:rsid w:val="4DF6271E"/>
    <w:rsid w:val="4DFC16FF"/>
    <w:rsid w:val="4E03108A"/>
    <w:rsid w:val="4E042C86"/>
    <w:rsid w:val="4E2822B5"/>
    <w:rsid w:val="4E5A1A99"/>
    <w:rsid w:val="4E640249"/>
    <w:rsid w:val="4E723844"/>
    <w:rsid w:val="4E7D0D54"/>
    <w:rsid w:val="4E835C30"/>
    <w:rsid w:val="4E85035F"/>
    <w:rsid w:val="4E9E77F7"/>
    <w:rsid w:val="4EB95335"/>
    <w:rsid w:val="4ED33CE1"/>
    <w:rsid w:val="4F01352B"/>
    <w:rsid w:val="4F13254C"/>
    <w:rsid w:val="4F1C1B57"/>
    <w:rsid w:val="4F26376B"/>
    <w:rsid w:val="4F423F95"/>
    <w:rsid w:val="4F4C1158"/>
    <w:rsid w:val="4F586138"/>
    <w:rsid w:val="4F6279AB"/>
    <w:rsid w:val="4F6F15E1"/>
    <w:rsid w:val="4FA74FBE"/>
    <w:rsid w:val="4FBF6DE2"/>
    <w:rsid w:val="4FD85357"/>
    <w:rsid w:val="501555F2"/>
    <w:rsid w:val="502D7993"/>
    <w:rsid w:val="502E071A"/>
    <w:rsid w:val="504273BB"/>
    <w:rsid w:val="505605DA"/>
    <w:rsid w:val="506A727A"/>
    <w:rsid w:val="50941CF8"/>
    <w:rsid w:val="509636E2"/>
    <w:rsid w:val="50B13272"/>
    <w:rsid w:val="50B6710F"/>
    <w:rsid w:val="50BC2F96"/>
    <w:rsid w:val="50DE7239"/>
    <w:rsid w:val="51357C48"/>
    <w:rsid w:val="5137314B"/>
    <w:rsid w:val="51435EF0"/>
    <w:rsid w:val="51A227FA"/>
    <w:rsid w:val="51A57002"/>
    <w:rsid w:val="51B95CA3"/>
    <w:rsid w:val="51F65583"/>
    <w:rsid w:val="520A0F25"/>
    <w:rsid w:val="521274CB"/>
    <w:rsid w:val="522265CC"/>
    <w:rsid w:val="523D726B"/>
    <w:rsid w:val="52611333"/>
    <w:rsid w:val="528278EA"/>
    <w:rsid w:val="52B5070D"/>
    <w:rsid w:val="52E03A67"/>
    <w:rsid w:val="52FC46EA"/>
    <w:rsid w:val="531A6B64"/>
    <w:rsid w:val="534D042C"/>
    <w:rsid w:val="5350703E"/>
    <w:rsid w:val="536F406F"/>
    <w:rsid w:val="538B07B0"/>
    <w:rsid w:val="538C361F"/>
    <w:rsid w:val="538D10A1"/>
    <w:rsid w:val="53A46AC8"/>
    <w:rsid w:val="53A54549"/>
    <w:rsid w:val="53C25E9B"/>
    <w:rsid w:val="53DC6880"/>
    <w:rsid w:val="53F47B4C"/>
    <w:rsid w:val="5403314B"/>
    <w:rsid w:val="54213B13"/>
    <w:rsid w:val="542A2224"/>
    <w:rsid w:val="544A4CD7"/>
    <w:rsid w:val="545309AA"/>
    <w:rsid w:val="548301BA"/>
    <w:rsid w:val="54BF0519"/>
    <w:rsid w:val="54E603D9"/>
    <w:rsid w:val="552827AD"/>
    <w:rsid w:val="552B1450"/>
    <w:rsid w:val="552D6BF5"/>
    <w:rsid w:val="55584783"/>
    <w:rsid w:val="55835CD9"/>
    <w:rsid w:val="558E2FA7"/>
    <w:rsid w:val="55974979"/>
    <w:rsid w:val="559B1181"/>
    <w:rsid w:val="55B41D2B"/>
    <w:rsid w:val="55B464A8"/>
    <w:rsid w:val="55B577AC"/>
    <w:rsid w:val="55B7742C"/>
    <w:rsid w:val="55BD2802"/>
    <w:rsid w:val="55F969E7"/>
    <w:rsid w:val="56024028"/>
    <w:rsid w:val="5616190A"/>
    <w:rsid w:val="56856B80"/>
    <w:rsid w:val="56941399"/>
    <w:rsid w:val="56962361"/>
    <w:rsid w:val="569F71AC"/>
    <w:rsid w:val="56B84C26"/>
    <w:rsid w:val="56BA15D9"/>
    <w:rsid w:val="56E65920"/>
    <w:rsid w:val="56EF3AF5"/>
    <w:rsid w:val="56F23931"/>
    <w:rsid w:val="56F83407"/>
    <w:rsid w:val="571A4227"/>
    <w:rsid w:val="571E54DC"/>
    <w:rsid w:val="572210F5"/>
    <w:rsid w:val="572A730E"/>
    <w:rsid w:val="57435A05"/>
    <w:rsid w:val="574B7843"/>
    <w:rsid w:val="576146B9"/>
    <w:rsid w:val="57677173"/>
    <w:rsid w:val="577865C9"/>
    <w:rsid w:val="578F7CCE"/>
    <w:rsid w:val="579C1BCB"/>
    <w:rsid w:val="57B74973"/>
    <w:rsid w:val="57E1103B"/>
    <w:rsid w:val="57E23AB5"/>
    <w:rsid w:val="57F020A7"/>
    <w:rsid w:val="580637F9"/>
    <w:rsid w:val="58144D0D"/>
    <w:rsid w:val="58420BB7"/>
    <w:rsid w:val="58467715"/>
    <w:rsid w:val="587B1239"/>
    <w:rsid w:val="58886F75"/>
    <w:rsid w:val="58B65B9B"/>
    <w:rsid w:val="593309E8"/>
    <w:rsid w:val="597C685E"/>
    <w:rsid w:val="598227C6"/>
    <w:rsid w:val="59AD4E2E"/>
    <w:rsid w:val="59B07FB1"/>
    <w:rsid w:val="59FB712C"/>
    <w:rsid w:val="59FD262F"/>
    <w:rsid w:val="5A050D40"/>
    <w:rsid w:val="5A09064B"/>
    <w:rsid w:val="5A364636"/>
    <w:rsid w:val="5A5468C1"/>
    <w:rsid w:val="5A5A624C"/>
    <w:rsid w:val="5A770B6E"/>
    <w:rsid w:val="5A7B6781"/>
    <w:rsid w:val="5A8A0BF0"/>
    <w:rsid w:val="5AB246DC"/>
    <w:rsid w:val="5AB3215E"/>
    <w:rsid w:val="5AB61CF5"/>
    <w:rsid w:val="5AD05E8B"/>
    <w:rsid w:val="5AD42692"/>
    <w:rsid w:val="5AE250B9"/>
    <w:rsid w:val="5AE65E30"/>
    <w:rsid w:val="5B2F7529"/>
    <w:rsid w:val="5B78539F"/>
    <w:rsid w:val="5B814DBA"/>
    <w:rsid w:val="5B8931D8"/>
    <w:rsid w:val="5BBA168B"/>
    <w:rsid w:val="5BBD01B3"/>
    <w:rsid w:val="5C13779B"/>
    <w:rsid w:val="5C297741"/>
    <w:rsid w:val="5C435D6C"/>
    <w:rsid w:val="5C443BB1"/>
    <w:rsid w:val="5CAC1F18"/>
    <w:rsid w:val="5CB660AB"/>
    <w:rsid w:val="5CC611FF"/>
    <w:rsid w:val="5CCF11D3"/>
    <w:rsid w:val="5CE458F6"/>
    <w:rsid w:val="5D0D1EC4"/>
    <w:rsid w:val="5D4A309B"/>
    <w:rsid w:val="5D6A315C"/>
    <w:rsid w:val="5D7F7CF2"/>
    <w:rsid w:val="5D851C35"/>
    <w:rsid w:val="5DAA43BA"/>
    <w:rsid w:val="5DBB1104"/>
    <w:rsid w:val="5DBC7B57"/>
    <w:rsid w:val="5DDE7708"/>
    <w:rsid w:val="5DF04B2E"/>
    <w:rsid w:val="5DFB2AAE"/>
    <w:rsid w:val="5E203FF8"/>
    <w:rsid w:val="5E2E6B91"/>
    <w:rsid w:val="5E77028A"/>
    <w:rsid w:val="5EFC04E3"/>
    <w:rsid w:val="5F187E14"/>
    <w:rsid w:val="5F255EFF"/>
    <w:rsid w:val="5F3C12CD"/>
    <w:rsid w:val="5F3D0F4D"/>
    <w:rsid w:val="5F5159EF"/>
    <w:rsid w:val="5F8466E5"/>
    <w:rsid w:val="5FA071A5"/>
    <w:rsid w:val="5FBE2597"/>
    <w:rsid w:val="5FC559AE"/>
    <w:rsid w:val="5FDA5B33"/>
    <w:rsid w:val="5FDC7E75"/>
    <w:rsid w:val="5FF120B4"/>
    <w:rsid w:val="60083E99"/>
    <w:rsid w:val="603A596D"/>
    <w:rsid w:val="607B393B"/>
    <w:rsid w:val="609B470C"/>
    <w:rsid w:val="60A62A9D"/>
    <w:rsid w:val="60AC4695"/>
    <w:rsid w:val="60BA2331"/>
    <w:rsid w:val="60D45B6B"/>
    <w:rsid w:val="60D6106E"/>
    <w:rsid w:val="60EB32AF"/>
    <w:rsid w:val="60EF4197"/>
    <w:rsid w:val="61171AD8"/>
    <w:rsid w:val="612620F2"/>
    <w:rsid w:val="612B657A"/>
    <w:rsid w:val="6142291C"/>
    <w:rsid w:val="61457124"/>
    <w:rsid w:val="614E316C"/>
    <w:rsid w:val="61B73BDF"/>
    <w:rsid w:val="61EE1B3B"/>
    <w:rsid w:val="61FE0917"/>
    <w:rsid w:val="620152D8"/>
    <w:rsid w:val="623E513D"/>
    <w:rsid w:val="62563CE5"/>
    <w:rsid w:val="62844EB8"/>
    <w:rsid w:val="628864B6"/>
    <w:rsid w:val="62E47AC9"/>
    <w:rsid w:val="63097D09"/>
    <w:rsid w:val="6350047D"/>
    <w:rsid w:val="63723EB5"/>
    <w:rsid w:val="639474C6"/>
    <w:rsid w:val="63AF0497"/>
    <w:rsid w:val="63D8165B"/>
    <w:rsid w:val="63DD3565"/>
    <w:rsid w:val="6412053C"/>
    <w:rsid w:val="64430D0B"/>
    <w:rsid w:val="648065F1"/>
    <w:rsid w:val="64971BDD"/>
    <w:rsid w:val="64BA3B41"/>
    <w:rsid w:val="64F81E92"/>
    <w:rsid w:val="65015C46"/>
    <w:rsid w:val="65046BCA"/>
    <w:rsid w:val="650A2CD2"/>
    <w:rsid w:val="650D32FF"/>
    <w:rsid w:val="650E4F5B"/>
    <w:rsid w:val="651435E1"/>
    <w:rsid w:val="654153AA"/>
    <w:rsid w:val="654D4A40"/>
    <w:rsid w:val="6566621E"/>
    <w:rsid w:val="65821697"/>
    <w:rsid w:val="65CE6293"/>
    <w:rsid w:val="65F740ED"/>
    <w:rsid w:val="660029BB"/>
    <w:rsid w:val="66077C6A"/>
    <w:rsid w:val="660A60F8"/>
    <w:rsid w:val="661E7317"/>
    <w:rsid w:val="663B46C9"/>
    <w:rsid w:val="66495BDD"/>
    <w:rsid w:val="666D4B17"/>
    <w:rsid w:val="669E696B"/>
    <w:rsid w:val="66B94F97"/>
    <w:rsid w:val="66BA4C17"/>
    <w:rsid w:val="66C60005"/>
    <w:rsid w:val="66D435C2"/>
    <w:rsid w:val="66ED66EB"/>
    <w:rsid w:val="671E273D"/>
    <w:rsid w:val="67763396"/>
    <w:rsid w:val="6779274B"/>
    <w:rsid w:val="678A1A6C"/>
    <w:rsid w:val="67926E78"/>
    <w:rsid w:val="679F070D"/>
    <w:rsid w:val="67A9335C"/>
    <w:rsid w:val="67D44D17"/>
    <w:rsid w:val="67DF276E"/>
    <w:rsid w:val="68014F2E"/>
    <w:rsid w:val="680B32BF"/>
    <w:rsid w:val="680C4CB4"/>
    <w:rsid w:val="680E2045"/>
    <w:rsid w:val="68334803"/>
    <w:rsid w:val="68374408"/>
    <w:rsid w:val="68396889"/>
    <w:rsid w:val="68400296"/>
    <w:rsid w:val="684D54D0"/>
    <w:rsid w:val="68976726"/>
    <w:rsid w:val="69156EBB"/>
    <w:rsid w:val="69476FEA"/>
    <w:rsid w:val="69760313"/>
    <w:rsid w:val="698A6FB3"/>
    <w:rsid w:val="69DD483F"/>
    <w:rsid w:val="69F47683"/>
    <w:rsid w:val="69F942E4"/>
    <w:rsid w:val="6A010AFD"/>
    <w:rsid w:val="6A02377A"/>
    <w:rsid w:val="6A0568FD"/>
    <w:rsid w:val="6A2B6B3C"/>
    <w:rsid w:val="6A5F0290"/>
    <w:rsid w:val="6A865F51"/>
    <w:rsid w:val="6AA40D85"/>
    <w:rsid w:val="6ABB09AA"/>
    <w:rsid w:val="6AD74A57"/>
    <w:rsid w:val="6B266753"/>
    <w:rsid w:val="6B4F341C"/>
    <w:rsid w:val="6B5D6C64"/>
    <w:rsid w:val="6B6433C1"/>
    <w:rsid w:val="6B7845E0"/>
    <w:rsid w:val="6B9F60AC"/>
    <w:rsid w:val="6BA350A4"/>
    <w:rsid w:val="6BB640C5"/>
    <w:rsid w:val="6BFA38B5"/>
    <w:rsid w:val="6C0A3B4F"/>
    <w:rsid w:val="6C254067"/>
    <w:rsid w:val="6C3426E1"/>
    <w:rsid w:val="6C5703CB"/>
    <w:rsid w:val="6C774F51"/>
    <w:rsid w:val="6C7A1884"/>
    <w:rsid w:val="6CD62F24"/>
    <w:rsid w:val="6D0A6F75"/>
    <w:rsid w:val="6D2E4BAB"/>
    <w:rsid w:val="6D4A44DB"/>
    <w:rsid w:val="6D63623C"/>
    <w:rsid w:val="6D812437"/>
    <w:rsid w:val="6D853006"/>
    <w:rsid w:val="6DD368C0"/>
    <w:rsid w:val="6DD4663E"/>
    <w:rsid w:val="6DE82CCD"/>
    <w:rsid w:val="6DEB7F47"/>
    <w:rsid w:val="6E087CA3"/>
    <w:rsid w:val="6E123F24"/>
    <w:rsid w:val="6E3825F2"/>
    <w:rsid w:val="6E3B72E7"/>
    <w:rsid w:val="6E5C02CB"/>
    <w:rsid w:val="6E680DA5"/>
    <w:rsid w:val="6E804558"/>
    <w:rsid w:val="6EA0288E"/>
    <w:rsid w:val="6EE509F4"/>
    <w:rsid w:val="6EFC51A7"/>
    <w:rsid w:val="6F023405"/>
    <w:rsid w:val="6F0B13DB"/>
    <w:rsid w:val="6F113E47"/>
    <w:rsid w:val="6F25039A"/>
    <w:rsid w:val="6F376285"/>
    <w:rsid w:val="6F842B01"/>
    <w:rsid w:val="6F8D3411"/>
    <w:rsid w:val="6FA8783E"/>
    <w:rsid w:val="6FBC2EB1"/>
    <w:rsid w:val="6FDB6D93"/>
    <w:rsid w:val="700346D4"/>
    <w:rsid w:val="70623166"/>
    <w:rsid w:val="70714D08"/>
    <w:rsid w:val="7073020B"/>
    <w:rsid w:val="708F42B8"/>
    <w:rsid w:val="709C35CE"/>
    <w:rsid w:val="70D127A3"/>
    <w:rsid w:val="70F86AD9"/>
    <w:rsid w:val="71032079"/>
    <w:rsid w:val="71936767"/>
    <w:rsid w:val="71A26F09"/>
    <w:rsid w:val="720F35F2"/>
    <w:rsid w:val="72100F31"/>
    <w:rsid w:val="721F1EA3"/>
    <w:rsid w:val="72287D95"/>
    <w:rsid w:val="72304FDF"/>
    <w:rsid w:val="723356D2"/>
    <w:rsid w:val="72434C03"/>
    <w:rsid w:val="7246140B"/>
    <w:rsid w:val="7247717D"/>
    <w:rsid w:val="726A28C4"/>
    <w:rsid w:val="729926C8"/>
    <w:rsid w:val="72C61959"/>
    <w:rsid w:val="72DB607B"/>
    <w:rsid w:val="73096F4B"/>
    <w:rsid w:val="73131A58"/>
    <w:rsid w:val="73142D5D"/>
    <w:rsid w:val="7317045F"/>
    <w:rsid w:val="732D5E85"/>
    <w:rsid w:val="733D42E3"/>
    <w:rsid w:val="734E1AC2"/>
    <w:rsid w:val="737230F7"/>
    <w:rsid w:val="73854316"/>
    <w:rsid w:val="73950D2D"/>
    <w:rsid w:val="73A57DF9"/>
    <w:rsid w:val="73A744CA"/>
    <w:rsid w:val="73CC19D5"/>
    <w:rsid w:val="74126445"/>
    <w:rsid w:val="741A7D2C"/>
    <w:rsid w:val="74486D25"/>
    <w:rsid w:val="746016FA"/>
    <w:rsid w:val="74694588"/>
    <w:rsid w:val="746C550D"/>
    <w:rsid w:val="74AF2AFE"/>
    <w:rsid w:val="74B54A08"/>
    <w:rsid w:val="74CB0DAA"/>
    <w:rsid w:val="74E146D2"/>
    <w:rsid w:val="74F86B15"/>
    <w:rsid w:val="750B5416"/>
    <w:rsid w:val="751B1E2E"/>
    <w:rsid w:val="754D5E80"/>
    <w:rsid w:val="75661EFD"/>
    <w:rsid w:val="756A3232"/>
    <w:rsid w:val="75745DF5"/>
    <w:rsid w:val="75876F5E"/>
    <w:rsid w:val="75895CE5"/>
    <w:rsid w:val="759901A2"/>
    <w:rsid w:val="759F2407"/>
    <w:rsid w:val="75D02BD6"/>
    <w:rsid w:val="75E15270"/>
    <w:rsid w:val="76116EC2"/>
    <w:rsid w:val="76325B80"/>
    <w:rsid w:val="76430996"/>
    <w:rsid w:val="76B72ED4"/>
    <w:rsid w:val="76C07F60"/>
    <w:rsid w:val="76E3721B"/>
    <w:rsid w:val="76F00D88"/>
    <w:rsid w:val="771928DB"/>
    <w:rsid w:val="771C067A"/>
    <w:rsid w:val="772032D2"/>
    <w:rsid w:val="772A6AEC"/>
    <w:rsid w:val="77632FEC"/>
    <w:rsid w:val="77693C0F"/>
    <w:rsid w:val="77695CCA"/>
    <w:rsid w:val="776C5E7A"/>
    <w:rsid w:val="77785510"/>
    <w:rsid w:val="779415BD"/>
    <w:rsid w:val="779C0BC8"/>
    <w:rsid w:val="779C4C9B"/>
    <w:rsid w:val="77C2468B"/>
    <w:rsid w:val="780A11FC"/>
    <w:rsid w:val="780B5507"/>
    <w:rsid w:val="7855167B"/>
    <w:rsid w:val="788F4999"/>
    <w:rsid w:val="78A53586"/>
    <w:rsid w:val="78A92755"/>
    <w:rsid w:val="78B8009B"/>
    <w:rsid w:val="78B9366E"/>
    <w:rsid w:val="78BC17CD"/>
    <w:rsid w:val="78C5192F"/>
    <w:rsid w:val="78CF1DB4"/>
    <w:rsid w:val="78D366C6"/>
    <w:rsid w:val="78FE6611"/>
    <w:rsid w:val="790B20A3"/>
    <w:rsid w:val="79171739"/>
    <w:rsid w:val="796C47DC"/>
    <w:rsid w:val="799B610F"/>
    <w:rsid w:val="79DF2C7C"/>
    <w:rsid w:val="79E47779"/>
    <w:rsid w:val="79F57AA2"/>
    <w:rsid w:val="79FD4EAF"/>
    <w:rsid w:val="7A194129"/>
    <w:rsid w:val="7A1F66E8"/>
    <w:rsid w:val="7A361B91"/>
    <w:rsid w:val="7A4C3D34"/>
    <w:rsid w:val="7A7D4CC5"/>
    <w:rsid w:val="7AC04CBB"/>
    <w:rsid w:val="7AD57A5A"/>
    <w:rsid w:val="7AD9139A"/>
    <w:rsid w:val="7ADB231E"/>
    <w:rsid w:val="7AE67D87"/>
    <w:rsid w:val="7B484ED1"/>
    <w:rsid w:val="7B6E2211"/>
    <w:rsid w:val="7B8472B4"/>
    <w:rsid w:val="7BC80470"/>
    <w:rsid w:val="7BE0484E"/>
    <w:rsid w:val="7C081A8C"/>
    <w:rsid w:val="7C0A4F8F"/>
    <w:rsid w:val="7C0F40E4"/>
    <w:rsid w:val="7C153320"/>
    <w:rsid w:val="7C345209"/>
    <w:rsid w:val="7C482875"/>
    <w:rsid w:val="7C513185"/>
    <w:rsid w:val="7C5D3714"/>
    <w:rsid w:val="7C92278E"/>
    <w:rsid w:val="7C970076"/>
    <w:rsid w:val="7CD32459"/>
    <w:rsid w:val="7CDE07EA"/>
    <w:rsid w:val="7CEB1A6D"/>
    <w:rsid w:val="7CF22D0E"/>
    <w:rsid w:val="7D0C0035"/>
    <w:rsid w:val="7D322473"/>
    <w:rsid w:val="7D4D3494"/>
    <w:rsid w:val="7D9E7791"/>
    <w:rsid w:val="7DA22244"/>
    <w:rsid w:val="7DBC28DE"/>
    <w:rsid w:val="7DC50AE8"/>
    <w:rsid w:val="7DCE3976"/>
    <w:rsid w:val="7DF03DE7"/>
    <w:rsid w:val="7DFB0564"/>
    <w:rsid w:val="7E0B59D9"/>
    <w:rsid w:val="7E1178E2"/>
    <w:rsid w:val="7E4C3A0F"/>
    <w:rsid w:val="7E4C3A98"/>
    <w:rsid w:val="7E4C4244"/>
    <w:rsid w:val="7E4F51C9"/>
    <w:rsid w:val="7E9E07CB"/>
    <w:rsid w:val="7EDB4DAD"/>
    <w:rsid w:val="7EDD5D31"/>
    <w:rsid w:val="7EE44C7D"/>
    <w:rsid w:val="7F1A61C1"/>
    <w:rsid w:val="7F23352A"/>
    <w:rsid w:val="7F6C689A"/>
    <w:rsid w:val="7F7D33DC"/>
    <w:rsid w:val="7F8242C1"/>
    <w:rsid w:val="7F993EE6"/>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Header Char"/>
    <w:basedOn w:val="18"/>
    <w:link w:val="13"/>
    <w:qFormat/>
    <w:uiPriority w:val="99"/>
    <w:rPr>
      <w:sz w:val="18"/>
      <w:szCs w:val="18"/>
    </w:rPr>
  </w:style>
  <w:style w:type="character" w:customStyle="1" w:styleId="22">
    <w:name w:val="Footer Char"/>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Balloon Text Char"/>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Comment Text Char"/>
    <w:basedOn w:val="18"/>
    <w:link w:val="8"/>
    <w:qFormat/>
    <w:uiPriority w:val="0"/>
    <w:rPr>
      <w:rFonts w:ascii="CG Times (WN)" w:hAnsi="CG Times (WN)" w:eastAsia="宋体" w:cs="Times New Roman"/>
    </w:rPr>
  </w:style>
  <w:style w:type="character" w:customStyle="1" w:styleId="38">
    <w:name w:val="Comment Subject Char"/>
    <w:basedOn w:val="37"/>
    <w:link w:val="15"/>
    <w:semiHidden/>
    <w:qFormat/>
    <w:uiPriority w:val="99"/>
    <w:rPr>
      <w:rFonts w:ascii="CG Times (WN)" w:hAnsi="CG Times (WN)" w:eastAsia="宋体" w:cs="Times New Roman"/>
      <w:b/>
      <w:bCs/>
    </w:rPr>
  </w:style>
  <w:style w:type="character" w:customStyle="1" w:styleId="39">
    <w:name w:val="Document Map Char"/>
    <w:basedOn w:val="18"/>
    <w:link w:val="7"/>
    <w:semiHidden/>
    <w:qFormat/>
    <w:uiPriority w:val="99"/>
    <w:rPr>
      <w:rFonts w:ascii="宋体" w:hAnsi="CG Times (WN)" w:eastAsia="宋体" w:cs="Times New Roman"/>
      <w:sz w:val="18"/>
      <w:szCs w:val="18"/>
    </w:rPr>
  </w:style>
  <w:style w:type="character" w:customStyle="1" w:styleId="40">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1">
    <w:name w:val="List Paragraph Char"/>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Heading 2 Char"/>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Heading 3 Char"/>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Heading 5 Char"/>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before="0"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0</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2024-08-09T06:42:05Z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F758DFB0B4AE47278D4B1243D8FEEAB7</vt:lpwstr>
  </property>
</Properties>
</file>