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Title"/>
      <w:bookmarkEnd w:id="0"/>
      <w:bookmarkStart w:id="1" w:name="DocumentFor"/>
      <w:bookmarkEnd w:id="1"/>
      <w:r>
        <w:rPr>
          <w:rFonts w:ascii="Arial" w:hAnsi="Arial" w:eastAsia="宋体" w:cs="Arial"/>
          <w:b/>
          <w:kern w:val="0"/>
          <w:sz w:val="24"/>
          <w:szCs w:val="24"/>
          <w:lang w:val="en-US" w:eastAsia="zh-CN" w:bidi="ar-SA"/>
        </w:rPr>
        <w:t>3GPP TSG-RAN WG4 Meeting #112</w:t>
      </w:r>
      <w:r>
        <w:rPr>
          <w:rFonts w:hint="eastAsia"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R4-2411766</w:t>
      </w:r>
    </w:p>
    <w:p>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Maastricht</w:t>
      </w:r>
      <w:r>
        <w:rPr>
          <w:rFonts w:hint="eastAsia" w:ascii="Arial" w:hAnsi="Arial" w:eastAsia="宋体" w:cs="Arial"/>
          <w:b/>
          <w:kern w:val="0"/>
          <w:sz w:val="24"/>
          <w:szCs w:val="24"/>
          <w:lang w:val="en-US" w:eastAsia="zh-CN" w:bidi="ar-SA"/>
        </w:rPr>
        <w:t>,</w:t>
      </w:r>
      <w:r>
        <w:rPr>
          <w:rFonts w:ascii="Arial" w:hAnsi="Arial" w:eastAsia="宋体" w:cs="Arial"/>
          <w:b/>
          <w:kern w:val="0"/>
          <w:sz w:val="24"/>
          <w:szCs w:val="24"/>
          <w:lang w:val="en-US" w:eastAsia="zh-CN" w:bidi="ar-SA"/>
        </w:rPr>
        <w:t xml:space="preserve"> Netherlands, 19</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23</w:t>
      </w:r>
      <w:r>
        <w:rPr>
          <w:rFonts w:ascii="Arial" w:hAnsi="Arial" w:eastAsia="宋体" w:cs="Arial"/>
          <w:b/>
          <w:kern w:val="0"/>
          <w:sz w:val="24"/>
          <w:szCs w:val="24"/>
          <w:vertAlign w:val="superscript"/>
          <w:lang w:val="en-US" w:eastAsia="zh-CN" w:bidi="ar-SA"/>
        </w:rPr>
        <w:t>rd</w:t>
      </w:r>
      <w:r>
        <w:rPr>
          <w:rFonts w:ascii="Arial" w:hAnsi="Arial" w:eastAsia="宋体" w:cs="Arial"/>
          <w:b/>
          <w:kern w:val="0"/>
          <w:sz w:val="24"/>
          <w:szCs w:val="24"/>
          <w:lang w:val="en-US" w:eastAsia="zh-CN" w:bidi="ar-SA"/>
        </w:rPr>
        <w:t xml:space="preserve"> August, 2024</w:t>
      </w:r>
    </w:p>
    <w:p>
      <w:pPr>
        <w:rPr>
          <w:rFonts w:ascii="Arial" w:hAnsi="Arial" w:cs="Arial"/>
          <w:b/>
          <w:bCs/>
          <w:sz w:val="24"/>
          <w:szCs w:val="28"/>
        </w:rPr>
      </w:pP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8.20</w:t>
      </w:r>
      <w:r>
        <w:rPr>
          <w:rFonts w:hint="eastAsia" w:ascii="Arial" w:hAnsi="Arial" w:cs="Arial"/>
          <w:b/>
          <w:sz w:val="24"/>
          <w:szCs w:val="24"/>
        </w:rPr>
        <w:t>.3.1</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A-IoT BS RF requirements</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bookmarkStart w:id="2" w:name="_GoBack"/>
      <w:bookmarkEnd w:id="2"/>
    </w:p>
    <w:p>
      <w:pPr>
        <w:spacing w:after="180"/>
        <w:rPr>
          <w:rFonts w:ascii="Times New Roman" w:hAnsi="Times New Roman"/>
          <w:sz w:val="20"/>
        </w:rPr>
      </w:pPr>
      <w:r>
        <w:rPr>
          <w:rFonts w:hint="eastAsia" w:ascii="Times New Roman" w:hAnsi="Times New Roman"/>
          <w:sz w:val="20"/>
        </w:rPr>
        <w:t>In RAN plenary #102 meeting, a new SID[1] of A-IoT is approved with following RAN4 lead RF part objectives:</w:t>
      </w:r>
    </w:p>
    <w:p>
      <w:pPr>
        <w:numPr>
          <w:ilvl w:val="0"/>
          <w:numId w:val="1"/>
        </w:numPr>
        <w:spacing w:after="180"/>
        <w:rPr>
          <w:rFonts w:ascii="Times New Roman" w:hAnsi="Times New Roman"/>
          <w:sz w:val="20"/>
        </w:rPr>
      </w:pPr>
      <w:r>
        <w:rPr>
          <w:rFonts w:hint="eastAsia" w:ascii="Times New Roman" w:hAnsi="Times New Roman"/>
          <w:sz w:val="20"/>
        </w:rPr>
        <w:t>Coexistence study of Ambient IoT and NR/LTE.</w:t>
      </w:r>
    </w:p>
    <w:p>
      <w:pPr>
        <w:numPr>
          <w:ilvl w:val="0"/>
          <w:numId w:val="1"/>
        </w:numPr>
        <w:spacing w:after="180"/>
        <w:rPr>
          <w:rFonts w:ascii="Times New Roman" w:hAnsi="Times New Roman"/>
          <w:sz w:val="20"/>
        </w:rPr>
      </w:pPr>
      <w:r>
        <w:rPr>
          <w:rFonts w:hint="eastAsia" w:ascii="Times New Roman" w:hAnsi="Times New Roman"/>
          <w:sz w:val="20"/>
        </w:rPr>
        <w:t>RF requirements study for Ambient IoT:</w:t>
      </w:r>
    </w:p>
    <w:p>
      <w:pPr>
        <w:numPr>
          <w:ilvl w:val="1"/>
          <w:numId w:val="1"/>
        </w:numPr>
        <w:spacing w:after="180"/>
        <w:rPr>
          <w:rFonts w:ascii="Times New Roman" w:hAnsi="Times New Roman"/>
          <w:sz w:val="20"/>
        </w:rPr>
      </w:pPr>
      <w:r>
        <w:rPr>
          <w:rFonts w:hint="eastAsia" w:ascii="Times New Roman" w:hAnsi="Times New Roman"/>
          <w:sz w:val="20"/>
        </w:rPr>
        <w:t>Ambient IoT BS transmission and reception</w:t>
      </w:r>
    </w:p>
    <w:p>
      <w:pPr>
        <w:numPr>
          <w:ilvl w:val="1"/>
          <w:numId w:val="1"/>
        </w:numPr>
        <w:spacing w:after="180"/>
        <w:rPr>
          <w:rFonts w:ascii="Times New Roman" w:hAnsi="Times New Roman"/>
          <w:sz w:val="20"/>
        </w:rPr>
      </w:pPr>
      <w:r>
        <w:rPr>
          <w:rFonts w:hint="eastAsia" w:ascii="Times New Roman" w:hAnsi="Times New Roman"/>
          <w:sz w:val="20"/>
        </w:rPr>
        <w:t>Ambient IoT Device, as per the General Scope, transmission and reception</w:t>
      </w:r>
    </w:p>
    <w:p>
      <w:pPr>
        <w:numPr>
          <w:ilvl w:val="1"/>
          <w:numId w:val="1"/>
        </w:numPr>
        <w:spacing w:after="180"/>
        <w:rPr>
          <w:rFonts w:ascii="Times New Roman" w:hAnsi="Times New Roman"/>
          <w:sz w:val="20"/>
        </w:rPr>
      </w:pPr>
      <w:r>
        <w:rPr>
          <w:rFonts w:hint="eastAsia" w:ascii="Times New Roman" w:hAnsi="Times New Roman"/>
          <w:sz w:val="20"/>
        </w:rPr>
        <w:t>Intermediate node (UE), as per the General Scope, transmission and reception</w:t>
      </w:r>
    </w:p>
    <w:p>
      <w:pPr>
        <w:spacing w:before="156" w:beforeLines="50"/>
        <w:rPr>
          <w:rFonts w:ascii="Times New Roman" w:hAnsi="Times New Roman"/>
          <w:sz w:val="20"/>
        </w:rPr>
      </w:pPr>
      <w:r>
        <w:rPr>
          <w:rFonts w:hint="eastAsia" w:ascii="Times New Roman" w:hAnsi="Times New Roman"/>
          <w:bCs/>
          <w:sz w:val="20"/>
          <w:szCs w:val="20"/>
          <w:lang w:val="en-US" w:eastAsia="zh-CN"/>
        </w:rPr>
        <w:t>F</w:t>
      </w:r>
      <w:r>
        <w:rPr>
          <w:rFonts w:hint="eastAsia" w:ascii="Times New Roman" w:hAnsi="Times New Roman"/>
          <w:bCs/>
          <w:sz w:val="20"/>
          <w:szCs w:val="20"/>
        </w:rPr>
        <w:t xml:space="preserve">ollowing we list our analysis for A-IoT reader and CW nodes for topology 1. </w:t>
      </w:r>
    </w:p>
    <w:p>
      <w:pPr>
        <w:keepNext/>
        <w:keepLines/>
        <w:widowControl/>
        <w:numPr>
          <w:ilvl w:val="0"/>
          <w:numId w:val="2"/>
        </w:numPr>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hint="eastAsia" w:ascii="Arial" w:hAnsi="Arial" w:eastAsiaTheme="minorEastAsia" w:cstheme="minorBidi"/>
          <w:sz w:val="32"/>
          <w:szCs w:val="36"/>
        </w:rPr>
        <w:t>Discussion</w:t>
      </w:r>
    </w:p>
    <w:p>
      <w:pPr>
        <w:pStyle w:val="4"/>
        <w:spacing w:before="156" w:after="156"/>
        <w:rPr>
          <w:rFonts w:hint="default" w:eastAsia="Arial Unicode MS"/>
          <w:lang w:val="en-US" w:eastAsia="zh-CN"/>
        </w:rPr>
      </w:pPr>
      <w:r>
        <w:rPr>
          <w:rFonts w:hint="eastAsia"/>
        </w:rPr>
        <w:t>2.</w:t>
      </w:r>
      <w:r>
        <w:rPr>
          <w:rFonts w:hint="eastAsia"/>
          <w:lang w:val="en-US" w:eastAsia="zh-CN"/>
        </w:rPr>
        <w:t>1</w:t>
      </w:r>
      <w:r>
        <w:rPr>
          <w:rFonts w:hint="eastAsia"/>
        </w:rPr>
        <w:t xml:space="preserve"> A-IoT </w:t>
      </w:r>
      <w:r>
        <w:rPr>
          <w:rFonts w:hint="eastAsia"/>
          <w:lang w:val="en-US" w:eastAsia="zh-CN"/>
        </w:rPr>
        <w:t>BS Tx requirement</w:t>
      </w:r>
    </w:p>
    <w:p>
      <w:pPr>
        <w:spacing w:after="18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Last meeting agreements are listed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rFonts w:hint="default" w:ascii="Times New Roman" w:hAnsi="Times New Roman" w:cs="Times New Roman"/>
                <w:lang w:val="sv-SE" w:eastAsia="zh-CN"/>
              </w:rPr>
            </w:pPr>
            <w:r>
              <w:rPr>
                <w:rFonts w:hint="default" w:ascii="Times New Roman" w:hAnsi="Times New Roman" w:cs="Times New Roman"/>
                <w:lang w:val="sv-SE" w:eastAsia="zh-CN"/>
              </w:rPr>
              <w:t>Agreement:</w:t>
            </w:r>
          </w:p>
          <w:p>
            <w:pPr>
              <w:pStyle w:val="25"/>
              <w:numPr>
                <w:ilvl w:val="0"/>
                <w:numId w:val="3"/>
              </w:numPr>
              <w:spacing w:before="120" w:line="240" w:lineRule="auto"/>
              <w:ind w:firstLineChars="0"/>
              <w:rPr>
                <w:rFonts w:hint="default" w:ascii="Times New Roman" w:hAnsi="Times New Roman" w:cs="Times New Roman"/>
                <w:lang w:eastAsia="zh-CN"/>
              </w:rPr>
            </w:pPr>
            <w:r>
              <w:rPr>
                <w:rFonts w:hint="default" w:ascii="Times New Roman" w:hAnsi="Times New Roman" w:cs="Times New Roman"/>
                <w:lang w:eastAsia="zh-CN"/>
              </w:rPr>
              <w:t>Use the following table as starting point for RF requirements impact study. The table is for information.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985"/>
              <w:gridCol w:w="2126"/>
              <w:gridCol w:w="3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4"/>
                  <w:vAlign w:val="center"/>
                </w:tcPr>
                <w:p>
                  <w:pPr>
                    <w:overflowPunct w:val="0"/>
                    <w:autoSpaceDE w:val="0"/>
                    <w:autoSpaceDN w:val="0"/>
                    <w:adjustRightInd w:val="0"/>
                    <w:spacing w:before="120" w:line="280" w:lineRule="atLeast"/>
                    <w:jc w:val="center"/>
                    <w:textAlignment w:val="baseline"/>
                    <w:rPr>
                      <w:rFonts w:hint="default" w:ascii="Times New Roman" w:hAnsi="Times New Roman" w:eastAsia="Yu Mincho" w:cs="Times New Roman"/>
                      <w:sz w:val="18"/>
                      <w:szCs w:val="18"/>
                    </w:rPr>
                  </w:pPr>
                  <w:r>
                    <w:rPr>
                      <w:rFonts w:hint="default" w:ascii="Times New Roman" w:hAnsi="Times New Roman" w:eastAsia="Yu Mincho" w:cs="Times New Roman"/>
                      <w:b/>
                      <w:bCs/>
                    </w:rPr>
                    <w:t>RF Requirement for A</w:t>
                  </w:r>
                  <w:r>
                    <w:rPr>
                      <w:rFonts w:hint="default" w:ascii="Times New Roman" w:hAnsi="Times New Roman" w:cs="Times New Roman" w:eastAsiaTheme="minorEastAsia"/>
                      <w:b/>
                      <w:bCs/>
                      <w:lang w:eastAsia="zh-CN"/>
                    </w:rPr>
                    <w:t>-</w:t>
                  </w:r>
                  <w:r>
                    <w:rPr>
                      <w:rFonts w:hint="default" w:ascii="Times New Roman" w:hAnsi="Times New Roman" w:eastAsia="Yu Mincho" w:cs="Times New Roman"/>
                      <w:b/>
                      <w:bCs/>
                    </w:rPr>
                    <w:t xml:space="preserve">IoT BS- </w:t>
                  </w:r>
                  <w:r>
                    <w:rPr>
                      <w:rFonts w:hint="default" w:ascii="Times New Roman" w:hAnsi="Times New Roman" w:cs="Times New Roman" w:eastAsiaTheme="minorEastAsia"/>
                      <w:b/>
                      <w:bCs/>
                      <w:lang w:eastAsia="zh-CN"/>
                    </w:rPr>
                    <w:t>T</w:t>
                  </w:r>
                  <w:r>
                    <w:rPr>
                      <w:rFonts w:hint="default" w:ascii="Times New Roman" w:hAnsi="Times New Roman" w:eastAsia="Yu Mincho" w:cs="Times New Roman"/>
                      <w:b/>
                      <w:bCs/>
                    </w:rPr>
                    <w:t>X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Merge w:val="restart"/>
                  <w:vAlign w:val="center"/>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r>
                    <w:rPr>
                      <w:rFonts w:hint="default" w:ascii="Times New Roman" w:hAnsi="Times New Roman" w:eastAsia="Yu Mincho" w:cs="Times New Roman"/>
                      <w:sz w:val="18"/>
                      <w:szCs w:val="18"/>
                    </w:rPr>
                    <w:t xml:space="preserve">TX requirement </w:t>
                  </w:r>
                </w:p>
              </w:tc>
              <w:tc>
                <w:tcPr>
                  <w:tcW w:w="1985" w:type="dxa"/>
                  <w:vAlign w:val="center"/>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r>
                    <w:rPr>
                      <w:rFonts w:hint="default" w:ascii="Times New Roman" w:hAnsi="Times New Roman" w:eastAsia="Yu Mincho" w:cs="Times New Roman"/>
                      <w:sz w:val="18"/>
                      <w:szCs w:val="18"/>
                    </w:rPr>
                    <w:t>Transmit output power</w:t>
                  </w:r>
                </w:p>
              </w:tc>
              <w:tc>
                <w:tcPr>
                  <w:tcW w:w="2126"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r>
                    <w:rPr>
                      <w:rFonts w:hint="default" w:ascii="Times New Roman" w:hAnsi="Times New Roman" w:eastAsia="Yu Mincho" w:cs="Times New Roman"/>
                      <w:sz w:val="18"/>
                      <w:szCs w:val="18"/>
                    </w:rPr>
                    <w:t>Maximum output power</w:t>
                  </w:r>
                </w:p>
              </w:tc>
              <w:tc>
                <w:tcPr>
                  <w:tcW w:w="3682" w:type="dxa"/>
                </w:tcPr>
                <w:p>
                  <w:pPr>
                    <w:overflowPunct w:val="0"/>
                    <w:autoSpaceDE w:val="0"/>
                    <w:autoSpaceDN w:val="0"/>
                    <w:adjustRightInd w:val="0"/>
                    <w:spacing w:before="120" w:line="280" w:lineRule="atLeast"/>
                    <w:textAlignment w:val="baseline"/>
                    <w:rPr>
                      <w:rFonts w:hint="default" w:ascii="Times New Roman" w:hAnsi="Times New Roman" w:cs="Times New Roman"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1838" w:type="dxa"/>
                  <w:vMerge w:val="continue"/>
                  <w:vAlign w:val="center"/>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p>
              </w:tc>
              <w:tc>
                <w:tcPr>
                  <w:tcW w:w="4111" w:type="dxa"/>
                  <w:gridSpan w:val="2"/>
                  <w:vAlign w:val="center"/>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r>
                    <w:rPr>
                      <w:rFonts w:hint="default" w:ascii="Times New Roman" w:hAnsi="Times New Roman" w:eastAsia="Yu Mincho" w:cs="Times New Roman"/>
                      <w:sz w:val="18"/>
                      <w:szCs w:val="18"/>
                    </w:rPr>
                    <w:t>Output power dynamic</w:t>
                  </w:r>
                </w:p>
              </w:tc>
              <w:tc>
                <w:tcPr>
                  <w:tcW w:w="3682"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p>
              </w:tc>
              <w:tc>
                <w:tcPr>
                  <w:tcW w:w="4111" w:type="dxa"/>
                  <w:gridSpan w:val="2"/>
                  <w:vAlign w:val="center"/>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r>
                    <w:rPr>
                      <w:rFonts w:hint="default" w:ascii="Times New Roman" w:hAnsi="Times New Roman" w:eastAsia="Yu Mincho" w:cs="Times New Roman"/>
                      <w:sz w:val="18"/>
                      <w:szCs w:val="18"/>
                    </w:rPr>
                    <w:t>Transmit ON/OFF power</w:t>
                  </w:r>
                </w:p>
              </w:tc>
              <w:tc>
                <w:tcPr>
                  <w:tcW w:w="3682"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p>
              </w:tc>
              <w:tc>
                <w:tcPr>
                  <w:tcW w:w="4111" w:type="dxa"/>
                  <w:gridSpan w:val="2"/>
                  <w:vAlign w:val="center"/>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r>
                    <w:rPr>
                      <w:rFonts w:hint="default" w:ascii="Times New Roman" w:hAnsi="Times New Roman" w:eastAsia="Yu Mincho" w:cs="Times New Roman"/>
                      <w:sz w:val="18"/>
                      <w:szCs w:val="18"/>
                    </w:rPr>
                    <w:t>Transmission times</w:t>
                  </w:r>
                </w:p>
              </w:tc>
              <w:tc>
                <w:tcPr>
                  <w:tcW w:w="3682"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8"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p>
              </w:tc>
              <w:tc>
                <w:tcPr>
                  <w:tcW w:w="1985" w:type="dxa"/>
                  <w:vMerge w:val="restart"/>
                  <w:vAlign w:val="center"/>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r>
                    <w:rPr>
                      <w:rFonts w:hint="default" w:ascii="Times New Roman" w:hAnsi="Times New Roman" w:eastAsia="Yu Mincho" w:cs="Times New Roman"/>
                      <w:sz w:val="18"/>
                      <w:szCs w:val="18"/>
                    </w:rPr>
                    <w:t>Transmit signal quality</w:t>
                  </w:r>
                </w:p>
              </w:tc>
              <w:tc>
                <w:tcPr>
                  <w:tcW w:w="2126"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r>
                    <w:rPr>
                      <w:rFonts w:hint="default" w:ascii="Times New Roman" w:hAnsi="Times New Roman" w:eastAsia="Yu Mincho" w:cs="Times New Roman"/>
                      <w:sz w:val="18"/>
                      <w:szCs w:val="18"/>
                    </w:rPr>
                    <w:t>Frequency error</w:t>
                  </w:r>
                </w:p>
              </w:tc>
              <w:tc>
                <w:tcPr>
                  <w:tcW w:w="3682"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p>
              </w:tc>
              <w:tc>
                <w:tcPr>
                  <w:tcW w:w="1985"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p>
              </w:tc>
              <w:tc>
                <w:tcPr>
                  <w:tcW w:w="2126"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r>
                    <w:rPr>
                      <w:rFonts w:hint="default" w:ascii="Times New Roman" w:hAnsi="Times New Roman" w:eastAsia="Yu Mincho" w:cs="Times New Roman"/>
                      <w:sz w:val="18"/>
                      <w:szCs w:val="18"/>
                    </w:rPr>
                    <w:t>EVM</w:t>
                  </w:r>
                </w:p>
              </w:tc>
              <w:tc>
                <w:tcPr>
                  <w:tcW w:w="3682"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p>
              </w:tc>
              <w:tc>
                <w:tcPr>
                  <w:tcW w:w="1985"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p>
              </w:tc>
              <w:tc>
                <w:tcPr>
                  <w:tcW w:w="2126"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r>
                    <w:rPr>
                      <w:rFonts w:hint="default" w:ascii="Times New Roman" w:hAnsi="Times New Roman" w:eastAsia="Yu Mincho" w:cs="Times New Roman"/>
                      <w:sz w:val="18"/>
                      <w:szCs w:val="18"/>
                    </w:rPr>
                    <w:t>TAE</w:t>
                  </w:r>
                </w:p>
              </w:tc>
              <w:tc>
                <w:tcPr>
                  <w:tcW w:w="3682"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p>
              </w:tc>
              <w:tc>
                <w:tcPr>
                  <w:tcW w:w="1985" w:type="dxa"/>
                  <w:vMerge w:val="restart"/>
                  <w:vAlign w:val="center"/>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r>
                    <w:rPr>
                      <w:rFonts w:hint="default" w:ascii="Times New Roman" w:hAnsi="Times New Roman" w:eastAsia="Yu Mincho" w:cs="Times New Roman"/>
                      <w:sz w:val="18"/>
                      <w:szCs w:val="18"/>
                    </w:rPr>
                    <w:t>Unwanted emissions</w:t>
                  </w:r>
                </w:p>
              </w:tc>
              <w:tc>
                <w:tcPr>
                  <w:tcW w:w="2126"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r>
                    <w:rPr>
                      <w:rFonts w:hint="default" w:ascii="Times New Roman" w:hAnsi="Times New Roman" w:eastAsia="Yu Mincho" w:cs="Times New Roman"/>
                      <w:sz w:val="18"/>
                      <w:szCs w:val="18"/>
                    </w:rPr>
                    <w:t>Occupied bandwidth</w:t>
                  </w:r>
                </w:p>
              </w:tc>
              <w:tc>
                <w:tcPr>
                  <w:tcW w:w="3682"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8"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p>
              </w:tc>
              <w:tc>
                <w:tcPr>
                  <w:tcW w:w="1985"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p>
              </w:tc>
              <w:tc>
                <w:tcPr>
                  <w:tcW w:w="2126"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r>
                    <w:rPr>
                      <w:rFonts w:hint="default" w:ascii="Times New Roman" w:hAnsi="Times New Roman" w:eastAsia="Yu Mincho" w:cs="Times New Roman"/>
                      <w:sz w:val="18"/>
                      <w:szCs w:val="18"/>
                    </w:rPr>
                    <w:t>SEM</w:t>
                  </w:r>
                </w:p>
              </w:tc>
              <w:tc>
                <w:tcPr>
                  <w:tcW w:w="3682"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p>
              </w:tc>
              <w:tc>
                <w:tcPr>
                  <w:tcW w:w="1985"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p>
              </w:tc>
              <w:tc>
                <w:tcPr>
                  <w:tcW w:w="2126"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r>
                    <w:rPr>
                      <w:rFonts w:hint="default" w:ascii="Times New Roman" w:hAnsi="Times New Roman" w:eastAsia="Yu Mincho" w:cs="Times New Roman"/>
                      <w:sz w:val="18"/>
                      <w:szCs w:val="18"/>
                    </w:rPr>
                    <w:t>ACLR</w:t>
                  </w:r>
                </w:p>
              </w:tc>
              <w:tc>
                <w:tcPr>
                  <w:tcW w:w="3682"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p>
              </w:tc>
              <w:tc>
                <w:tcPr>
                  <w:tcW w:w="1985"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p>
              </w:tc>
              <w:tc>
                <w:tcPr>
                  <w:tcW w:w="2126"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r>
                    <w:rPr>
                      <w:rFonts w:hint="default" w:ascii="Times New Roman" w:hAnsi="Times New Roman" w:eastAsia="Yu Mincho" w:cs="Times New Roman"/>
                      <w:sz w:val="18"/>
                      <w:szCs w:val="18"/>
                    </w:rPr>
                    <w:t>Operating band unwanted emissions</w:t>
                  </w:r>
                </w:p>
              </w:tc>
              <w:tc>
                <w:tcPr>
                  <w:tcW w:w="3682"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p>
              </w:tc>
              <w:tc>
                <w:tcPr>
                  <w:tcW w:w="1985"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p>
              </w:tc>
              <w:tc>
                <w:tcPr>
                  <w:tcW w:w="2126"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r>
                    <w:rPr>
                      <w:rFonts w:hint="default" w:ascii="Times New Roman" w:hAnsi="Times New Roman" w:eastAsia="Yu Mincho" w:cs="Times New Roman"/>
                      <w:sz w:val="18"/>
                      <w:szCs w:val="18"/>
                    </w:rPr>
                    <w:t>Transmitter spurious emissions</w:t>
                  </w:r>
                </w:p>
              </w:tc>
              <w:tc>
                <w:tcPr>
                  <w:tcW w:w="3682"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p>
              </w:tc>
              <w:tc>
                <w:tcPr>
                  <w:tcW w:w="4111" w:type="dxa"/>
                  <w:gridSpan w:val="2"/>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r>
                    <w:rPr>
                      <w:rFonts w:hint="default" w:ascii="Times New Roman" w:hAnsi="Times New Roman" w:eastAsia="Yu Mincho" w:cs="Times New Roman"/>
                      <w:sz w:val="18"/>
                      <w:szCs w:val="18"/>
                    </w:rPr>
                    <w:t>Transmitter intermodulation</w:t>
                  </w:r>
                </w:p>
              </w:tc>
              <w:tc>
                <w:tcPr>
                  <w:tcW w:w="3682"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18"/>
                      <w:szCs w:val="18"/>
                    </w:rPr>
                  </w:pPr>
                </w:p>
              </w:tc>
            </w:tr>
          </w:tbl>
          <w:p>
            <w:pPr>
              <w:spacing w:before="120" w:line="280" w:lineRule="atLeast"/>
              <w:rPr>
                <w:rFonts w:hint="default" w:ascii="Times New Roman" w:hAnsi="Times New Roman" w:cs="Times New Roman"/>
                <w:vertAlign w:val="baseline"/>
                <w:lang w:val="en-US" w:eastAsia="zh-CN"/>
              </w:rPr>
            </w:pPr>
          </w:p>
        </w:tc>
      </w:tr>
    </w:tbl>
    <w:p>
      <w:pPr>
        <w:rPr>
          <w:rFonts w:hint="default"/>
          <w:lang w:val="en-US" w:eastAsia="zh-CN"/>
        </w:rPr>
      </w:pPr>
    </w:p>
    <w:p>
      <w:pPr>
        <w:numPr>
          <w:ilvl w:val="0"/>
          <w:numId w:val="4"/>
        </w:numPr>
        <w:spacing w:after="180"/>
        <w:jc w:val="left"/>
        <w:rPr>
          <w:rFonts w:ascii="Times New Roman" w:hAnsi="Times New Roman"/>
          <w:sz w:val="20"/>
          <w:szCs w:val="20"/>
        </w:rPr>
      </w:pPr>
      <w:r>
        <w:rPr>
          <w:rFonts w:hint="eastAsia" w:ascii="Times New Roman" w:hAnsi="Times New Roman"/>
          <w:sz w:val="20"/>
          <w:szCs w:val="20"/>
        </w:rPr>
        <w:t>reader class</w:t>
      </w:r>
      <w:r>
        <w:rPr>
          <w:rFonts w:hint="eastAsia" w:ascii="Times New Roman" w:hAnsi="Times New Roman"/>
          <w:sz w:val="20"/>
          <w:szCs w:val="20"/>
          <w:lang w:val="en-US" w:eastAsia="zh-CN"/>
        </w:rPr>
        <w:t xml:space="preserve"> and type</w:t>
      </w:r>
    </w:p>
    <w:p>
      <w:pPr>
        <w:spacing w:after="180"/>
        <w:jc w:val="left"/>
        <w:rPr>
          <w:rFonts w:ascii="Times New Roman" w:hAnsi="Times New Roman"/>
          <w:sz w:val="20"/>
          <w:szCs w:val="20"/>
        </w:rPr>
      </w:pPr>
      <w:r>
        <w:rPr>
          <w:rFonts w:hint="eastAsia" w:ascii="Times New Roman" w:hAnsi="Times New Roman"/>
          <w:sz w:val="20"/>
          <w:szCs w:val="20"/>
        </w:rPr>
        <w:t>There are three kinds of BS classes in current spec</w:t>
      </w:r>
    </w:p>
    <w:p>
      <w:pPr>
        <w:numPr>
          <w:ilvl w:val="0"/>
          <w:numId w:val="5"/>
        </w:numPr>
        <w:spacing w:after="180"/>
        <w:jc w:val="left"/>
        <w:rPr>
          <w:rFonts w:ascii="Times New Roman" w:hAnsi="Times New Roman"/>
          <w:sz w:val="20"/>
          <w:szCs w:val="20"/>
        </w:rPr>
      </w:pPr>
      <w:r>
        <w:rPr>
          <w:rFonts w:hint="eastAsia" w:ascii="Times New Roman" w:hAnsi="Times New Roman"/>
          <w:sz w:val="20"/>
          <w:szCs w:val="20"/>
        </w:rPr>
        <w:t>WA with no max output power limit and requirements are derived from macro cell with minimum distance/MCL requirements</w:t>
      </w:r>
    </w:p>
    <w:p>
      <w:pPr>
        <w:numPr>
          <w:ilvl w:val="0"/>
          <w:numId w:val="5"/>
        </w:numPr>
        <w:spacing w:after="180"/>
        <w:jc w:val="left"/>
        <w:rPr>
          <w:rFonts w:ascii="Times New Roman" w:hAnsi="Times New Roman"/>
          <w:sz w:val="20"/>
          <w:szCs w:val="20"/>
        </w:rPr>
      </w:pPr>
      <w:r>
        <w:rPr>
          <w:rFonts w:hint="eastAsia" w:ascii="Times New Roman" w:hAnsi="Times New Roman"/>
          <w:sz w:val="20"/>
          <w:szCs w:val="20"/>
        </w:rPr>
        <w:t>MR with max output power limit, e.g. 38dBm for 1-C type and requirements are derived from micro cell with minimum distance/MCL requirements</w:t>
      </w:r>
    </w:p>
    <w:p>
      <w:pPr>
        <w:numPr>
          <w:ilvl w:val="0"/>
          <w:numId w:val="5"/>
        </w:numPr>
        <w:spacing w:after="180"/>
        <w:jc w:val="left"/>
        <w:rPr>
          <w:rFonts w:ascii="Times New Roman" w:hAnsi="Times New Roman"/>
          <w:sz w:val="20"/>
          <w:szCs w:val="20"/>
        </w:rPr>
      </w:pPr>
      <w:r>
        <w:rPr>
          <w:rFonts w:hint="eastAsia" w:ascii="Times New Roman" w:hAnsi="Times New Roman"/>
          <w:sz w:val="20"/>
          <w:szCs w:val="20"/>
        </w:rPr>
        <w:t>LA with max output power limit, e.g. 24dBm for 1-C type and requirements are derived from pico cell with minimum distance/MCL requirements. Although there is no explicit description for the pico cell, but LA is deployed indoors.</w:t>
      </w:r>
    </w:p>
    <w:p>
      <w:pPr>
        <w:spacing w:after="180"/>
        <w:jc w:val="left"/>
        <w:rPr>
          <w:rFonts w:hint="eastAsia" w:ascii="Times New Roman" w:hAnsi="Times New Roman"/>
          <w:sz w:val="20"/>
          <w:szCs w:val="20"/>
        </w:rPr>
      </w:pPr>
      <w:r>
        <w:rPr>
          <w:rFonts w:hint="eastAsia" w:ascii="Times New Roman" w:hAnsi="Times New Roman"/>
          <w:sz w:val="20"/>
          <w:szCs w:val="20"/>
        </w:rPr>
        <w:t>For co-existence analysis, we only simulate the scenario when reader is deployed indoor and there is no analysis of outdoor case. Further discuss whether reader could support other cell type besides micro cell.</w:t>
      </w:r>
    </w:p>
    <w:p>
      <w:pPr>
        <w:spacing w:after="180"/>
        <w:jc w:val="left"/>
        <w:rPr>
          <w:rFonts w:hint="eastAsia" w:ascii="Times New Roman" w:hAnsi="Times New Roman"/>
          <w:b/>
          <w:bCs/>
          <w:sz w:val="20"/>
          <w:szCs w:val="20"/>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1</w:t>
      </w:r>
      <w:r>
        <w:rPr>
          <w:rFonts w:hint="eastAsia" w:ascii="Times New Roman" w:hAnsi="Times New Roman"/>
          <w:b/>
          <w:bCs/>
          <w:sz w:val="20"/>
          <w:szCs w:val="20"/>
        </w:rPr>
        <w:t xml:space="preserve">: </w:t>
      </w:r>
      <w:r>
        <w:rPr>
          <w:rFonts w:hint="eastAsia" w:ascii="Times New Roman" w:hAnsi="Times New Roman"/>
          <w:b/>
          <w:bCs/>
          <w:sz w:val="20"/>
          <w:szCs w:val="20"/>
          <w:lang w:val="en-US" w:eastAsia="zh-CN"/>
        </w:rPr>
        <w:t>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 xml:space="preserve">s suggested to use micro cell type/MR BS as baseline but </w:t>
      </w:r>
      <w:r>
        <w:rPr>
          <w:rFonts w:hint="eastAsia" w:ascii="Times New Roman" w:hAnsi="Times New Roman"/>
          <w:b/>
          <w:bCs/>
          <w:sz w:val="20"/>
          <w:szCs w:val="20"/>
        </w:rPr>
        <w:t xml:space="preserve">further discuss whether reader could support other </w:t>
      </w:r>
      <w:r>
        <w:rPr>
          <w:rFonts w:hint="eastAsia" w:ascii="Times New Roman" w:hAnsi="Times New Roman"/>
          <w:b/>
          <w:bCs/>
          <w:sz w:val="20"/>
          <w:szCs w:val="20"/>
          <w:lang w:val="en-US" w:eastAsia="zh-CN"/>
        </w:rPr>
        <w:t>BS class</w:t>
      </w:r>
      <w:r>
        <w:rPr>
          <w:rFonts w:hint="eastAsia" w:ascii="Times New Roman" w:hAnsi="Times New Roman"/>
          <w:b/>
          <w:bCs/>
          <w:sz w:val="20"/>
          <w:szCs w:val="20"/>
        </w:rPr>
        <w:t xml:space="preserve"> besides </w:t>
      </w:r>
      <w:r>
        <w:rPr>
          <w:rFonts w:hint="eastAsia" w:ascii="Times New Roman" w:hAnsi="Times New Roman"/>
          <w:b/>
          <w:bCs/>
          <w:sz w:val="20"/>
          <w:szCs w:val="20"/>
          <w:lang w:val="en-US" w:eastAsia="zh-CN"/>
        </w:rPr>
        <w:t>MR</w:t>
      </w:r>
      <w:r>
        <w:rPr>
          <w:rFonts w:hint="eastAsia" w:ascii="Times New Roman" w:hAnsi="Times New Roman"/>
          <w:b/>
          <w:bCs/>
          <w:sz w:val="20"/>
          <w:szCs w:val="20"/>
        </w:rPr>
        <w:t>.</w:t>
      </w:r>
    </w:p>
    <w:p>
      <w:p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For reader type, 1-C type is suggested as high priority since &lt;1GHz is the mainly deployment spectrum from coverage point of view. Further discuss whether 1-H type is also needed or not.</w:t>
      </w:r>
    </w:p>
    <w:p>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2: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focus on 1-C reader BS type at first and further discuss the necessity of 1-H reader BS type.</w:t>
      </w:r>
    </w:p>
    <w:p>
      <w:pPr>
        <w:numPr>
          <w:ilvl w:val="0"/>
          <w:numId w:val="6"/>
        </w:numPr>
        <w:spacing w:after="180"/>
        <w:ind w:left="420" w:leftChars="0" w:hanging="420" w:firstLineChars="0"/>
        <w:jc w:val="left"/>
        <w:rPr>
          <w:rFonts w:hint="eastAsia" w:ascii="Times New Roman" w:hAnsi="Times New Roman"/>
          <w:b w:val="0"/>
          <w:bCs w:val="0"/>
          <w:sz w:val="20"/>
          <w:szCs w:val="20"/>
        </w:rPr>
      </w:pPr>
      <w:r>
        <w:rPr>
          <w:rFonts w:hint="eastAsia" w:ascii="Times New Roman" w:hAnsi="Times New Roman"/>
          <w:b w:val="0"/>
          <w:bCs w:val="0"/>
          <w:sz w:val="20"/>
          <w:szCs w:val="20"/>
          <w:lang w:val="en-US" w:eastAsia="zh-CN"/>
        </w:rPr>
        <w:t>Power related requirements</w:t>
      </w:r>
    </w:p>
    <w:p>
      <w:pPr>
        <w:numPr>
          <w:ilvl w:val="0"/>
          <w:numId w:val="0"/>
        </w:numPr>
        <w:spacing w:after="180"/>
        <w:ind w:left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The max output power of 38dBm of current MR BS seems could meet A-IoT coverage requirements, there is no need to further update such requirements. </w:t>
      </w:r>
    </w:p>
    <w:p>
      <w:pPr>
        <w:numPr>
          <w:ilvl w:val="0"/>
          <w:numId w:val="0"/>
        </w:numPr>
        <w:spacing w:after="180"/>
        <w:ind w:left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3: MR A-IoT BS could reuse current transmit output power and max output power of 1-C MR BS.</w:t>
      </w:r>
    </w:p>
    <w:p>
      <w:pPr>
        <w:numPr>
          <w:ilvl w:val="0"/>
          <w:numId w:val="0"/>
        </w:numPr>
        <w:spacing w:after="180"/>
        <w:ind w:left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For power dynamic range related requirement, </w:t>
      </w:r>
    </w:p>
    <w:p>
      <w:pPr>
        <w:numPr>
          <w:ilvl w:val="0"/>
          <w:numId w:val="7"/>
        </w:numPr>
        <w:spacing w:after="180"/>
        <w:ind w:left="840" w:leftChars="0" w:hanging="420" w:firstLineChars="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RE power control dynamic range: this is related to modulation schemed, according to RAN1 agreements, OOK-1 and OOK-4 are the candidate modulation schemed, so RE power control dynamic range should also be updated accordingly.</w:t>
      </w:r>
    </w:p>
    <w:p>
      <w:pPr>
        <w:numPr>
          <w:ilvl w:val="0"/>
          <w:numId w:val="7"/>
        </w:numPr>
        <w:spacing w:after="180"/>
        <w:ind w:left="840" w:leftChars="0" w:hanging="420" w:firstLineChars="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Total power dynamic range: this is related to SCS and max transmission bandwidth configuration. Now there is no agreement of the max channel bandwidth of reader. If we only define 1PRB max transmission bandwidth with 15KHz SCS assumption, then such requirement may not be needed any more. But if higher data rate is supported, 180KHz may not be enough. So we may still need this requirement but updated based on channel bandwidth and SCS definition.</w:t>
      </w:r>
    </w:p>
    <w:p>
      <w:pPr>
        <w:numPr>
          <w:ilvl w:val="0"/>
          <w:numId w:val="0"/>
        </w:num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4: RE power control dynamic range may needs to be updated since now only OOK modulation is supported at reader side.</w:t>
      </w:r>
    </w:p>
    <w:p>
      <w:pPr>
        <w:numPr>
          <w:ilvl w:val="0"/>
          <w:numId w:val="0"/>
        </w:num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 xml:space="preserve">Proposal 5: total power dynamic range needs to be updated accordingly based on conclusion of channel bandwidth and SCS.  </w:t>
      </w:r>
    </w:p>
    <w:p>
      <w:pPr>
        <w:numPr>
          <w:ilvl w:val="0"/>
          <w:numId w:val="8"/>
        </w:numPr>
        <w:spacing w:after="180"/>
        <w:ind w:left="420" w:leftChars="0" w:hanging="420" w:firstLineChars="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Tx signal quality related requirement</w:t>
      </w:r>
    </w:p>
    <w:p>
      <w:pPr>
        <w:numPr>
          <w:ilvl w:val="0"/>
          <w:numId w:val="0"/>
        </w:numPr>
        <w:spacing w:after="180"/>
        <w:ind w:left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 xml:space="preserve">BS spec define frequency error and signal quality related requirements. </w:t>
      </w:r>
    </w:p>
    <w:p>
      <w:pPr>
        <w:numPr>
          <w:ilvl w:val="0"/>
          <w:numId w:val="0"/>
        </w:numPr>
        <w:spacing w:after="180"/>
        <w:ind w:leftChars="0"/>
        <w:jc w:val="left"/>
        <w:rPr>
          <w:rFonts w:hint="eastAsia"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 xml:space="preserve">For frequency error, UE use absolute frequency ARFCN to identify frequency so frequency error requirement is signicifent and RAN4 define strict level, i.e. 0.05/0.1ppm. For RFID, to enhance spectrum efficiency and reduce interference to other systems, there is also frequency accuracy requirement of reader for multiple and dense interrogator deployment scenario, which is almost in the range from 10ppm to 20ppm. For A-IoT, considering devices will use energy/edge detection to detect reader signal, it seems their is no need for very strict frequency error requirement if assume all A-IoT reader using same spectrum. </w:t>
      </w:r>
    </w:p>
    <w:p>
      <w:pPr>
        <w:numPr>
          <w:ilvl w:val="0"/>
          <w:numId w:val="0"/>
        </w:numPr>
        <w:spacing w:after="180"/>
        <w:ind w:leftChars="0"/>
        <w:jc w:val="left"/>
        <w:rPr>
          <w:rFonts w:hint="eastAsia"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6: current gNB frequency error is enough for reader if assuming no FDM operations between readers.</w:t>
      </w:r>
    </w:p>
    <w:p>
      <w:pPr>
        <w:numPr>
          <w:ilvl w:val="0"/>
          <w:numId w:val="0"/>
        </w:numPr>
        <w:spacing w:after="180"/>
        <w:ind w:leftChars="0"/>
        <w:jc w:val="left"/>
        <w:rPr>
          <w:rFonts w:hint="eastAsia"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But if A-IoT reader support FDM operation and the gap between different carriers is much less, it seems current BS frequency error requirements may need to be more strict. For example, if we assume 180kHz reader carrier bandwidth and miller-modulated subcarrier that backscatterred by device will fully occupy 180KHz carrier. It seems current frequency error may cause interference between readers that using adjacent carriers and are located in close proximity.</w:t>
      </w:r>
    </w:p>
    <w:p>
      <w:pPr>
        <w:numPr>
          <w:ilvl w:val="0"/>
          <w:numId w:val="0"/>
        </w:numPr>
        <w:spacing w:after="180"/>
        <w:ind w:leftChars="0"/>
        <w:jc w:val="center"/>
        <w:rPr>
          <w:rFonts w:hint="eastAsia"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drawing>
          <wp:inline distT="0" distB="0" distL="114300" distR="114300">
            <wp:extent cx="5161280" cy="2760345"/>
            <wp:effectExtent l="0" t="0" r="7620" b="8255"/>
            <wp:docPr id="6" name="图片 6" descr="1723086649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723086649877"/>
                    <pic:cNvPicPr>
                      <a:picLocks noChangeAspect="1"/>
                    </pic:cNvPicPr>
                  </pic:nvPicPr>
                  <pic:blipFill>
                    <a:blip r:embed="rId5"/>
                    <a:stretch>
                      <a:fillRect/>
                    </a:stretch>
                  </pic:blipFill>
                  <pic:spPr>
                    <a:xfrm>
                      <a:off x="0" y="0"/>
                      <a:ext cx="5161280" cy="2760345"/>
                    </a:xfrm>
                    <a:prstGeom prst="rect">
                      <a:avLst/>
                    </a:prstGeom>
                  </pic:spPr>
                </pic:pic>
              </a:graphicData>
            </a:graphic>
          </wp:inline>
        </w:drawing>
      </w:r>
    </w:p>
    <w:p>
      <w:pPr>
        <w:numPr>
          <w:ilvl w:val="0"/>
          <w:numId w:val="0"/>
        </w:numPr>
        <w:spacing w:after="180"/>
        <w:ind w:leftChars="0"/>
        <w:jc w:val="left"/>
        <w:rPr>
          <w:rFonts w:hint="eastAsia"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 xml:space="preserve">Observation 1: if reader support FDM operation and carrier bandwidth is much less, more strict frequency error requirement may be needed. </w:t>
      </w:r>
    </w:p>
    <w:p>
      <w:pPr>
        <w:numPr>
          <w:ilvl w:val="0"/>
          <w:numId w:val="0"/>
        </w:numPr>
        <w:spacing w:after="180"/>
        <w:ind w:left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During evaluation, we don</w:t>
      </w:r>
      <w:r>
        <w:rPr>
          <w:rFonts w:hint="default" w:ascii="Times New Roman" w:hAnsi="Times New Roman"/>
          <w:b w:val="0"/>
          <w:bCs w:val="0"/>
          <w:sz w:val="20"/>
          <w:szCs w:val="20"/>
          <w:highlight w:val="none"/>
          <w:lang w:val="en-US" w:eastAsia="zh-CN"/>
        </w:rPr>
        <w:t>’</w:t>
      </w:r>
      <w:r>
        <w:rPr>
          <w:rFonts w:hint="eastAsia" w:ascii="Times New Roman" w:hAnsi="Times New Roman"/>
          <w:b w:val="0"/>
          <w:bCs w:val="0"/>
          <w:sz w:val="20"/>
          <w:szCs w:val="20"/>
          <w:highlight w:val="none"/>
          <w:lang w:val="en-US" w:eastAsia="zh-CN"/>
        </w:rPr>
        <w:t>t consider the adjacent-carrier interference between A-IoT systems because usually there is only one operator using one carrier in one individual factory deployment scenario. To reduce workload, it</w:t>
      </w:r>
      <w:r>
        <w:rPr>
          <w:rFonts w:hint="default" w:ascii="Times New Roman" w:hAnsi="Times New Roman"/>
          <w:b w:val="0"/>
          <w:bCs w:val="0"/>
          <w:sz w:val="20"/>
          <w:szCs w:val="20"/>
          <w:highlight w:val="none"/>
          <w:lang w:val="en-US" w:eastAsia="zh-CN"/>
        </w:rPr>
        <w:t>’</w:t>
      </w:r>
      <w:r>
        <w:rPr>
          <w:rFonts w:hint="eastAsia" w:ascii="Times New Roman" w:hAnsi="Times New Roman"/>
          <w:b w:val="0"/>
          <w:bCs w:val="0"/>
          <w:sz w:val="20"/>
          <w:szCs w:val="20"/>
          <w:highlight w:val="none"/>
          <w:lang w:val="en-US" w:eastAsia="zh-CN"/>
        </w:rPr>
        <w:t xml:space="preserve">s suggested that we only focus on single carrier operation mode for reader at first and FDM reader operation as low priority. </w:t>
      </w:r>
    </w:p>
    <w:p>
      <w:pPr>
        <w:numPr>
          <w:ilvl w:val="0"/>
          <w:numId w:val="0"/>
        </w:numPr>
        <w:spacing w:after="180"/>
        <w:ind w:leftChars="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7: in RAN4, it</w:t>
      </w:r>
      <w:r>
        <w:rPr>
          <w:rFonts w:hint="default" w:ascii="Times New Roman" w:hAnsi="Times New Roman"/>
          <w:b/>
          <w:bCs/>
          <w:sz w:val="20"/>
          <w:szCs w:val="20"/>
          <w:highlight w:val="none"/>
          <w:lang w:val="en-US" w:eastAsia="zh-CN"/>
        </w:rPr>
        <w:t>’</w:t>
      </w:r>
      <w:r>
        <w:rPr>
          <w:rFonts w:hint="eastAsia" w:ascii="Times New Roman" w:hAnsi="Times New Roman"/>
          <w:b/>
          <w:bCs/>
          <w:sz w:val="20"/>
          <w:szCs w:val="20"/>
          <w:highlight w:val="none"/>
          <w:lang w:val="en-US" w:eastAsia="zh-CN"/>
        </w:rPr>
        <w:t>s suggested to focus on single carrier operation mode for reader at first.</w:t>
      </w:r>
    </w:p>
    <w:p>
      <w:pPr>
        <w:numPr>
          <w:ilvl w:val="0"/>
          <w:numId w:val="0"/>
        </w:numPr>
        <w:spacing w:after="180"/>
        <w:ind w:left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For signal quality related requirements, gNB spec define EVM requirement which is used to evaluate phase distance. For reader Tx, RAN1 support OOK-1 and OOK-4 modulation. So current gNB quality related requirement is not applicable anymore. RFID[1] use three types ASK modulation types, i.e. DSB-ASK, SSB-ASK or PR-ASK and define RF envelop requirement including modulation depth, RF envelop ripple, RF pluswidth etc which can be referred for OOK modulation. Details illustration of RFID RF envelop requirement is listed as below for information.</w:t>
      </w:r>
    </w:p>
    <w:p>
      <w:pPr>
        <w:numPr>
          <w:ilvl w:val="0"/>
          <w:numId w:val="0"/>
        </w:numPr>
        <w:spacing w:after="180"/>
        <w:ind w:leftChars="0"/>
        <w:jc w:val="center"/>
        <w:rPr>
          <w:rFonts w:hint="eastAsia"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drawing>
          <wp:inline distT="0" distB="0" distL="114300" distR="114300">
            <wp:extent cx="4746625" cy="2604135"/>
            <wp:effectExtent l="0" t="0" r="3175" b="12065"/>
            <wp:docPr id="1" name="图片 1" descr="1722409837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22409837540"/>
                    <pic:cNvPicPr>
                      <a:picLocks noChangeAspect="1"/>
                    </pic:cNvPicPr>
                  </pic:nvPicPr>
                  <pic:blipFill>
                    <a:blip r:embed="rId6"/>
                    <a:stretch>
                      <a:fillRect/>
                    </a:stretch>
                  </pic:blipFill>
                  <pic:spPr>
                    <a:xfrm>
                      <a:off x="0" y="0"/>
                      <a:ext cx="4746625" cy="2604135"/>
                    </a:xfrm>
                    <a:prstGeom prst="rect">
                      <a:avLst/>
                    </a:prstGeom>
                  </pic:spPr>
                </pic:pic>
              </a:graphicData>
            </a:graphic>
          </wp:inline>
        </w:drawing>
      </w:r>
    </w:p>
    <w:p>
      <w:pPr>
        <w:numPr>
          <w:ilvl w:val="0"/>
          <w:numId w:val="0"/>
        </w:numPr>
        <w:spacing w:after="180"/>
        <w:ind w:leftChars="0"/>
        <w:jc w:val="center"/>
      </w:pPr>
      <w:r>
        <w:drawing>
          <wp:inline distT="0" distB="0" distL="114300" distR="114300">
            <wp:extent cx="5391150" cy="1525270"/>
            <wp:effectExtent l="0" t="0" r="6350" b="1143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5391150" cy="1525270"/>
                    </a:xfrm>
                    <a:prstGeom prst="rect">
                      <a:avLst/>
                    </a:prstGeom>
                    <a:noFill/>
                    <a:ln>
                      <a:noFill/>
                    </a:ln>
                  </pic:spPr>
                </pic:pic>
              </a:graphicData>
            </a:graphic>
          </wp:inline>
        </w:drawing>
      </w:r>
    </w:p>
    <w:p>
      <w:pPr>
        <w:numPr>
          <w:ilvl w:val="0"/>
          <w:numId w:val="0"/>
        </w:numPr>
        <w:spacing w:after="180"/>
        <w:ind w:leftChars="0"/>
        <w:jc w:val="left"/>
        <w:rPr>
          <w:rFonts w:hint="eastAsia"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Observation 2: RFID spec use RF envelop related parameters to evaluate ASK signal transmission quality requirement, e.g. modulation depth, RF envelop ripple, RF plusewidth etc.</w:t>
      </w:r>
    </w:p>
    <w:p>
      <w:pPr>
        <w:numPr>
          <w:ilvl w:val="0"/>
          <w:numId w:val="0"/>
        </w:numPr>
        <w:spacing w:after="180"/>
        <w:ind w:leftChars="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8: RAN4 could refer to RFID RF envelop related parameters to define signal transmission quality requirement as starting point, i.e. modulation depth, RF envelop ripple, RF plusewidth.</w:t>
      </w:r>
    </w:p>
    <w:p>
      <w:pPr>
        <w:numPr>
          <w:ilvl w:val="0"/>
          <w:numId w:val="8"/>
        </w:numPr>
        <w:spacing w:after="180"/>
        <w:ind w:left="420" w:leftChars="0" w:hanging="420" w:firstLineChars="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Tx time related requirement</w:t>
      </w:r>
    </w:p>
    <w:p>
      <w:pPr>
        <w:numPr>
          <w:ilvl w:val="0"/>
          <w:numId w:val="0"/>
        </w:numPr>
        <w:spacing w:after="180"/>
        <w:ind w:leftChars="0"/>
        <w:jc w:val="left"/>
        <w:rPr>
          <w:rFonts w:hint="eastAsia"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RFID also define Tx time related requirement, e.g. rise time, settling time, fall time.</w:t>
      </w:r>
    </w:p>
    <w:p>
      <w:pPr>
        <w:numPr>
          <w:ilvl w:val="0"/>
          <w:numId w:val="9"/>
        </w:numPr>
        <w:spacing w:after="180"/>
        <w:ind w:left="516" w:leftChars="0" w:hanging="360" w:firstLine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Rise time: the time periodicity of power-up envelop from 10% point rising monotonically to 90% point.</w:t>
      </w:r>
    </w:p>
    <w:p>
      <w:pPr>
        <w:numPr>
          <w:ilvl w:val="0"/>
          <w:numId w:val="9"/>
        </w:numPr>
        <w:spacing w:after="180"/>
        <w:ind w:left="516" w:leftChars="0" w:hanging="360" w:firstLine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Fall time: the time periodicity of power-down envelop from 90% point falling monotonically to 10% point.</w:t>
      </w:r>
    </w:p>
    <w:p>
      <w:pPr>
        <w:numPr>
          <w:ilvl w:val="0"/>
          <w:numId w:val="9"/>
        </w:numPr>
        <w:spacing w:after="180"/>
        <w:ind w:left="516" w:leftChars="0" w:hanging="360" w:firstLine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Settling time: the time periodicity of power-up envelop rise from 90% point until at least the ripple limit M</w:t>
      </w:r>
      <w:r>
        <w:rPr>
          <w:rFonts w:hint="eastAsia" w:ascii="Times New Roman" w:hAnsi="Times New Roman"/>
          <w:b w:val="0"/>
          <w:bCs w:val="0"/>
          <w:sz w:val="20"/>
          <w:szCs w:val="20"/>
          <w:highlight w:val="none"/>
          <w:vertAlign w:val="subscript"/>
          <w:lang w:val="en-US" w:eastAsia="zh-CN"/>
        </w:rPr>
        <w:t xml:space="preserve">I. </w:t>
      </w:r>
      <w:r>
        <w:rPr>
          <w:rFonts w:hint="eastAsia" w:ascii="Times New Roman" w:hAnsi="Times New Roman"/>
          <w:b w:val="0"/>
          <w:bCs w:val="0"/>
          <w:sz w:val="20"/>
          <w:szCs w:val="20"/>
          <w:highlight w:val="none"/>
          <w:vertAlign w:val="baseline"/>
          <w:lang w:val="en-US" w:eastAsia="zh-CN"/>
        </w:rPr>
        <w:t>the 90% point is rising monotonically from 10% point. During the whole settling time, envelop should not fall below the 90% max filed strength.</w:t>
      </w:r>
    </w:p>
    <w:p>
      <w:pPr>
        <w:numPr>
          <w:ilvl w:val="0"/>
          <w:numId w:val="0"/>
        </w:numPr>
        <w:spacing w:after="180"/>
        <w:ind w:leftChars="0"/>
        <w:jc w:val="center"/>
        <w:rPr>
          <w:rFonts w:hint="eastAsia" w:eastAsia="宋体"/>
          <w:lang w:val="en-US" w:eastAsia="zh-CN"/>
        </w:rPr>
      </w:pPr>
      <w:r>
        <w:rPr>
          <w:rFonts w:hint="eastAsia" w:eastAsia="宋体"/>
          <w:lang w:val="en-US" w:eastAsia="zh-CN"/>
        </w:rPr>
        <w:drawing>
          <wp:inline distT="0" distB="0" distL="114300" distR="114300">
            <wp:extent cx="3206115" cy="1649730"/>
            <wp:effectExtent l="0" t="0" r="6985" b="1270"/>
            <wp:docPr id="3" name="图片 3" descr="1722409925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22409925985"/>
                    <pic:cNvPicPr>
                      <a:picLocks noChangeAspect="1"/>
                    </pic:cNvPicPr>
                  </pic:nvPicPr>
                  <pic:blipFill>
                    <a:blip r:embed="rId8"/>
                    <a:stretch>
                      <a:fillRect/>
                    </a:stretch>
                  </pic:blipFill>
                  <pic:spPr>
                    <a:xfrm>
                      <a:off x="0" y="0"/>
                      <a:ext cx="3206115" cy="1649730"/>
                    </a:xfrm>
                    <a:prstGeom prst="rect">
                      <a:avLst/>
                    </a:prstGeom>
                  </pic:spPr>
                </pic:pic>
              </a:graphicData>
            </a:graphic>
          </wp:inline>
        </w:drawing>
      </w:r>
    </w:p>
    <w:p>
      <w:pPr>
        <w:numPr>
          <w:ilvl w:val="0"/>
          <w:numId w:val="0"/>
        </w:numPr>
        <w:spacing w:after="180"/>
        <w:ind w:leftChars="0"/>
        <w:jc w:val="center"/>
        <w:rPr>
          <w:rFonts w:hint="eastAsia" w:eastAsia="宋体"/>
          <w:lang w:val="en-US" w:eastAsia="zh-CN"/>
        </w:rPr>
      </w:pPr>
      <w:r>
        <w:rPr>
          <w:rFonts w:hint="eastAsia" w:eastAsia="宋体"/>
          <w:lang w:val="en-US" w:eastAsia="zh-CN"/>
        </w:rPr>
        <w:drawing>
          <wp:inline distT="0" distB="0" distL="114300" distR="114300">
            <wp:extent cx="4457700" cy="1464945"/>
            <wp:effectExtent l="0" t="0" r="0" b="8255"/>
            <wp:docPr id="4" name="图片 4" descr="1722409958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22409958944"/>
                    <pic:cNvPicPr>
                      <a:picLocks noChangeAspect="1"/>
                    </pic:cNvPicPr>
                  </pic:nvPicPr>
                  <pic:blipFill>
                    <a:blip r:embed="rId9"/>
                    <a:stretch>
                      <a:fillRect/>
                    </a:stretch>
                  </pic:blipFill>
                  <pic:spPr>
                    <a:xfrm>
                      <a:off x="0" y="0"/>
                      <a:ext cx="4457700" cy="1464945"/>
                    </a:xfrm>
                    <a:prstGeom prst="rect">
                      <a:avLst/>
                    </a:prstGeom>
                  </pic:spPr>
                </pic:pic>
              </a:graphicData>
            </a:graphic>
          </wp:inline>
        </w:drawing>
      </w:r>
    </w:p>
    <w:p>
      <w:pPr>
        <w:numPr>
          <w:ilvl w:val="0"/>
          <w:numId w:val="0"/>
        </w:numPr>
        <w:spacing w:after="180"/>
        <w:ind w:leftChars="0"/>
        <w:jc w:val="center"/>
        <w:rPr>
          <w:rFonts w:hint="eastAsia" w:eastAsia="宋体"/>
          <w:lang w:val="en-US" w:eastAsia="zh-CN"/>
        </w:rPr>
      </w:pPr>
      <w:r>
        <w:rPr>
          <w:rFonts w:hint="eastAsia" w:eastAsia="宋体"/>
          <w:lang w:val="en-US" w:eastAsia="zh-CN"/>
        </w:rPr>
        <w:drawing>
          <wp:inline distT="0" distB="0" distL="114300" distR="114300">
            <wp:extent cx="4189730" cy="1185545"/>
            <wp:effectExtent l="0" t="0" r="1270" b="8255"/>
            <wp:docPr id="5" name="图片 5" descr="1722503473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722503473738"/>
                    <pic:cNvPicPr>
                      <a:picLocks noChangeAspect="1"/>
                    </pic:cNvPicPr>
                  </pic:nvPicPr>
                  <pic:blipFill>
                    <a:blip r:embed="rId10"/>
                    <a:stretch>
                      <a:fillRect/>
                    </a:stretch>
                  </pic:blipFill>
                  <pic:spPr>
                    <a:xfrm>
                      <a:off x="0" y="0"/>
                      <a:ext cx="4189730" cy="1185545"/>
                    </a:xfrm>
                    <a:prstGeom prst="rect">
                      <a:avLst/>
                    </a:prstGeom>
                  </pic:spPr>
                </pic:pic>
              </a:graphicData>
            </a:graphic>
          </wp:inline>
        </w:drawing>
      </w:r>
    </w:p>
    <w:p>
      <w:pPr>
        <w:numPr>
          <w:ilvl w:val="0"/>
          <w:numId w:val="0"/>
        </w:numPr>
        <w:spacing w:after="180"/>
        <w:ind w:left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BS spec defines transient period which is much like rise time and fall time requirements as in RFID spec. Besides, RFID also defines settling time to evaluate signal ripple characteristics. reader support OOK signal which is much like the ASK modulated signal as in RFID spec. It</w:t>
      </w:r>
      <w:r>
        <w:rPr>
          <w:rFonts w:hint="default" w:ascii="Times New Roman" w:hAnsi="Times New Roman"/>
          <w:b w:val="0"/>
          <w:bCs w:val="0"/>
          <w:sz w:val="20"/>
          <w:szCs w:val="20"/>
          <w:highlight w:val="none"/>
          <w:lang w:val="en-US" w:eastAsia="zh-CN"/>
        </w:rPr>
        <w:t>’</w:t>
      </w:r>
      <w:r>
        <w:rPr>
          <w:rFonts w:hint="eastAsia" w:ascii="Times New Roman" w:hAnsi="Times New Roman"/>
          <w:b w:val="0"/>
          <w:bCs w:val="0"/>
          <w:sz w:val="20"/>
          <w:szCs w:val="20"/>
          <w:highlight w:val="none"/>
          <w:lang w:val="en-US" w:eastAsia="zh-CN"/>
        </w:rPr>
        <w:t>s suggested to further check whether the settling time as in RFID spec is needed or not.</w:t>
      </w:r>
    </w:p>
    <w:p>
      <w:pPr>
        <w:numPr>
          <w:ilvl w:val="0"/>
          <w:numId w:val="0"/>
        </w:numPr>
        <w:spacing w:after="180"/>
        <w:ind w:leftChars="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9: it</w:t>
      </w:r>
      <w:r>
        <w:rPr>
          <w:rFonts w:hint="default" w:ascii="Times New Roman" w:hAnsi="Times New Roman"/>
          <w:b/>
          <w:bCs/>
          <w:sz w:val="20"/>
          <w:szCs w:val="20"/>
          <w:highlight w:val="none"/>
          <w:lang w:val="en-US" w:eastAsia="zh-CN"/>
        </w:rPr>
        <w:t>’</w:t>
      </w:r>
      <w:r>
        <w:rPr>
          <w:rFonts w:hint="eastAsia" w:ascii="Times New Roman" w:hAnsi="Times New Roman"/>
          <w:b/>
          <w:bCs/>
          <w:sz w:val="20"/>
          <w:szCs w:val="20"/>
          <w:highlight w:val="none"/>
          <w:lang w:val="en-US" w:eastAsia="zh-CN"/>
        </w:rPr>
        <w:t>s suggested to define transient period related requirements for A-IoT reader. Details value can refer to RFID rise/fall time.</w:t>
      </w:r>
    </w:p>
    <w:p>
      <w:pPr>
        <w:numPr>
          <w:ilvl w:val="0"/>
          <w:numId w:val="0"/>
        </w:numPr>
        <w:spacing w:after="180"/>
        <w:ind w:leftChars="0"/>
        <w:jc w:val="left"/>
        <w:rPr>
          <w:rFonts w:hint="eastAsia"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10: RAN4 further discuss whether settling time as defined in RFID spec is needed or not to evaluate RF envelop ripple characteristics.</w:t>
      </w:r>
    </w:p>
    <w:p>
      <w:pPr>
        <w:numPr>
          <w:ilvl w:val="0"/>
          <w:numId w:val="8"/>
        </w:numPr>
        <w:spacing w:after="180"/>
        <w:ind w:left="420" w:leftChars="0" w:hanging="420" w:firstLine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Unwanted emission related requirement</w:t>
      </w:r>
    </w:p>
    <w:p>
      <w:pPr>
        <w:numPr>
          <w:ilvl w:val="0"/>
          <w:numId w:val="0"/>
        </w:numPr>
        <w:spacing w:after="180"/>
        <w:ind w:leftChars="0"/>
        <w:jc w:val="left"/>
        <w:rPr>
          <w:rFonts w:hint="eastAsia"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It</w:t>
      </w:r>
      <w:r>
        <w:rPr>
          <w:rFonts w:hint="default" w:ascii="Times New Roman" w:hAnsi="Times New Roman"/>
          <w:b w:val="0"/>
          <w:bCs w:val="0"/>
          <w:sz w:val="20"/>
          <w:szCs w:val="20"/>
          <w:highlight w:val="none"/>
          <w:lang w:val="en-US" w:eastAsia="zh-CN"/>
        </w:rPr>
        <w:t>’</w:t>
      </w:r>
      <w:r>
        <w:rPr>
          <w:rFonts w:hint="eastAsia" w:ascii="Times New Roman" w:hAnsi="Times New Roman"/>
          <w:b w:val="0"/>
          <w:bCs w:val="0"/>
          <w:sz w:val="20"/>
          <w:szCs w:val="20"/>
          <w:highlight w:val="none"/>
          <w:lang w:val="en-US" w:eastAsia="zh-CN"/>
        </w:rPr>
        <w:t>s noted current evaluation only focus on single RAT case, i.e. A-IoT BS and existing NR BS doesn</w:t>
      </w:r>
      <w:r>
        <w:rPr>
          <w:rFonts w:hint="default" w:ascii="Times New Roman" w:hAnsi="Times New Roman"/>
          <w:b w:val="0"/>
          <w:bCs w:val="0"/>
          <w:sz w:val="20"/>
          <w:szCs w:val="20"/>
          <w:highlight w:val="none"/>
          <w:lang w:val="en-US" w:eastAsia="zh-CN"/>
        </w:rPr>
        <w:t>’</w:t>
      </w:r>
      <w:r>
        <w:rPr>
          <w:rFonts w:hint="eastAsia" w:ascii="Times New Roman" w:hAnsi="Times New Roman"/>
          <w:b w:val="0"/>
          <w:bCs w:val="0"/>
          <w:sz w:val="20"/>
          <w:szCs w:val="20"/>
          <w:highlight w:val="none"/>
          <w:lang w:val="en-US" w:eastAsia="zh-CN"/>
        </w:rPr>
        <w:t>t share the same hardware case. This is much like the standalone mode of NB-IoT. If RAN4 finally approve A-IoT support multi-RAT, IBE equivalent requirement needs to be defined.</w:t>
      </w:r>
    </w:p>
    <w:p>
      <w:pPr>
        <w:numPr>
          <w:ilvl w:val="0"/>
          <w:numId w:val="0"/>
        </w:numPr>
        <w:spacing w:after="180"/>
        <w:ind w:leftChars="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11: if finally approve that A-IoT reader support multiple-RAT, IBE equivalent requirement needs to be defined.</w:t>
      </w:r>
    </w:p>
    <w:p>
      <w:pPr>
        <w:numPr>
          <w:ilvl w:val="0"/>
          <w:numId w:val="0"/>
        </w:numPr>
        <w:spacing w:after="180"/>
        <w:ind w:leftChars="0"/>
        <w:jc w:val="left"/>
        <w:rPr>
          <w:rFonts w:hint="eastAsia"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For unwanted emission related requirement, this could be concluded based on co-existence simulation. For spurious emission, it seems we can reuse current gNB requirements.</w:t>
      </w:r>
    </w:p>
    <w:p>
      <w:pPr>
        <w:numPr>
          <w:ilvl w:val="0"/>
          <w:numId w:val="0"/>
        </w:numPr>
        <w:spacing w:after="180"/>
        <w:ind w:leftChars="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12: unwanted emission related requirements are based on co-existence evaluation. For spurious emission related requirements, it seems reasonable to reuse current gNB requirements.</w:t>
      </w:r>
    </w:p>
    <w:p>
      <w:pPr>
        <w:pStyle w:val="4"/>
        <w:spacing w:before="156" w:after="156"/>
        <w:rPr>
          <w:rFonts w:hint="default" w:eastAsia="Arial Unicode MS"/>
          <w:lang w:val="en-US" w:eastAsia="zh-CN"/>
        </w:rPr>
      </w:pPr>
      <w:r>
        <w:rPr>
          <w:rFonts w:hint="eastAsia"/>
        </w:rPr>
        <w:t>2.</w:t>
      </w:r>
      <w:r>
        <w:rPr>
          <w:rFonts w:hint="eastAsia"/>
          <w:lang w:val="en-US" w:eastAsia="zh-CN"/>
        </w:rPr>
        <w:t>2</w:t>
      </w:r>
      <w:r>
        <w:rPr>
          <w:rFonts w:hint="eastAsia"/>
        </w:rPr>
        <w:t xml:space="preserve"> A-IoT </w:t>
      </w:r>
      <w:r>
        <w:rPr>
          <w:rFonts w:hint="eastAsia"/>
          <w:lang w:val="en-US" w:eastAsia="zh-CN"/>
        </w:rPr>
        <w:t>BS Rx requirement</w:t>
      </w:r>
    </w:p>
    <w:p>
      <w:pPr>
        <w:spacing w:after="18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Last meeting agreements are listed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rFonts w:hint="default" w:ascii="Times New Roman" w:hAnsi="Times New Roman" w:cs="Times New Roman"/>
                <w:sz w:val="20"/>
                <w:szCs w:val="20"/>
                <w:lang w:val="sv-SE" w:eastAsia="zh-CN"/>
              </w:rPr>
            </w:pPr>
            <w:r>
              <w:rPr>
                <w:rFonts w:hint="default" w:ascii="Times New Roman" w:hAnsi="Times New Roman" w:cs="Times New Roman"/>
                <w:sz w:val="20"/>
                <w:szCs w:val="20"/>
                <w:lang w:val="sv-SE" w:eastAsia="zh-CN"/>
              </w:rPr>
              <w:t>Agreement:</w:t>
            </w:r>
          </w:p>
          <w:p>
            <w:pPr>
              <w:pStyle w:val="25"/>
              <w:numPr>
                <w:ilvl w:val="0"/>
                <w:numId w:val="3"/>
              </w:numPr>
              <w:spacing w:before="120" w:line="240" w:lineRule="auto"/>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Use the following table as starting point for RF requirements impact study. The table is for information.</w:t>
            </w:r>
          </w:p>
          <w:tbl>
            <w:tblPr>
              <w:tblStyle w:val="17"/>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3544"/>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9634" w:type="dxa"/>
                  <w:gridSpan w:val="3"/>
                </w:tcPr>
                <w:p>
                  <w:pPr>
                    <w:overflowPunct w:val="0"/>
                    <w:autoSpaceDE w:val="0"/>
                    <w:autoSpaceDN w:val="0"/>
                    <w:adjustRightInd w:val="0"/>
                    <w:spacing w:before="120" w:line="280" w:lineRule="atLeast"/>
                    <w:jc w:val="center"/>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b/>
                      <w:bCs/>
                      <w:sz w:val="20"/>
                      <w:szCs w:val="20"/>
                    </w:rPr>
                    <w:t>RF Requirement for A</w:t>
                  </w:r>
                  <w:r>
                    <w:rPr>
                      <w:rFonts w:hint="default" w:ascii="Times New Roman" w:hAnsi="Times New Roman" w:cs="Times New Roman" w:eastAsiaTheme="minorEastAsia"/>
                      <w:b/>
                      <w:bCs/>
                      <w:sz w:val="20"/>
                      <w:szCs w:val="20"/>
                      <w:lang w:eastAsia="zh-CN"/>
                    </w:rPr>
                    <w:t>-</w:t>
                  </w:r>
                  <w:r>
                    <w:rPr>
                      <w:rFonts w:hint="default" w:ascii="Times New Roman" w:hAnsi="Times New Roman" w:eastAsia="Yu Mincho" w:cs="Times New Roman"/>
                      <w:b/>
                      <w:bCs/>
                      <w:sz w:val="20"/>
                      <w:szCs w:val="20"/>
                    </w:rPr>
                    <w:t>IoT BS- RX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838" w:type="dxa"/>
                  <w:vMerge w:val="restart"/>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RX requirement</w:t>
                  </w:r>
                </w:p>
              </w:tc>
              <w:tc>
                <w:tcPr>
                  <w:tcW w:w="3544"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Reference sensitivity </w:t>
                  </w:r>
                </w:p>
              </w:tc>
              <w:tc>
                <w:tcPr>
                  <w:tcW w:w="4252"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1838"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c>
                <w:tcPr>
                  <w:tcW w:w="3544"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Dynamic range </w:t>
                  </w:r>
                </w:p>
              </w:tc>
              <w:tc>
                <w:tcPr>
                  <w:tcW w:w="4252"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838"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c>
                <w:tcPr>
                  <w:tcW w:w="3544"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In-channel selectivity</w:t>
                  </w:r>
                </w:p>
              </w:tc>
              <w:tc>
                <w:tcPr>
                  <w:tcW w:w="4252"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1838"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c>
                <w:tcPr>
                  <w:tcW w:w="3544"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Adjacent Channel Selectivity</w:t>
                  </w:r>
                </w:p>
              </w:tc>
              <w:tc>
                <w:tcPr>
                  <w:tcW w:w="4252"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1838"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c>
                <w:tcPr>
                  <w:tcW w:w="3544"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In-band blocking</w:t>
                  </w:r>
                </w:p>
              </w:tc>
              <w:tc>
                <w:tcPr>
                  <w:tcW w:w="4252"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1838"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c>
                <w:tcPr>
                  <w:tcW w:w="3544"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Out-of-band blocking</w:t>
                  </w:r>
                </w:p>
              </w:tc>
              <w:tc>
                <w:tcPr>
                  <w:tcW w:w="4252"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1838"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c>
                <w:tcPr>
                  <w:tcW w:w="3544"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Receiver intermodulation</w:t>
                  </w:r>
                </w:p>
              </w:tc>
              <w:tc>
                <w:tcPr>
                  <w:tcW w:w="4252"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1838"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c>
                <w:tcPr>
                  <w:tcW w:w="3544"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Narrowband intermodulation</w:t>
                  </w:r>
                </w:p>
              </w:tc>
              <w:tc>
                <w:tcPr>
                  <w:tcW w:w="4252"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1838"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c>
                <w:tcPr>
                  <w:tcW w:w="3544"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Rx spurious emission</w:t>
                  </w:r>
                </w:p>
              </w:tc>
              <w:tc>
                <w:tcPr>
                  <w:tcW w:w="4252"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838" w:type="dxa"/>
                  <w:vMerge w:val="continue"/>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c>
                <w:tcPr>
                  <w:tcW w:w="3544"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Receiver intermodulation</w:t>
                  </w:r>
                </w:p>
              </w:tc>
              <w:tc>
                <w:tcPr>
                  <w:tcW w:w="4252" w:type="dxa"/>
                </w:tcPr>
                <w:p>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p>
              </w:tc>
            </w:tr>
          </w:tbl>
          <w:p>
            <w:pPr>
              <w:spacing w:before="120" w:after="180" w:line="280" w:lineRule="atLeast"/>
              <w:jc w:val="left"/>
              <w:rPr>
                <w:rFonts w:hint="default" w:ascii="Times New Roman" w:hAnsi="Times New Roman" w:cs="Times New Roman"/>
                <w:b/>
                <w:bCs/>
                <w:sz w:val="20"/>
                <w:szCs w:val="20"/>
                <w:vertAlign w:val="baseline"/>
              </w:rPr>
            </w:pPr>
          </w:p>
        </w:tc>
      </w:tr>
    </w:tbl>
    <w:p>
      <w:pPr>
        <w:spacing w:after="180"/>
        <w:jc w:val="left"/>
        <w:rPr>
          <w:rFonts w:hint="eastAsia" w:ascii="Times New Roman" w:hAnsi="Times New Roman"/>
          <w:b/>
          <w:bCs/>
          <w:sz w:val="20"/>
          <w:szCs w:val="20"/>
        </w:rPr>
      </w:pPr>
    </w:p>
    <w:p>
      <w:pPr>
        <w:numPr>
          <w:ilvl w:val="0"/>
          <w:numId w:val="10"/>
        </w:numPr>
        <w:spacing w:after="180"/>
        <w:jc w:val="left"/>
        <w:rPr>
          <w:rFonts w:ascii="Times New Roman" w:hAnsi="Times New Roman"/>
          <w:sz w:val="20"/>
          <w:szCs w:val="20"/>
        </w:rPr>
      </w:pPr>
      <w:r>
        <w:rPr>
          <w:rFonts w:hint="eastAsia" w:ascii="Times New Roman" w:hAnsi="Times New Roman"/>
          <w:sz w:val="20"/>
          <w:szCs w:val="20"/>
        </w:rPr>
        <w:t>Self-interference issue</w:t>
      </w:r>
    </w:p>
    <w:p>
      <w:pPr>
        <w:spacing w:after="180"/>
        <w:jc w:val="left"/>
        <w:rPr>
          <w:rFonts w:ascii="Times New Roman" w:hAnsi="Times New Roman"/>
          <w:sz w:val="20"/>
          <w:szCs w:val="20"/>
        </w:rPr>
      </w:pPr>
      <w:r>
        <w:rPr>
          <w:rFonts w:hint="eastAsia" w:ascii="Times New Roman" w:hAnsi="Times New Roman"/>
          <w:sz w:val="20"/>
          <w:szCs w:val="20"/>
        </w:rPr>
        <w:t>Whether CW uses DL or UL spectrum, self-interference occurs from CW to reader receiver. For the CW inside topology, we can use REFSENSE to reflect residual self-interference.</w:t>
      </w:r>
      <w:r>
        <w:rPr>
          <w:rFonts w:hint="eastAsia"/>
        </w:rPr>
        <w:t xml:space="preserve"> </w:t>
      </w:r>
      <w:r>
        <w:rPr>
          <w:rFonts w:hint="eastAsia" w:ascii="Times New Roman" w:hAnsi="Times New Roman"/>
          <w:sz w:val="20"/>
          <w:szCs w:val="20"/>
        </w:rPr>
        <w:t xml:space="preserve">Usually we assume 1dB REFSENSE desense for SBFD, but for A-IoT, the interference is the CW signal with single tone or multi-tone. the interference bandwidth is very narrow and this will lead following issue. </w:t>
      </w:r>
    </w:p>
    <w:p>
      <w:pPr>
        <w:numPr>
          <w:ilvl w:val="0"/>
          <w:numId w:val="11"/>
        </w:numPr>
        <w:spacing w:after="180"/>
        <w:jc w:val="left"/>
        <w:rPr>
          <w:rFonts w:ascii="Times New Roman" w:hAnsi="Times New Roman"/>
          <w:sz w:val="20"/>
          <w:szCs w:val="20"/>
        </w:rPr>
      </w:pPr>
      <w:r>
        <w:rPr>
          <w:rFonts w:hint="eastAsia" w:ascii="Times New Roman" w:hAnsi="Times New Roman"/>
          <w:sz w:val="20"/>
          <w:szCs w:val="20"/>
        </w:rPr>
        <w:t>how to evaluate the REFSENSE desense especially when the interference bandwidth is such narrow, i.e. whether 1dB desense is still applicable or not</w:t>
      </w:r>
    </w:p>
    <w:p>
      <w:pPr>
        <w:spacing w:after="180"/>
        <w:jc w:val="left"/>
        <w:rPr>
          <w:rFonts w:ascii="Times New Roman" w:hAnsi="Times New Roman"/>
          <w:b/>
          <w:bCs/>
          <w:sz w:val="20"/>
          <w:szCs w:val="20"/>
        </w:rPr>
      </w:pPr>
      <w:r>
        <w:rPr>
          <w:rFonts w:hint="eastAsia" w:ascii="Times New Roman" w:hAnsi="Times New Roman"/>
          <w:b/>
          <w:bCs/>
          <w:sz w:val="20"/>
          <w:szCs w:val="20"/>
        </w:rPr>
        <w:t xml:space="preserve">Observation </w:t>
      </w:r>
      <w:r>
        <w:rPr>
          <w:rFonts w:hint="eastAsia" w:ascii="Times New Roman" w:hAnsi="Times New Roman"/>
          <w:b/>
          <w:bCs/>
          <w:sz w:val="20"/>
          <w:szCs w:val="20"/>
          <w:lang w:val="en-US" w:eastAsia="zh-CN"/>
        </w:rPr>
        <w:t>3</w:t>
      </w:r>
      <w:r>
        <w:rPr>
          <w:rFonts w:hint="eastAsia" w:ascii="Times New Roman" w:hAnsi="Times New Roman"/>
          <w:b/>
          <w:bCs/>
          <w:sz w:val="20"/>
          <w:szCs w:val="20"/>
        </w:rPr>
        <w:t>: due to very narrow bandwidth of CW interference signal, RAN4 needs to further discuss whether 1dB desense self-interference cancellation target is still applicable or not.</w:t>
      </w:r>
    </w:p>
    <w:p>
      <w:pPr>
        <w:spacing w:after="180"/>
        <w:jc w:val="left"/>
        <w:rPr>
          <w:rFonts w:ascii="Times New Roman" w:hAnsi="Times New Roman"/>
          <w:sz w:val="20"/>
          <w:szCs w:val="20"/>
        </w:rPr>
      </w:pPr>
      <w:r>
        <w:rPr>
          <w:rFonts w:hint="eastAsia" w:ascii="Times New Roman" w:hAnsi="Times New Roman"/>
          <w:sz w:val="20"/>
          <w:szCs w:val="20"/>
        </w:rPr>
        <w:t>When CW is outside the topology, additional spatial isolation will contribute to even less self-interference and the final residual self-interference may be negligible. But as analyzed, final residual self-interference is related to spatial isolation between CW and reader, RAN4 may needs some typical assumption before conclude whether to/how to reflect self-interference for outside topology scenario.</w:t>
      </w:r>
    </w:p>
    <w:p>
      <w:pPr>
        <w:spacing w:after="180"/>
        <w:jc w:val="left"/>
        <w:rPr>
          <w:rFonts w:hint="eastAsia" w:ascii="Times New Roman" w:hAnsi="Times New Roman"/>
          <w:b/>
          <w:bCs/>
          <w:sz w:val="20"/>
          <w:szCs w:val="20"/>
        </w:rPr>
      </w:pPr>
      <w:r>
        <w:rPr>
          <w:rFonts w:hint="eastAsia" w:ascii="Times New Roman" w:hAnsi="Times New Roman"/>
          <w:b/>
          <w:bCs/>
          <w:sz w:val="20"/>
          <w:szCs w:val="20"/>
        </w:rPr>
        <w:t xml:space="preserve">Observation </w:t>
      </w:r>
      <w:r>
        <w:rPr>
          <w:rFonts w:hint="eastAsia" w:ascii="Times New Roman" w:hAnsi="Times New Roman"/>
          <w:b/>
          <w:bCs/>
          <w:sz w:val="20"/>
          <w:szCs w:val="20"/>
          <w:lang w:val="en-US" w:eastAsia="zh-CN"/>
        </w:rPr>
        <w:t>4</w:t>
      </w:r>
      <w:r>
        <w:rPr>
          <w:rFonts w:hint="eastAsia" w:ascii="Times New Roman" w:hAnsi="Times New Roman"/>
          <w:b/>
          <w:bCs/>
          <w:sz w:val="20"/>
          <w:szCs w:val="20"/>
        </w:rPr>
        <w:t>: for CW outside topology, RAN4 needs some typical spatial isolation assumption before conclude whether to/ how to reflect self-interference by RF requirements.</w:t>
      </w:r>
    </w:p>
    <w:p>
      <w:pPr>
        <w:numPr>
          <w:ilvl w:val="0"/>
          <w:numId w:val="12"/>
        </w:numPr>
        <w:spacing w:after="180"/>
        <w:ind w:left="420" w:leftChars="0" w:hanging="420" w:firstLineChars="0"/>
        <w:jc w:val="left"/>
        <w:rPr>
          <w:rFonts w:hint="eastAsia" w:ascii="Times New Roman" w:hAnsi="Times New Roman"/>
          <w:b/>
          <w:bCs/>
          <w:sz w:val="20"/>
          <w:szCs w:val="20"/>
        </w:rPr>
      </w:pPr>
      <w:r>
        <w:rPr>
          <w:rFonts w:hint="eastAsia" w:ascii="Times New Roman" w:hAnsi="Times New Roman"/>
          <w:b/>
          <w:bCs/>
          <w:sz w:val="20"/>
          <w:szCs w:val="20"/>
          <w:lang w:val="en-US" w:eastAsia="zh-CN"/>
        </w:rPr>
        <w:t>ICS/ACS</w:t>
      </w:r>
    </w:p>
    <w:p>
      <w:pPr>
        <w:numPr>
          <w:ilvl w:val="0"/>
          <w:numId w:val="0"/>
        </w:numPr>
        <w:spacing w:after="180"/>
        <w:ind w:left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Same as unwanted emission requirement, if RAN4 finally approve A-IoT support multi-RAT, ICS equivalent requirement needs to be defined. Besides, if device support FDM operation, ICS requirement is also needed at reader side.</w:t>
      </w:r>
    </w:p>
    <w:p>
      <w:pPr>
        <w:numPr>
          <w:ilvl w:val="0"/>
          <w:numId w:val="0"/>
        </w:numPr>
        <w:spacing w:after="180"/>
        <w:ind w:leftChars="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13: ICS requirement is needed if reader support multi-RAT or device support FDM operation.</w:t>
      </w:r>
    </w:p>
    <w:p>
      <w:pPr>
        <w:numPr>
          <w:ilvl w:val="0"/>
          <w:numId w:val="0"/>
        </w:numPr>
        <w:spacing w:after="180"/>
        <w:ind w:leftChars="0"/>
        <w:jc w:val="left"/>
        <w:rPr>
          <w:rFonts w:hint="eastAsia"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 xml:space="preserve">Current co-existence evaluation focus on single RAT case, so ACS requirement could be concluded based on final co-existence evaluation. </w:t>
      </w:r>
    </w:p>
    <w:p>
      <w:pPr>
        <w:numPr>
          <w:ilvl w:val="0"/>
          <w:numId w:val="0"/>
        </w:numPr>
        <w:spacing w:after="180"/>
        <w:ind w:leftChars="0"/>
        <w:jc w:val="left"/>
        <w:rPr>
          <w:rFonts w:hint="default" w:ascii="Times New Roman" w:hAnsi="Times New Roman"/>
          <w:b/>
          <w:bCs/>
          <w:sz w:val="20"/>
          <w:szCs w:val="20"/>
          <w:lang w:val="en-US"/>
        </w:rPr>
      </w:pPr>
      <w:r>
        <w:rPr>
          <w:rFonts w:hint="eastAsia" w:ascii="Times New Roman" w:hAnsi="Times New Roman"/>
          <w:b/>
          <w:bCs/>
          <w:sz w:val="20"/>
          <w:szCs w:val="20"/>
          <w:highlight w:val="none"/>
          <w:lang w:val="en-US" w:eastAsia="zh-CN"/>
        </w:rPr>
        <w:t>Proposal 14: ACS requirement is based on co-existence evaluation for single RAT scenario, i.e. existing gNB and reader doesn</w:t>
      </w:r>
      <w:r>
        <w:rPr>
          <w:rFonts w:hint="default" w:ascii="Times New Roman" w:hAnsi="Times New Roman"/>
          <w:b/>
          <w:bCs/>
          <w:sz w:val="20"/>
          <w:szCs w:val="20"/>
          <w:highlight w:val="none"/>
          <w:lang w:val="en-US" w:eastAsia="zh-CN"/>
        </w:rPr>
        <w:t>’</w:t>
      </w:r>
      <w:r>
        <w:rPr>
          <w:rFonts w:hint="eastAsia" w:ascii="Times New Roman" w:hAnsi="Times New Roman"/>
          <w:b/>
          <w:bCs/>
          <w:sz w:val="20"/>
          <w:szCs w:val="20"/>
          <w:highlight w:val="none"/>
          <w:lang w:val="en-US" w:eastAsia="zh-CN"/>
        </w:rPr>
        <w:t>t share same hardware scenario.</w:t>
      </w:r>
    </w:p>
    <w:p>
      <w:pPr>
        <w:numPr>
          <w:ilvl w:val="0"/>
          <w:numId w:val="13"/>
        </w:numPr>
        <w:spacing w:after="180"/>
        <w:jc w:val="left"/>
        <w:rPr>
          <w:rFonts w:ascii="Times New Roman" w:hAnsi="Times New Roman"/>
          <w:sz w:val="20"/>
          <w:szCs w:val="20"/>
        </w:rPr>
      </w:pPr>
      <w:r>
        <w:rPr>
          <w:rFonts w:ascii="Times New Roman" w:hAnsi="Times New Roman"/>
          <w:sz w:val="20"/>
          <w:szCs w:val="20"/>
        </w:rPr>
        <w:t>IMD product for multiple-tone CW when define Rx requirements for reader</w:t>
      </w:r>
    </w:p>
    <w:p>
      <w:pPr>
        <w:spacing w:after="180"/>
        <w:jc w:val="left"/>
        <w:rPr>
          <w:rFonts w:hint="default" w:ascii="Times New Roman" w:hAnsi="Times New Roman" w:eastAsia="宋体"/>
          <w:sz w:val="20"/>
          <w:szCs w:val="20"/>
          <w:lang w:val="en-US" w:eastAsia="zh-CN"/>
        </w:rPr>
      </w:pPr>
      <w:r>
        <w:rPr>
          <w:rFonts w:hint="eastAsia" w:ascii="Times New Roman" w:hAnsi="Times New Roman"/>
          <w:sz w:val="20"/>
          <w:szCs w:val="20"/>
          <w:lang w:val="en-US" w:eastAsia="zh-CN"/>
        </w:rPr>
        <w:t>According to RAN1 agreements, current CW support both single tone and multiple tone. For multiple tone case, IMD production occurs at device side and then backscattered to reader receiver which will cause REFSENSE degradation at reader side which is much like the MSD equivalent requirement. Such interference is much hard to be suppressed and filter solution may not work considering there is frequency overlapping between IMD products and wanted data. At current stage, multiple-tone is still under discussion, it</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better to wait for RAN1 conclusion at first.</w:t>
      </w:r>
    </w:p>
    <w:p>
      <w:pPr>
        <w:spacing w:after="180"/>
        <w:jc w:val="left"/>
        <w:rPr>
          <w:rFonts w:ascii="Times New Roman" w:hAnsi="Times New Roman"/>
          <w:b/>
          <w:bCs/>
          <w:sz w:val="20"/>
          <w:szCs w:val="20"/>
        </w:rPr>
      </w:pPr>
      <w:r>
        <w:rPr>
          <w:rFonts w:hint="eastAsia" w:ascii="Times New Roman" w:hAnsi="Times New Roman"/>
          <w:b/>
          <w:bCs/>
          <w:sz w:val="20"/>
          <w:szCs w:val="20"/>
        </w:rPr>
        <w:t xml:space="preserve">Observation </w:t>
      </w:r>
      <w:r>
        <w:rPr>
          <w:rFonts w:hint="eastAsia" w:ascii="Times New Roman" w:hAnsi="Times New Roman"/>
          <w:b/>
          <w:bCs/>
          <w:sz w:val="20"/>
          <w:szCs w:val="20"/>
          <w:lang w:val="en-US" w:eastAsia="zh-CN"/>
        </w:rPr>
        <w:t>6</w:t>
      </w:r>
      <w:r>
        <w:rPr>
          <w:rFonts w:hint="eastAsia" w:ascii="Times New Roman" w:hAnsi="Times New Roman"/>
          <w:b/>
          <w:bCs/>
          <w:sz w:val="20"/>
          <w:szCs w:val="20"/>
        </w:rPr>
        <w:t xml:space="preserve">: IMD product of multi-tone CW is much hard to be suppressed and filter solution may not work considering there is frequency overlapping between IMD products and wanted data. </w:t>
      </w:r>
    </w:p>
    <w:p>
      <w:pPr>
        <w:spacing w:after="180"/>
        <w:jc w:val="left"/>
        <w:rPr>
          <w:rFonts w:hint="eastAsia" w:ascii="Times New Roman" w:hAnsi="Times New Roman"/>
          <w:b/>
          <w:bCs/>
          <w:sz w:val="20"/>
          <w:szCs w:val="20"/>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15</w:t>
      </w:r>
      <w:r>
        <w:rPr>
          <w:rFonts w:hint="eastAsia" w:ascii="Times New Roman" w:hAnsi="Times New Roman"/>
          <w:b/>
          <w:bCs/>
          <w:sz w:val="20"/>
          <w:szCs w:val="20"/>
        </w:rPr>
        <w:t>: RAN4 should wait for RAN1 CW signal design conclusion and then decide whether/how to consider the IMD product of multiple-tone CW when defining Rx requirements for reader.</w:t>
      </w:r>
    </w:p>
    <w:p>
      <w:pPr>
        <w:numPr>
          <w:ilvl w:val="0"/>
          <w:numId w:val="13"/>
        </w:numPr>
        <w:spacing w:after="180"/>
        <w:ind w:left="420" w:leftChars="0" w:hanging="420" w:firstLineChars="0"/>
        <w:jc w:val="left"/>
        <w:rPr>
          <w:rFonts w:hint="eastAsia" w:ascii="Times New Roman" w:hAnsi="Times New Roman"/>
          <w:b/>
          <w:bCs/>
          <w:sz w:val="20"/>
          <w:szCs w:val="20"/>
        </w:rPr>
      </w:pPr>
      <w:r>
        <w:rPr>
          <w:rFonts w:hint="eastAsia" w:ascii="Times New Roman" w:hAnsi="Times New Roman"/>
          <w:b/>
          <w:bCs/>
          <w:sz w:val="20"/>
          <w:szCs w:val="20"/>
          <w:lang w:val="en-US" w:eastAsia="zh-CN"/>
        </w:rPr>
        <w:t>Blocking related requirements</w:t>
      </w:r>
    </w:p>
    <w:p>
      <w:pPr>
        <w:numPr>
          <w:ilvl w:val="0"/>
          <w:numId w:val="0"/>
        </w:numPr>
        <w:spacing w:after="180"/>
        <w:ind w:leftChars="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For blocking related requirements, this could be based on co-existence evaluation. One issue is that now we doesn</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t consider FDM operation between devices. But when defining in-band blocking related requirement, we should consider such FDM operation devices if RAN1 has approved such operation.</w:t>
      </w:r>
    </w:p>
    <w:p>
      <w:pPr>
        <w:numPr>
          <w:ilvl w:val="0"/>
          <w:numId w:val="0"/>
        </w:numPr>
        <w:spacing w:after="180"/>
        <w:ind w:left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16: blocking related requirements of A-IoT BS is based on co-existence evaluation.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noted we should consider FDM operation between devices if RAN1 has approved such operation.</w:t>
      </w:r>
    </w:p>
    <w:p>
      <w:pPr>
        <w:pStyle w:val="4"/>
        <w:spacing w:before="156" w:after="156"/>
      </w:pPr>
      <w:r>
        <w:rPr>
          <w:rFonts w:hint="eastAsia"/>
        </w:rPr>
        <w:t>2.</w:t>
      </w:r>
      <w:r>
        <w:rPr>
          <w:rFonts w:hint="eastAsia"/>
          <w:lang w:val="en-US" w:eastAsia="zh-CN"/>
        </w:rPr>
        <w:t>3</w:t>
      </w:r>
      <w:r>
        <w:rPr>
          <w:rFonts w:hint="eastAsia"/>
        </w:rPr>
        <w:t xml:space="preserve"> A-IoT CW nodes of outside topology</w:t>
      </w:r>
    </w:p>
    <w:p>
      <w:pPr>
        <w:spacing w:after="18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Last meeting agreement is listed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rFonts w:hint="default" w:ascii="Times New Roman" w:hAnsi="Times New Roman" w:cs="Times New Roman"/>
              </w:rPr>
            </w:pPr>
            <w:r>
              <w:rPr>
                <w:rFonts w:hint="default" w:ascii="Times New Roman" w:hAnsi="Times New Roman" w:cs="Times New Roman"/>
                <w:lang w:val="sv-SE" w:eastAsia="zh-CN"/>
              </w:rPr>
              <w:t>Agreement:</w:t>
            </w:r>
          </w:p>
          <w:p>
            <w:pPr>
              <w:pStyle w:val="25"/>
              <w:numPr>
                <w:ilvl w:val="0"/>
                <w:numId w:val="3"/>
              </w:numPr>
              <w:spacing w:before="120" w:line="240" w:lineRule="auto"/>
              <w:ind w:firstLineChars="0"/>
              <w:rPr>
                <w:rFonts w:hint="default" w:ascii="Times New Roman" w:hAnsi="Times New Roman" w:cs="Times New Roman"/>
                <w:lang w:eastAsia="zh-CN"/>
              </w:rPr>
            </w:pPr>
            <w:r>
              <w:rPr>
                <w:rFonts w:hint="default" w:ascii="Times New Roman" w:hAnsi="Times New Roman" w:cs="Times New Roman"/>
                <w:lang w:eastAsia="zh-CN"/>
              </w:rPr>
              <w:t>To further investigate output power, emission requirements for CW node</w:t>
            </w:r>
          </w:p>
          <w:p>
            <w:pPr>
              <w:pStyle w:val="25"/>
              <w:numPr>
                <w:ilvl w:val="1"/>
                <w:numId w:val="3"/>
              </w:numPr>
              <w:spacing w:before="120" w:line="240" w:lineRule="auto"/>
              <w:ind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lang w:eastAsia="zh-CN"/>
              </w:rPr>
              <w:t>FFS for other requirements.</w:t>
            </w:r>
          </w:p>
        </w:tc>
      </w:tr>
    </w:tbl>
    <w:p>
      <w:pPr>
        <w:spacing w:after="180"/>
        <w:jc w:val="left"/>
        <w:rPr>
          <w:rFonts w:hint="default" w:ascii="Times New Roman" w:hAnsi="Times New Roman"/>
          <w:sz w:val="20"/>
          <w:szCs w:val="20"/>
          <w:lang w:val="en-US" w:eastAsia="zh-CN"/>
        </w:rPr>
      </w:pPr>
    </w:p>
    <w:p>
      <w:pPr>
        <w:spacing w:after="180"/>
        <w:jc w:val="left"/>
        <w:rPr>
          <w:rFonts w:ascii="Times New Roman" w:hAnsi="Times New Roman"/>
          <w:sz w:val="20"/>
          <w:szCs w:val="20"/>
        </w:rPr>
      </w:pPr>
      <w:r>
        <w:rPr>
          <w:rFonts w:hint="eastAsia" w:ascii="Times New Roman" w:hAnsi="Times New Roman"/>
          <w:sz w:val="20"/>
          <w:szCs w:val="20"/>
        </w:rPr>
        <w:t>For the A-IoT CW nodes, only Tx requirement are needed. Different from legacy UE waveform, CW is single tone or multiple tone cases. So for CW node, we mainly need to consider the unwanted emission related requirements. system parameters and signal quality related requirements are not needed.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88"/>
        <w:gridCol w:w="4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8"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requirement</w:t>
            </w:r>
          </w:p>
        </w:tc>
        <w:tc>
          <w:tcPr>
            <w:tcW w:w="4774"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Applicable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188"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Operation bands</w:t>
            </w:r>
          </w:p>
        </w:tc>
        <w:tc>
          <w:tcPr>
            <w:tcW w:w="4774"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Single FDD DL or UL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8"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Channel bandwidth related requirements</w:t>
            </w:r>
          </w:p>
        </w:tc>
        <w:tc>
          <w:tcPr>
            <w:tcW w:w="4774"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8"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Channel arrangement related</w:t>
            </w:r>
          </w:p>
        </w:tc>
        <w:tc>
          <w:tcPr>
            <w:tcW w:w="4774"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8"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Transmitter power</w:t>
            </w:r>
          </w:p>
        </w:tc>
        <w:tc>
          <w:tcPr>
            <w:tcW w:w="4774"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Applicable. Further check the power limit</w:t>
            </w:r>
          </w:p>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MPR/A-MPR not applicable</w:t>
            </w:r>
          </w:p>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Configured output power,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8"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Output power dynamic range</w:t>
            </w:r>
          </w:p>
        </w:tc>
        <w:tc>
          <w:tcPr>
            <w:tcW w:w="4774"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Minimum output power: not applicable</w:t>
            </w:r>
          </w:p>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ON/OFF time mask: may not applicable</w:t>
            </w:r>
          </w:p>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Power control: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8"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Transmit signal quality</w:t>
            </w:r>
          </w:p>
        </w:tc>
        <w:tc>
          <w:tcPr>
            <w:tcW w:w="4774"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Frequency error: not applicable</w:t>
            </w:r>
          </w:p>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Transmit modulation quality: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188"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RF spectrum emission</w:t>
            </w:r>
          </w:p>
        </w:tc>
        <w:tc>
          <w:tcPr>
            <w:tcW w:w="4774"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Occupied bandwidth: not applicable</w:t>
            </w:r>
          </w:p>
          <w:p>
            <w:pPr>
              <w:spacing w:before="120" w:after="180" w:line="280" w:lineRule="atLeast"/>
              <w:jc w:val="left"/>
              <w:rPr>
                <w:rFonts w:ascii="Times New Roman" w:hAnsi="Times New Roman"/>
                <w:sz w:val="20"/>
                <w:szCs w:val="20"/>
                <w:highlight w:val="yellow"/>
                <w:lang w:val="en-GB" w:eastAsia="en-GB"/>
              </w:rPr>
            </w:pPr>
            <w:r>
              <w:rPr>
                <w:rFonts w:hint="eastAsia" w:ascii="Times New Roman" w:hAnsi="Times New Roman"/>
                <w:sz w:val="20"/>
                <w:szCs w:val="20"/>
                <w:lang w:val="en-GB" w:eastAsia="en-GB"/>
              </w:rPr>
              <w:t>Out of band emission: not applicable if we assume CW nodes have almost perfect out of band emission?</w:t>
            </w:r>
          </w:p>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Spurious emission: current may still applicable to meet regulatory requirement</w:t>
            </w:r>
          </w:p>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Transmit inter-modulation: applies at least for inside topology case</w:t>
            </w:r>
          </w:p>
        </w:tc>
      </w:tr>
    </w:tbl>
    <w:p>
      <w:pPr>
        <w:spacing w:after="180"/>
        <w:jc w:val="left"/>
        <w:rPr>
          <w:rFonts w:ascii="Times New Roman" w:hAnsi="Times New Roman"/>
          <w:sz w:val="20"/>
          <w:szCs w:val="20"/>
        </w:rPr>
      </w:pPr>
    </w:p>
    <w:p>
      <w:pPr>
        <w:spacing w:after="180"/>
        <w:jc w:val="left"/>
        <w:rPr>
          <w:rFonts w:ascii="Times New Roman" w:hAnsi="Times New Roman"/>
          <w:sz w:val="20"/>
          <w:szCs w:val="20"/>
        </w:rPr>
      </w:pPr>
      <w:r>
        <w:rPr>
          <w:rFonts w:hint="eastAsia" w:ascii="Times New Roman" w:hAnsi="Times New Roman"/>
          <w:sz w:val="20"/>
          <w:szCs w:val="20"/>
        </w:rPr>
        <w:t xml:space="preserve">If RAN4 define RF requirements for CW outside topology, it seems </w:t>
      </w:r>
      <w:r>
        <w:rPr>
          <w:rFonts w:hint="eastAsia" w:ascii="Times New Roman" w:hAnsi="Times New Roman"/>
          <w:sz w:val="20"/>
          <w:szCs w:val="20"/>
          <w:lang w:val="en-US" w:eastAsia="zh-CN"/>
        </w:rPr>
        <w:t xml:space="preserve">we can </w:t>
      </w:r>
      <w:r>
        <w:rPr>
          <w:rFonts w:hint="eastAsia" w:ascii="Times New Roman" w:hAnsi="Times New Roman"/>
          <w:sz w:val="20"/>
          <w:szCs w:val="20"/>
        </w:rPr>
        <w:t>only consider max output power and spurious emission requirements.</w:t>
      </w:r>
    </w:p>
    <w:p>
      <w:pPr>
        <w:spacing w:after="180"/>
        <w:jc w:val="left"/>
        <w:rPr>
          <w:rFonts w:ascii="Times New Roman" w:hAnsi="Times New Roman"/>
          <w:b/>
          <w:bCs/>
          <w:sz w:val="20"/>
          <w:szCs w:val="20"/>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17</w:t>
      </w:r>
      <w:r>
        <w:rPr>
          <w:rFonts w:hint="eastAsia" w:ascii="Times New Roman" w:hAnsi="Times New Roman"/>
          <w:b/>
          <w:bCs/>
          <w:sz w:val="20"/>
          <w:szCs w:val="20"/>
        </w:rPr>
        <w:t xml:space="preserve">: for CW outside of topology, it seems only max output power and spurious emission requirement is applicable. </w:t>
      </w:r>
      <w:r>
        <w:rPr>
          <w:rFonts w:hint="eastAsia" w:ascii="Times New Roman" w:hAnsi="Times New Roman"/>
          <w:b/>
          <w:bCs/>
          <w:sz w:val="20"/>
          <w:szCs w:val="20"/>
          <w:lang w:val="en-US" w:eastAsia="zh-CN"/>
        </w:rPr>
        <w:t xml:space="preserve">For out of band emission, if we assume almost perfect performance since single tone is assumed, there is no need for such requirements. </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pPr>
        <w:spacing w:after="156" w:afterLines="50"/>
        <w:rPr>
          <w:rFonts w:hint="eastAsia" w:ascii="Times New Roman" w:hAnsi="Times New Roman"/>
          <w:sz w:val="20"/>
          <w:szCs w:val="20"/>
        </w:rPr>
      </w:pPr>
      <w:r>
        <w:rPr>
          <w:rFonts w:ascii="Times New Roman" w:hAnsi="Times New Roman"/>
          <w:sz w:val="20"/>
          <w:szCs w:val="20"/>
        </w:rPr>
        <w:t xml:space="preserve">In this contribution, </w:t>
      </w:r>
      <w:r>
        <w:rPr>
          <w:rFonts w:hint="eastAsia" w:ascii="Times New Roman" w:hAnsi="Times New Roman"/>
          <w:sz w:val="20"/>
          <w:szCs w:val="20"/>
        </w:rPr>
        <w:t>RF requirements for gNB like reader are discussed with following observations and proposals.</w:t>
      </w:r>
    </w:p>
    <w:p>
      <w:pPr>
        <w:spacing w:after="180"/>
        <w:jc w:val="left"/>
        <w:rPr>
          <w:rFonts w:hint="eastAsia" w:ascii="Times New Roman" w:hAnsi="Times New Roman"/>
          <w:b/>
          <w:bCs/>
          <w:sz w:val="20"/>
          <w:szCs w:val="20"/>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1</w:t>
      </w:r>
      <w:r>
        <w:rPr>
          <w:rFonts w:hint="eastAsia" w:ascii="Times New Roman" w:hAnsi="Times New Roman"/>
          <w:b/>
          <w:bCs/>
          <w:sz w:val="20"/>
          <w:szCs w:val="20"/>
        </w:rPr>
        <w:t xml:space="preserve">: </w:t>
      </w:r>
      <w:r>
        <w:rPr>
          <w:rFonts w:hint="eastAsia" w:ascii="Times New Roman" w:hAnsi="Times New Roman"/>
          <w:b/>
          <w:bCs/>
          <w:sz w:val="20"/>
          <w:szCs w:val="20"/>
          <w:lang w:val="en-US" w:eastAsia="zh-CN"/>
        </w:rPr>
        <w:t>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 xml:space="preserve">s suggested to use micro cell type/MR BS as baseline but </w:t>
      </w:r>
      <w:r>
        <w:rPr>
          <w:rFonts w:hint="eastAsia" w:ascii="Times New Roman" w:hAnsi="Times New Roman"/>
          <w:b/>
          <w:bCs/>
          <w:sz w:val="20"/>
          <w:szCs w:val="20"/>
        </w:rPr>
        <w:t xml:space="preserve">further discuss whether reader could support other </w:t>
      </w:r>
      <w:r>
        <w:rPr>
          <w:rFonts w:hint="eastAsia" w:ascii="Times New Roman" w:hAnsi="Times New Roman"/>
          <w:b/>
          <w:bCs/>
          <w:sz w:val="20"/>
          <w:szCs w:val="20"/>
          <w:lang w:val="en-US" w:eastAsia="zh-CN"/>
        </w:rPr>
        <w:t>BS class</w:t>
      </w:r>
      <w:r>
        <w:rPr>
          <w:rFonts w:hint="eastAsia" w:ascii="Times New Roman" w:hAnsi="Times New Roman"/>
          <w:b/>
          <w:bCs/>
          <w:sz w:val="20"/>
          <w:szCs w:val="20"/>
        </w:rPr>
        <w:t xml:space="preserve"> besides </w:t>
      </w:r>
      <w:r>
        <w:rPr>
          <w:rFonts w:hint="eastAsia" w:ascii="Times New Roman" w:hAnsi="Times New Roman"/>
          <w:b/>
          <w:bCs/>
          <w:sz w:val="20"/>
          <w:szCs w:val="20"/>
          <w:lang w:val="en-US" w:eastAsia="zh-CN"/>
        </w:rPr>
        <w:t>MR</w:t>
      </w:r>
      <w:r>
        <w:rPr>
          <w:rFonts w:hint="eastAsia" w:ascii="Times New Roman" w:hAnsi="Times New Roman"/>
          <w:b/>
          <w:bCs/>
          <w:sz w:val="20"/>
          <w:szCs w:val="20"/>
        </w:rPr>
        <w:t>.</w:t>
      </w:r>
    </w:p>
    <w:p>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2: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focus on 1-C reader BS type at first and further discuss the necessity of 1-H reader BS type.</w:t>
      </w:r>
    </w:p>
    <w:p>
      <w:pPr>
        <w:numPr>
          <w:ilvl w:val="0"/>
          <w:numId w:val="0"/>
        </w:numPr>
        <w:spacing w:after="180"/>
        <w:ind w:left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3: MR A-IoT BS could reuse current transmit output power and max output power of 1-C MR BS.</w:t>
      </w:r>
    </w:p>
    <w:p>
      <w:pPr>
        <w:numPr>
          <w:ilvl w:val="0"/>
          <w:numId w:val="0"/>
        </w:num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4: RE power control dynamic range may needs to be updated since now only OOK modulation is supported at reader side.</w:t>
      </w:r>
    </w:p>
    <w:p>
      <w:pPr>
        <w:spacing w:after="156" w:afterLines="5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 xml:space="preserve">Proposal 5: total power dynamic range needs to be updated accordingly based on conclusion of channel bandwidth and SCS. </w:t>
      </w:r>
    </w:p>
    <w:p>
      <w:pPr>
        <w:numPr>
          <w:ilvl w:val="0"/>
          <w:numId w:val="0"/>
        </w:numPr>
        <w:spacing w:after="180"/>
        <w:ind w:leftChars="0"/>
        <w:jc w:val="left"/>
        <w:rPr>
          <w:rFonts w:hint="eastAsia"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6: current gNB frequency error is enough for reader if assuming no FDM operations between readers.</w:t>
      </w:r>
    </w:p>
    <w:p>
      <w:pPr>
        <w:numPr>
          <w:ilvl w:val="0"/>
          <w:numId w:val="0"/>
        </w:numPr>
        <w:spacing w:after="180"/>
        <w:ind w:leftChars="0"/>
        <w:jc w:val="left"/>
        <w:rPr>
          <w:rFonts w:hint="eastAsia"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 xml:space="preserve">Observation 1: if reader support FDM operation and carrier bandwidth is much less, more strict frequency error requirement may be needed. </w:t>
      </w:r>
    </w:p>
    <w:p>
      <w:pPr>
        <w:numPr>
          <w:ilvl w:val="0"/>
          <w:numId w:val="0"/>
        </w:numPr>
        <w:spacing w:after="180"/>
        <w:ind w:leftChars="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7: in RAN4, it</w:t>
      </w:r>
      <w:r>
        <w:rPr>
          <w:rFonts w:hint="default" w:ascii="Times New Roman" w:hAnsi="Times New Roman"/>
          <w:b/>
          <w:bCs/>
          <w:sz w:val="20"/>
          <w:szCs w:val="20"/>
          <w:highlight w:val="none"/>
          <w:lang w:val="en-US" w:eastAsia="zh-CN"/>
        </w:rPr>
        <w:t>’</w:t>
      </w:r>
      <w:r>
        <w:rPr>
          <w:rFonts w:hint="eastAsia" w:ascii="Times New Roman" w:hAnsi="Times New Roman"/>
          <w:b/>
          <w:bCs/>
          <w:sz w:val="20"/>
          <w:szCs w:val="20"/>
          <w:highlight w:val="none"/>
          <w:lang w:val="en-US" w:eastAsia="zh-CN"/>
        </w:rPr>
        <w:t>s suggested to focus on single carrier operation mode for reader at first and FDM reader operation as low priority.</w:t>
      </w:r>
    </w:p>
    <w:p>
      <w:pPr>
        <w:numPr>
          <w:ilvl w:val="0"/>
          <w:numId w:val="0"/>
        </w:numPr>
        <w:spacing w:after="180"/>
        <w:ind w:leftChars="0"/>
        <w:jc w:val="left"/>
        <w:rPr>
          <w:rFonts w:hint="eastAsia"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Observation 2: RFID spec use RF envelop related parameters to evaluate ASK signal transmission quality requirement, e.g. modulation depth, RF envelop ripple, RF plusewidth etc.</w:t>
      </w:r>
    </w:p>
    <w:p>
      <w:pPr>
        <w:numPr>
          <w:ilvl w:val="0"/>
          <w:numId w:val="0"/>
        </w:numPr>
        <w:spacing w:after="180"/>
        <w:ind w:leftChars="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8: RAN4 could refer to RFID RF envelop related parameters to define signal transmission quality requirement as starting point, i.e. modulation depth, RF envelop ripple, RF plusewidth.</w:t>
      </w:r>
    </w:p>
    <w:p>
      <w:pPr>
        <w:numPr>
          <w:ilvl w:val="0"/>
          <w:numId w:val="0"/>
        </w:numPr>
        <w:spacing w:after="180"/>
        <w:ind w:leftChars="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9: it</w:t>
      </w:r>
      <w:r>
        <w:rPr>
          <w:rFonts w:hint="default" w:ascii="Times New Roman" w:hAnsi="Times New Roman"/>
          <w:b/>
          <w:bCs/>
          <w:sz w:val="20"/>
          <w:szCs w:val="20"/>
          <w:highlight w:val="none"/>
          <w:lang w:val="en-US" w:eastAsia="zh-CN"/>
        </w:rPr>
        <w:t>’</w:t>
      </w:r>
      <w:r>
        <w:rPr>
          <w:rFonts w:hint="eastAsia" w:ascii="Times New Roman" w:hAnsi="Times New Roman"/>
          <w:b/>
          <w:bCs/>
          <w:sz w:val="20"/>
          <w:szCs w:val="20"/>
          <w:highlight w:val="none"/>
          <w:lang w:val="en-US" w:eastAsia="zh-CN"/>
        </w:rPr>
        <w:t>s suggested to define transient period related requirements for A-IoT reader. Details value can refer to RFID rise/fall time.</w:t>
      </w:r>
    </w:p>
    <w:p>
      <w:pPr>
        <w:numPr>
          <w:ilvl w:val="0"/>
          <w:numId w:val="0"/>
        </w:numPr>
        <w:spacing w:after="180"/>
        <w:ind w:leftChars="0"/>
        <w:jc w:val="left"/>
        <w:rPr>
          <w:rFonts w:hint="eastAsia"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10: RAN4 further discuss whether settling time as defined in RFID spec is needed or not to evaluate RF envelop ripple characteristics.</w:t>
      </w:r>
    </w:p>
    <w:p>
      <w:pPr>
        <w:numPr>
          <w:ilvl w:val="0"/>
          <w:numId w:val="0"/>
        </w:numPr>
        <w:spacing w:after="180"/>
        <w:ind w:leftChars="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11: if finally approve that A-IoT reader support multiple-RAT, IBE equivalent requirement needs to be defined.</w:t>
      </w:r>
    </w:p>
    <w:p>
      <w:pPr>
        <w:numPr>
          <w:ilvl w:val="0"/>
          <w:numId w:val="0"/>
        </w:numPr>
        <w:spacing w:after="180"/>
        <w:ind w:leftChars="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12: unwanted emission related requirements are based on co-existence evaluation. For spurious emission related requirements, it seems reasonable to reuse current gNB requirements.</w:t>
      </w:r>
    </w:p>
    <w:p>
      <w:pPr>
        <w:spacing w:after="180"/>
        <w:jc w:val="left"/>
        <w:rPr>
          <w:rFonts w:ascii="Times New Roman" w:hAnsi="Times New Roman"/>
          <w:b/>
          <w:bCs/>
          <w:sz w:val="20"/>
          <w:szCs w:val="20"/>
        </w:rPr>
      </w:pPr>
      <w:r>
        <w:rPr>
          <w:rFonts w:hint="eastAsia" w:ascii="Times New Roman" w:hAnsi="Times New Roman"/>
          <w:b/>
          <w:bCs/>
          <w:sz w:val="20"/>
          <w:szCs w:val="20"/>
        </w:rPr>
        <w:t xml:space="preserve">Observation </w:t>
      </w:r>
      <w:r>
        <w:rPr>
          <w:rFonts w:hint="eastAsia" w:ascii="Times New Roman" w:hAnsi="Times New Roman"/>
          <w:b/>
          <w:bCs/>
          <w:sz w:val="20"/>
          <w:szCs w:val="20"/>
          <w:lang w:val="en-US" w:eastAsia="zh-CN"/>
        </w:rPr>
        <w:t>3</w:t>
      </w:r>
      <w:r>
        <w:rPr>
          <w:rFonts w:hint="eastAsia" w:ascii="Times New Roman" w:hAnsi="Times New Roman"/>
          <w:b/>
          <w:bCs/>
          <w:sz w:val="20"/>
          <w:szCs w:val="20"/>
        </w:rPr>
        <w:t>: due to very narrow bandwidth of CW interference signal, RAN4 needs to further discuss whether 1dB desense self-interference cancellation target is still applicable or not.</w:t>
      </w:r>
    </w:p>
    <w:p>
      <w:pPr>
        <w:spacing w:after="180"/>
        <w:jc w:val="left"/>
        <w:rPr>
          <w:rFonts w:hint="eastAsia" w:ascii="Times New Roman" w:hAnsi="Times New Roman"/>
          <w:b/>
          <w:bCs/>
          <w:sz w:val="20"/>
          <w:szCs w:val="20"/>
        </w:rPr>
      </w:pPr>
      <w:r>
        <w:rPr>
          <w:rFonts w:hint="eastAsia" w:ascii="Times New Roman" w:hAnsi="Times New Roman"/>
          <w:b/>
          <w:bCs/>
          <w:sz w:val="20"/>
          <w:szCs w:val="20"/>
        </w:rPr>
        <w:t xml:space="preserve">Observation </w:t>
      </w:r>
      <w:r>
        <w:rPr>
          <w:rFonts w:hint="eastAsia" w:ascii="Times New Roman" w:hAnsi="Times New Roman"/>
          <w:b/>
          <w:bCs/>
          <w:sz w:val="20"/>
          <w:szCs w:val="20"/>
          <w:lang w:val="en-US" w:eastAsia="zh-CN"/>
        </w:rPr>
        <w:t>4</w:t>
      </w:r>
      <w:r>
        <w:rPr>
          <w:rFonts w:hint="eastAsia" w:ascii="Times New Roman" w:hAnsi="Times New Roman"/>
          <w:b/>
          <w:bCs/>
          <w:sz w:val="20"/>
          <w:szCs w:val="20"/>
        </w:rPr>
        <w:t>: for CW outside topology, RAN4 needs some typical spatial isolation assumption before conclude whether to/ how to reflect self-interference by RF requirements.</w:t>
      </w:r>
    </w:p>
    <w:p>
      <w:pPr>
        <w:numPr>
          <w:ilvl w:val="0"/>
          <w:numId w:val="0"/>
        </w:numPr>
        <w:spacing w:after="180"/>
        <w:ind w:leftChars="0"/>
        <w:jc w:val="left"/>
        <w:rPr>
          <w:rFonts w:hint="eastAsia" w:ascii="Times New Roman" w:hAnsi="Times New Roman"/>
          <w:b w:val="0"/>
          <w:bCs w:val="0"/>
          <w:sz w:val="20"/>
          <w:szCs w:val="20"/>
          <w:highlight w:val="none"/>
          <w:lang w:val="en-US" w:eastAsia="zh-CN"/>
        </w:rPr>
      </w:pPr>
      <w:r>
        <w:rPr>
          <w:rFonts w:hint="eastAsia" w:ascii="Times New Roman" w:hAnsi="Times New Roman"/>
          <w:b/>
          <w:bCs/>
          <w:sz w:val="20"/>
          <w:szCs w:val="20"/>
          <w:highlight w:val="none"/>
          <w:lang w:val="en-US" w:eastAsia="zh-CN"/>
        </w:rPr>
        <w:t>Proposal 13: ICS requirement is needed if reader support multi-RAT or device support FDM operation.</w:t>
      </w:r>
      <w:r>
        <w:rPr>
          <w:rFonts w:hint="eastAsia" w:ascii="Times New Roman" w:hAnsi="Times New Roman"/>
          <w:b w:val="0"/>
          <w:bCs w:val="0"/>
          <w:sz w:val="20"/>
          <w:szCs w:val="20"/>
          <w:highlight w:val="none"/>
          <w:lang w:val="en-US" w:eastAsia="zh-CN"/>
        </w:rPr>
        <w:t xml:space="preserve"> </w:t>
      </w:r>
    </w:p>
    <w:p>
      <w:pPr>
        <w:numPr>
          <w:ilvl w:val="0"/>
          <w:numId w:val="0"/>
        </w:numPr>
        <w:spacing w:after="180"/>
        <w:ind w:leftChars="0"/>
        <w:jc w:val="left"/>
        <w:rPr>
          <w:rFonts w:hint="default" w:ascii="Times New Roman" w:hAnsi="Times New Roman"/>
          <w:b/>
          <w:bCs/>
          <w:sz w:val="20"/>
          <w:szCs w:val="20"/>
          <w:lang w:val="en-US"/>
        </w:rPr>
      </w:pPr>
      <w:r>
        <w:rPr>
          <w:rFonts w:hint="eastAsia" w:ascii="Times New Roman" w:hAnsi="Times New Roman"/>
          <w:b/>
          <w:bCs/>
          <w:sz w:val="20"/>
          <w:szCs w:val="20"/>
          <w:highlight w:val="none"/>
          <w:lang w:val="en-US" w:eastAsia="zh-CN"/>
        </w:rPr>
        <w:t>Proposal 14: ACS requirement is based on co-existence evaluation for single RAT scenario, i.e. existing gNB and reader doesn</w:t>
      </w:r>
      <w:r>
        <w:rPr>
          <w:rFonts w:hint="default" w:ascii="Times New Roman" w:hAnsi="Times New Roman"/>
          <w:b/>
          <w:bCs/>
          <w:sz w:val="20"/>
          <w:szCs w:val="20"/>
          <w:highlight w:val="none"/>
          <w:lang w:val="en-US" w:eastAsia="zh-CN"/>
        </w:rPr>
        <w:t>’</w:t>
      </w:r>
      <w:r>
        <w:rPr>
          <w:rFonts w:hint="eastAsia" w:ascii="Times New Roman" w:hAnsi="Times New Roman"/>
          <w:b/>
          <w:bCs/>
          <w:sz w:val="20"/>
          <w:szCs w:val="20"/>
          <w:highlight w:val="none"/>
          <w:lang w:val="en-US" w:eastAsia="zh-CN"/>
        </w:rPr>
        <w:t>t share same hardware scenario.</w:t>
      </w:r>
    </w:p>
    <w:p>
      <w:pPr>
        <w:spacing w:after="180"/>
        <w:jc w:val="left"/>
        <w:rPr>
          <w:rFonts w:ascii="Times New Roman" w:hAnsi="Times New Roman"/>
          <w:b/>
          <w:bCs/>
          <w:sz w:val="20"/>
          <w:szCs w:val="20"/>
        </w:rPr>
      </w:pPr>
      <w:r>
        <w:rPr>
          <w:rFonts w:hint="eastAsia" w:ascii="Times New Roman" w:hAnsi="Times New Roman"/>
          <w:b/>
          <w:bCs/>
          <w:sz w:val="20"/>
          <w:szCs w:val="20"/>
        </w:rPr>
        <w:t xml:space="preserve">Observation </w:t>
      </w:r>
      <w:r>
        <w:rPr>
          <w:rFonts w:hint="eastAsia" w:ascii="Times New Roman" w:hAnsi="Times New Roman"/>
          <w:b/>
          <w:bCs/>
          <w:sz w:val="20"/>
          <w:szCs w:val="20"/>
          <w:lang w:val="en-US" w:eastAsia="zh-CN"/>
        </w:rPr>
        <w:t>6</w:t>
      </w:r>
      <w:r>
        <w:rPr>
          <w:rFonts w:hint="eastAsia" w:ascii="Times New Roman" w:hAnsi="Times New Roman"/>
          <w:b/>
          <w:bCs/>
          <w:sz w:val="20"/>
          <w:szCs w:val="20"/>
        </w:rPr>
        <w:t xml:space="preserve">: IMD product of multi-tone CW is much hard to be suppressed and filter solution may not work considering there is frequency overlapping between IMD products and wanted data. </w:t>
      </w:r>
    </w:p>
    <w:p>
      <w:pPr>
        <w:spacing w:after="180"/>
        <w:jc w:val="left"/>
        <w:rPr>
          <w:rFonts w:hint="eastAsia" w:ascii="Times New Roman" w:hAnsi="Times New Roman"/>
          <w:b/>
          <w:bCs/>
          <w:sz w:val="20"/>
          <w:szCs w:val="20"/>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15</w:t>
      </w:r>
      <w:r>
        <w:rPr>
          <w:rFonts w:hint="eastAsia" w:ascii="Times New Roman" w:hAnsi="Times New Roman"/>
          <w:b/>
          <w:bCs/>
          <w:sz w:val="20"/>
          <w:szCs w:val="20"/>
        </w:rPr>
        <w:t>: RAN4 should wait for RAN1 CW signal design conclusion and then decide whether/how to consider the IMD product of multiple-tone CW when defining Rx requirements for reader.</w:t>
      </w:r>
    </w:p>
    <w:p>
      <w:pPr>
        <w:numPr>
          <w:ilvl w:val="0"/>
          <w:numId w:val="0"/>
        </w:numPr>
        <w:spacing w:after="180"/>
        <w:ind w:left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16: blocking related requirements of A-IoT BS is based on co-existence evaluation.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noted we should consider FDM operation between devices if RAN1 has approved such operation.</w:t>
      </w:r>
    </w:p>
    <w:p>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17</w:t>
      </w:r>
      <w:r>
        <w:rPr>
          <w:rFonts w:hint="eastAsia" w:ascii="Times New Roman" w:hAnsi="Times New Roman"/>
          <w:b/>
          <w:bCs/>
          <w:sz w:val="20"/>
          <w:szCs w:val="20"/>
        </w:rPr>
        <w:t xml:space="preserve">: for CW outside of topology, it seems only max output power and spurious emission requirement is applicable. </w:t>
      </w:r>
      <w:r>
        <w:rPr>
          <w:rFonts w:hint="eastAsia" w:ascii="Times New Roman" w:hAnsi="Times New Roman"/>
          <w:b/>
          <w:bCs/>
          <w:sz w:val="20"/>
          <w:szCs w:val="20"/>
          <w:lang w:val="en-US" w:eastAsia="zh-CN"/>
        </w:rPr>
        <w:t xml:space="preserve">For out of band emission, if we assume almost perfect performance since single tone is assumed, there is no need for such requirements. </w:t>
      </w:r>
    </w:p>
    <w:p>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pPr>
        <w:numPr>
          <w:ilvl w:val="0"/>
          <w:numId w:val="14"/>
        </w:numPr>
        <w:tabs>
          <w:tab w:val="right" w:pos="10440"/>
          <w:tab w:val="right" w:pos="13323"/>
        </w:tabs>
        <w:jc w:val="left"/>
        <w:rPr>
          <w:rFonts w:ascii="Times New Roman" w:hAnsi="Times New Roman"/>
          <w:sz w:val="20"/>
          <w:szCs w:val="20"/>
        </w:rPr>
      </w:pPr>
      <w:r>
        <w:rPr>
          <w:rFonts w:hint="eastAsia" w:ascii="Times New Roman" w:hAnsi="Times New Roman"/>
          <w:sz w:val="20"/>
          <w:szCs w:val="20"/>
        </w:rPr>
        <w:t>EPC™ Radio-Frequency Identity Protocols</w:t>
      </w:r>
      <w:r>
        <w:rPr>
          <w:rFonts w:hint="eastAsia" w:ascii="Times New Roman" w:hAnsi="Times New Roman"/>
          <w:sz w:val="20"/>
          <w:szCs w:val="20"/>
          <w:lang w:val="en-US" w:eastAsia="zh-CN"/>
        </w:rPr>
        <w:t xml:space="preserve"> </w:t>
      </w:r>
      <w:r>
        <w:rPr>
          <w:rFonts w:hint="eastAsia" w:ascii="Times New Roman" w:hAnsi="Times New Roman"/>
          <w:sz w:val="20"/>
          <w:szCs w:val="20"/>
        </w:rPr>
        <w:t>Generation-2 UHF RFID</w:t>
      </w:r>
      <w:r>
        <w:rPr>
          <w:rFonts w:hint="eastAsia" w:ascii="Times New Roman" w:hAnsi="Times New Roman"/>
          <w:sz w:val="20"/>
          <w:szCs w:val="20"/>
          <w:lang w:val="en-US" w:eastAsia="zh-CN"/>
        </w:rPr>
        <w:t>, Specification for RFID Air Interface Protocol for Communications at 860 MHz - 960 MHz, Version 2.0.0 Ratified</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auto"/>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BB62DD"/>
    <w:multiLevelType w:val="multilevel"/>
    <w:tmpl w:val="8CBB62D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rPr>
    </w:lvl>
    <w:lvl w:ilvl="2" w:tentative="0">
      <w:start w:val="1"/>
      <w:numFmt w:val="bullet"/>
      <w:lvlText w:val=""/>
      <w:lvlJc w:val="left"/>
      <w:pPr>
        <w:tabs>
          <w:tab w:val="left" w:pos="1260"/>
        </w:tabs>
        <w:ind w:left="1260" w:leftChars="0" w:hanging="420" w:firstLineChars="0"/>
      </w:pPr>
      <w:rPr>
        <w:rFonts w:hint="default"/>
      </w:rPr>
    </w:lvl>
    <w:lvl w:ilvl="3" w:tentative="0">
      <w:start w:val="1"/>
      <w:numFmt w:val="bullet"/>
      <w:lvlText w:val=""/>
      <w:lvlJc w:val="left"/>
      <w:pPr>
        <w:tabs>
          <w:tab w:val="left" w:pos="1680"/>
        </w:tabs>
        <w:ind w:left="1680" w:leftChars="0" w:hanging="420" w:firstLineChars="0"/>
      </w:pPr>
      <w:rPr>
        <w:rFonts w:hint="default"/>
      </w:rPr>
    </w:lvl>
    <w:lvl w:ilvl="4" w:tentative="0">
      <w:start w:val="1"/>
      <w:numFmt w:val="bullet"/>
      <w:lvlText w:val=""/>
      <w:lvlJc w:val="left"/>
      <w:pPr>
        <w:tabs>
          <w:tab w:val="left" w:pos="2100"/>
        </w:tabs>
        <w:ind w:left="2100" w:leftChars="0" w:hanging="420" w:firstLineChars="0"/>
      </w:pPr>
      <w:rPr>
        <w:rFonts w:hint="default"/>
      </w:rPr>
    </w:lvl>
    <w:lvl w:ilvl="5" w:tentative="0">
      <w:start w:val="1"/>
      <w:numFmt w:val="bullet"/>
      <w:lvlText w:val=""/>
      <w:lvlJc w:val="left"/>
      <w:pPr>
        <w:tabs>
          <w:tab w:val="left" w:pos="2520"/>
        </w:tabs>
        <w:ind w:left="2520" w:leftChars="0" w:hanging="420" w:firstLineChars="0"/>
      </w:pPr>
      <w:rPr>
        <w:rFonts w:hint="default"/>
      </w:rPr>
    </w:lvl>
    <w:lvl w:ilvl="6" w:tentative="0">
      <w:start w:val="1"/>
      <w:numFmt w:val="bullet"/>
      <w:lvlText w:val=""/>
      <w:lvlJc w:val="left"/>
      <w:pPr>
        <w:tabs>
          <w:tab w:val="left" w:pos="2940"/>
        </w:tabs>
        <w:ind w:left="2940" w:leftChars="0" w:hanging="420" w:firstLineChars="0"/>
      </w:pPr>
      <w:rPr>
        <w:rFonts w:hint="default"/>
      </w:rPr>
    </w:lvl>
    <w:lvl w:ilvl="7" w:tentative="0">
      <w:start w:val="1"/>
      <w:numFmt w:val="bullet"/>
      <w:lvlText w:val=""/>
      <w:lvlJc w:val="left"/>
      <w:pPr>
        <w:tabs>
          <w:tab w:val="left" w:pos="3360"/>
        </w:tabs>
        <w:ind w:left="3360" w:leftChars="0" w:hanging="420" w:firstLineChars="0"/>
      </w:pPr>
      <w:rPr>
        <w:rFonts w:hint="default"/>
      </w:rPr>
    </w:lvl>
    <w:lvl w:ilvl="8" w:tentative="0">
      <w:start w:val="1"/>
      <w:numFmt w:val="bullet"/>
      <w:lvlText w:val=""/>
      <w:lvlJc w:val="left"/>
      <w:pPr>
        <w:tabs>
          <w:tab w:val="left" w:pos="3780"/>
        </w:tabs>
        <w:ind w:left="3780" w:leftChars="0" w:hanging="420" w:firstLineChars="0"/>
      </w:pPr>
      <w:rPr>
        <w:rFonts w:hint="default"/>
      </w:rPr>
    </w:lvl>
  </w:abstractNum>
  <w:abstractNum w:abstractNumId="1">
    <w:nsid w:val="9E5B3A0A"/>
    <w:multiLevelType w:val="multilevel"/>
    <w:tmpl w:val="9E5B3A0A"/>
    <w:lvl w:ilvl="0" w:tentative="0">
      <w:start w:val="1"/>
      <w:numFmt w:val="bullet"/>
      <w:lvlText w:val=""/>
      <w:lvlJc w:val="left"/>
      <w:pPr>
        <w:tabs>
          <w:tab w:val="left" w:pos="-420"/>
        </w:tabs>
        <w:ind w:left="516" w:hanging="360"/>
      </w:pPr>
      <w:rPr>
        <w:rFonts w:hint="default" w:ascii="Symbol" w:hAnsi="Symbol"/>
        <w:lang w:val="en-GB"/>
      </w:rPr>
    </w:lvl>
    <w:lvl w:ilvl="1" w:tentative="0">
      <w:start w:val="1"/>
      <w:numFmt w:val="bullet"/>
      <w:lvlText w:val="o"/>
      <w:lvlJc w:val="left"/>
      <w:pPr>
        <w:tabs>
          <w:tab w:val="left" w:pos="-420"/>
        </w:tabs>
        <w:ind w:left="1236" w:hanging="360"/>
      </w:pPr>
      <w:rPr>
        <w:rFonts w:hint="default" w:ascii="Courier New" w:hAnsi="Courier New" w:cs="Cambria"/>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ambria"/>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ambria"/>
      </w:rPr>
    </w:lvl>
    <w:lvl w:ilvl="8" w:tentative="0">
      <w:start w:val="1"/>
      <w:numFmt w:val="bullet"/>
      <w:lvlText w:val=""/>
      <w:lvlJc w:val="left"/>
      <w:pPr>
        <w:tabs>
          <w:tab w:val="left" w:pos="-420"/>
        </w:tabs>
        <w:ind w:left="6276" w:hanging="360"/>
      </w:pPr>
      <w:rPr>
        <w:rFonts w:hint="default" w:ascii="Wingdings" w:hAnsi="Wingdings"/>
      </w:rPr>
    </w:lvl>
  </w:abstractNum>
  <w:abstractNum w:abstractNumId="2">
    <w:nsid w:val="B053400A"/>
    <w:multiLevelType w:val="singleLevel"/>
    <w:tmpl w:val="B053400A"/>
    <w:lvl w:ilvl="0" w:tentative="0">
      <w:start w:val="1"/>
      <w:numFmt w:val="bullet"/>
      <w:lvlText w:val=""/>
      <w:lvlJc w:val="left"/>
      <w:pPr>
        <w:ind w:left="420" w:hanging="420"/>
      </w:pPr>
      <w:rPr>
        <w:rFonts w:hint="default" w:ascii="Wingdings" w:hAnsi="Wingdings"/>
      </w:rPr>
    </w:lvl>
  </w:abstractNum>
  <w:abstractNum w:abstractNumId="3">
    <w:nsid w:val="DFAE1895"/>
    <w:multiLevelType w:val="singleLevel"/>
    <w:tmpl w:val="DFAE1895"/>
    <w:lvl w:ilvl="0" w:tentative="0">
      <w:start w:val="1"/>
      <w:numFmt w:val="decimal"/>
      <w:suff w:val="space"/>
      <w:lvlText w:val="[%1]"/>
      <w:lvlJc w:val="left"/>
    </w:lvl>
  </w:abstractNum>
  <w:abstractNum w:abstractNumId="4">
    <w:nsid w:val="E36BDDE0"/>
    <w:multiLevelType w:val="multilevel"/>
    <w:tmpl w:val="E36BDDE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FDA17C55"/>
    <w:multiLevelType w:val="multilevel"/>
    <w:tmpl w:val="FDA17C5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rPr>
    </w:lvl>
    <w:lvl w:ilvl="2" w:tentative="0">
      <w:start w:val="1"/>
      <w:numFmt w:val="bullet"/>
      <w:lvlText w:val=""/>
      <w:lvlJc w:val="left"/>
      <w:pPr>
        <w:tabs>
          <w:tab w:val="left" w:pos="1260"/>
        </w:tabs>
        <w:ind w:left="1260" w:leftChars="0" w:hanging="420" w:firstLineChars="0"/>
      </w:pPr>
      <w:rPr>
        <w:rFonts w:hint="default"/>
      </w:rPr>
    </w:lvl>
    <w:lvl w:ilvl="3" w:tentative="0">
      <w:start w:val="1"/>
      <w:numFmt w:val="bullet"/>
      <w:lvlText w:val=""/>
      <w:lvlJc w:val="left"/>
      <w:pPr>
        <w:tabs>
          <w:tab w:val="left" w:pos="1680"/>
        </w:tabs>
        <w:ind w:left="1680" w:leftChars="0" w:hanging="420" w:firstLineChars="0"/>
      </w:pPr>
      <w:rPr>
        <w:rFonts w:hint="default"/>
      </w:rPr>
    </w:lvl>
    <w:lvl w:ilvl="4" w:tentative="0">
      <w:start w:val="1"/>
      <w:numFmt w:val="bullet"/>
      <w:lvlText w:val=""/>
      <w:lvlJc w:val="left"/>
      <w:pPr>
        <w:tabs>
          <w:tab w:val="left" w:pos="2100"/>
        </w:tabs>
        <w:ind w:left="2100" w:leftChars="0" w:hanging="420" w:firstLineChars="0"/>
      </w:pPr>
      <w:rPr>
        <w:rFonts w:hint="default"/>
      </w:rPr>
    </w:lvl>
    <w:lvl w:ilvl="5" w:tentative="0">
      <w:start w:val="1"/>
      <w:numFmt w:val="bullet"/>
      <w:lvlText w:val=""/>
      <w:lvlJc w:val="left"/>
      <w:pPr>
        <w:tabs>
          <w:tab w:val="left" w:pos="2520"/>
        </w:tabs>
        <w:ind w:left="2520" w:leftChars="0" w:hanging="420" w:firstLineChars="0"/>
      </w:pPr>
      <w:rPr>
        <w:rFonts w:hint="default"/>
      </w:rPr>
    </w:lvl>
    <w:lvl w:ilvl="6" w:tentative="0">
      <w:start w:val="1"/>
      <w:numFmt w:val="bullet"/>
      <w:lvlText w:val=""/>
      <w:lvlJc w:val="left"/>
      <w:pPr>
        <w:tabs>
          <w:tab w:val="left" w:pos="2940"/>
        </w:tabs>
        <w:ind w:left="2940" w:leftChars="0" w:hanging="420" w:firstLineChars="0"/>
      </w:pPr>
      <w:rPr>
        <w:rFonts w:hint="default"/>
      </w:rPr>
    </w:lvl>
    <w:lvl w:ilvl="7" w:tentative="0">
      <w:start w:val="1"/>
      <w:numFmt w:val="bullet"/>
      <w:lvlText w:val=""/>
      <w:lvlJc w:val="left"/>
      <w:pPr>
        <w:tabs>
          <w:tab w:val="left" w:pos="3360"/>
        </w:tabs>
        <w:ind w:left="3360" w:leftChars="0" w:hanging="420" w:firstLineChars="0"/>
      </w:pPr>
      <w:rPr>
        <w:rFonts w:hint="default"/>
      </w:rPr>
    </w:lvl>
    <w:lvl w:ilvl="8" w:tentative="0">
      <w:start w:val="1"/>
      <w:numFmt w:val="bullet"/>
      <w:lvlText w:val=""/>
      <w:lvlJc w:val="left"/>
      <w:pPr>
        <w:tabs>
          <w:tab w:val="left" w:pos="3780"/>
        </w:tabs>
        <w:ind w:left="3780" w:leftChars="0" w:hanging="420" w:firstLineChars="0"/>
      </w:pPr>
      <w:rPr>
        <w:rFonts w:hint="default"/>
      </w:rPr>
    </w:lvl>
  </w:abstractNum>
  <w:abstractNum w:abstractNumId="6">
    <w:nsid w:val="044EE66C"/>
    <w:multiLevelType w:val="multilevel"/>
    <w:tmpl w:val="044EE66C"/>
    <w:lvl w:ilvl="0" w:tentative="0">
      <w:start w:val="2"/>
      <w:numFmt w:val="decimal"/>
      <w:suff w:val="space"/>
      <w:lvlText w:val="%1."/>
      <w:lvlJc w:val="left"/>
    </w:lvl>
    <w:lvl w:ilvl="1" w:tentative="0">
      <w:start w:val="1"/>
      <w:numFmt w:val="decimal"/>
      <w:suff w:val="space"/>
      <w:lvlText w:val="%1.%2"/>
      <w:lvlJc w:val="left"/>
      <w:pPr>
        <w:ind w:left="4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7">
    <w:nsid w:val="0800CF2C"/>
    <w:multiLevelType w:val="singleLevel"/>
    <w:tmpl w:val="0800CF2C"/>
    <w:lvl w:ilvl="0" w:tentative="0">
      <w:start w:val="1"/>
      <w:numFmt w:val="bullet"/>
      <w:lvlText w:val=""/>
      <w:lvlJc w:val="left"/>
      <w:pPr>
        <w:ind w:left="420" w:hanging="420"/>
      </w:pPr>
      <w:rPr>
        <w:rFonts w:hint="default" w:ascii="Wingdings" w:hAnsi="Wingdings"/>
      </w:rPr>
    </w:lvl>
  </w:abstractNum>
  <w:abstractNum w:abstractNumId="8">
    <w:nsid w:val="0E30B501"/>
    <w:multiLevelType w:val="singleLevel"/>
    <w:tmpl w:val="0E30B501"/>
    <w:lvl w:ilvl="0" w:tentative="0">
      <w:start w:val="1"/>
      <w:numFmt w:val="bullet"/>
      <w:lvlText w:val=""/>
      <w:lvlJc w:val="left"/>
      <w:pPr>
        <w:ind w:left="420" w:hanging="420"/>
      </w:pPr>
      <w:rPr>
        <w:rFonts w:hint="default" w:ascii="Wingdings" w:hAnsi="Wingdings"/>
      </w:rPr>
    </w:lvl>
  </w:abstractNum>
  <w:abstractNum w:abstractNumId="9">
    <w:nsid w:val="1290FC04"/>
    <w:multiLevelType w:val="singleLevel"/>
    <w:tmpl w:val="1290FC04"/>
    <w:lvl w:ilvl="0" w:tentative="0">
      <w:start w:val="1"/>
      <w:numFmt w:val="bullet"/>
      <w:lvlText w:val=""/>
      <w:lvlJc w:val="left"/>
      <w:pPr>
        <w:ind w:left="420" w:hanging="420"/>
      </w:pPr>
      <w:rPr>
        <w:rFonts w:hint="default" w:ascii="Wingdings" w:hAnsi="Wingdings"/>
      </w:rPr>
    </w:lvl>
  </w:abstractNum>
  <w:abstractNum w:abstractNumId="10">
    <w:nsid w:val="14910110"/>
    <w:multiLevelType w:val="multilevel"/>
    <w:tmpl w:val="14910110"/>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CG Times (WN)"/>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G Times (WN)"/>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G Times (WN)"/>
      </w:rPr>
    </w:lvl>
    <w:lvl w:ilvl="8" w:tentative="0">
      <w:start w:val="1"/>
      <w:numFmt w:val="bullet"/>
      <w:lvlText w:val=""/>
      <w:lvlJc w:val="left"/>
      <w:pPr>
        <w:ind w:left="6696" w:hanging="360"/>
      </w:pPr>
      <w:rPr>
        <w:rFonts w:hint="default" w:ascii="Wingdings" w:hAnsi="Wingdings"/>
      </w:rPr>
    </w:lvl>
  </w:abstractNum>
  <w:abstractNum w:abstractNumId="11">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79A6892F"/>
    <w:multiLevelType w:val="multilevel"/>
    <w:tmpl w:val="79A6892F"/>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CG Times (WN)"/>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G Times (WN)"/>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G Times (WN)"/>
      </w:rPr>
    </w:lvl>
    <w:lvl w:ilvl="8" w:tentative="0">
      <w:start w:val="1"/>
      <w:numFmt w:val="bullet"/>
      <w:lvlText w:val=""/>
      <w:lvlJc w:val="left"/>
      <w:pPr>
        <w:ind w:left="6696" w:hanging="360"/>
      </w:pPr>
      <w:rPr>
        <w:rFonts w:hint="default" w:ascii="Wingdings" w:hAnsi="Wingdings"/>
      </w:rPr>
    </w:lvl>
  </w:abstractNum>
  <w:abstractNum w:abstractNumId="13">
    <w:nsid w:val="79BA65EF"/>
    <w:multiLevelType w:val="singleLevel"/>
    <w:tmpl w:val="79BA65EF"/>
    <w:lvl w:ilvl="0" w:tentative="0">
      <w:start w:val="1"/>
      <w:numFmt w:val="bullet"/>
      <w:lvlText w:val=""/>
      <w:lvlJc w:val="left"/>
      <w:pPr>
        <w:ind w:left="420" w:hanging="420"/>
      </w:pPr>
      <w:rPr>
        <w:rFonts w:hint="default" w:ascii="Wingdings" w:hAnsi="Wingdings"/>
      </w:rPr>
    </w:lvl>
  </w:abstractNum>
  <w:num w:numId="1">
    <w:abstractNumId w:val="4"/>
  </w:num>
  <w:num w:numId="2">
    <w:abstractNumId w:val="6"/>
  </w:num>
  <w:num w:numId="3">
    <w:abstractNumId w:val="11"/>
  </w:num>
  <w:num w:numId="4">
    <w:abstractNumId w:val="2"/>
  </w:num>
  <w:num w:numId="5">
    <w:abstractNumId w:val="10"/>
  </w:num>
  <w:num w:numId="6">
    <w:abstractNumId w:val="0"/>
  </w:num>
  <w:num w:numId="7">
    <w:abstractNumId w:val="5"/>
  </w:num>
  <w:num w:numId="8">
    <w:abstractNumId w:val="8"/>
  </w:num>
  <w:num w:numId="9">
    <w:abstractNumId w:val="1"/>
  </w:num>
  <w:num w:numId="10">
    <w:abstractNumId w:val="7"/>
  </w:num>
  <w:num w:numId="11">
    <w:abstractNumId w:val="12"/>
  </w:num>
  <w:num w:numId="12">
    <w:abstractNumId w:val="9"/>
  </w:num>
  <w:num w:numId="13">
    <w:abstractNumId w:val="13"/>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ZkZDYyNzU3ZmI0YmNiMmVhNWYyYmZkYzQyYjAwYWYifQ=="/>
  </w:docVars>
  <w:rsids>
    <w:rsidRoot w:val="00172A27"/>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058"/>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2911"/>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491"/>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489"/>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79C"/>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4E9"/>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728"/>
    <w:rsid w:val="00A27A2C"/>
    <w:rsid w:val="00A27A67"/>
    <w:rsid w:val="00A27C56"/>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C"/>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B6346"/>
    <w:rsid w:val="012F3F7C"/>
    <w:rsid w:val="017932F1"/>
    <w:rsid w:val="018A0E13"/>
    <w:rsid w:val="01A65CE3"/>
    <w:rsid w:val="01BD0368"/>
    <w:rsid w:val="01DE089D"/>
    <w:rsid w:val="020044B1"/>
    <w:rsid w:val="0203408A"/>
    <w:rsid w:val="020970CA"/>
    <w:rsid w:val="0226460D"/>
    <w:rsid w:val="023B43AB"/>
    <w:rsid w:val="028E1852"/>
    <w:rsid w:val="02C81B1F"/>
    <w:rsid w:val="02E5364E"/>
    <w:rsid w:val="03151C1F"/>
    <w:rsid w:val="03391357"/>
    <w:rsid w:val="035967B1"/>
    <w:rsid w:val="03597E40"/>
    <w:rsid w:val="035D4591"/>
    <w:rsid w:val="03631D1E"/>
    <w:rsid w:val="037E5DCB"/>
    <w:rsid w:val="03AE3097"/>
    <w:rsid w:val="03B97101"/>
    <w:rsid w:val="03BD58AF"/>
    <w:rsid w:val="03E26584"/>
    <w:rsid w:val="042B5EE3"/>
    <w:rsid w:val="04492C16"/>
    <w:rsid w:val="045647A9"/>
    <w:rsid w:val="04680BC2"/>
    <w:rsid w:val="046A6CCD"/>
    <w:rsid w:val="047B4D00"/>
    <w:rsid w:val="04A732AF"/>
    <w:rsid w:val="04B527F1"/>
    <w:rsid w:val="04CA50A6"/>
    <w:rsid w:val="05014C42"/>
    <w:rsid w:val="05026E46"/>
    <w:rsid w:val="050938D9"/>
    <w:rsid w:val="053C405B"/>
    <w:rsid w:val="056F5AD7"/>
    <w:rsid w:val="057B51DE"/>
    <w:rsid w:val="058916A3"/>
    <w:rsid w:val="059E10D1"/>
    <w:rsid w:val="05A012C8"/>
    <w:rsid w:val="05AA7D54"/>
    <w:rsid w:val="05BF54F8"/>
    <w:rsid w:val="05E277B3"/>
    <w:rsid w:val="05FF6A11"/>
    <w:rsid w:val="060557D7"/>
    <w:rsid w:val="06305334"/>
    <w:rsid w:val="0636723D"/>
    <w:rsid w:val="06434355"/>
    <w:rsid w:val="068C7C4C"/>
    <w:rsid w:val="06963DDF"/>
    <w:rsid w:val="06CC0A35"/>
    <w:rsid w:val="07031681"/>
    <w:rsid w:val="070A3CB8"/>
    <w:rsid w:val="072555DC"/>
    <w:rsid w:val="07530E8A"/>
    <w:rsid w:val="076766B5"/>
    <w:rsid w:val="0769686A"/>
    <w:rsid w:val="076E27BD"/>
    <w:rsid w:val="076E63D7"/>
    <w:rsid w:val="0770402F"/>
    <w:rsid w:val="078E5270"/>
    <w:rsid w:val="07913C76"/>
    <w:rsid w:val="07A64EC2"/>
    <w:rsid w:val="07B42F31"/>
    <w:rsid w:val="07CA6B66"/>
    <w:rsid w:val="07D102E3"/>
    <w:rsid w:val="07F15671"/>
    <w:rsid w:val="07F752A5"/>
    <w:rsid w:val="08200491"/>
    <w:rsid w:val="08425E71"/>
    <w:rsid w:val="08451B17"/>
    <w:rsid w:val="085D3E3F"/>
    <w:rsid w:val="087912F3"/>
    <w:rsid w:val="087C4EF9"/>
    <w:rsid w:val="088C4ECC"/>
    <w:rsid w:val="08973524"/>
    <w:rsid w:val="08A26EE3"/>
    <w:rsid w:val="08A65D3D"/>
    <w:rsid w:val="08F822C4"/>
    <w:rsid w:val="09002F54"/>
    <w:rsid w:val="0900762B"/>
    <w:rsid w:val="09264BC9"/>
    <w:rsid w:val="092D4D1C"/>
    <w:rsid w:val="093C3AE7"/>
    <w:rsid w:val="095F2F6D"/>
    <w:rsid w:val="09626007"/>
    <w:rsid w:val="09670379"/>
    <w:rsid w:val="097C4A9B"/>
    <w:rsid w:val="099111BE"/>
    <w:rsid w:val="09993AB5"/>
    <w:rsid w:val="09B86E7F"/>
    <w:rsid w:val="09BA2F22"/>
    <w:rsid w:val="09C147BD"/>
    <w:rsid w:val="09F0285C"/>
    <w:rsid w:val="09F66D51"/>
    <w:rsid w:val="0A0219DF"/>
    <w:rsid w:val="0A4F2875"/>
    <w:rsid w:val="0A5B7ED4"/>
    <w:rsid w:val="0A6367BB"/>
    <w:rsid w:val="0A894FD9"/>
    <w:rsid w:val="0A9458FA"/>
    <w:rsid w:val="0AA20101"/>
    <w:rsid w:val="0ABA1F25"/>
    <w:rsid w:val="0ADD2F10"/>
    <w:rsid w:val="0AE113D2"/>
    <w:rsid w:val="0AF67B8B"/>
    <w:rsid w:val="0AFD7516"/>
    <w:rsid w:val="0B0758A7"/>
    <w:rsid w:val="0B1B4548"/>
    <w:rsid w:val="0B3166EB"/>
    <w:rsid w:val="0B3F4673"/>
    <w:rsid w:val="0B5B0390"/>
    <w:rsid w:val="0B6636C2"/>
    <w:rsid w:val="0BBF5056"/>
    <w:rsid w:val="0BE65845"/>
    <w:rsid w:val="0BE92617"/>
    <w:rsid w:val="0BEA0098"/>
    <w:rsid w:val="0BF0521B"/>
    <w:rsid w:val="0BF7455D"/>
    <w:rsid w:val="0BFE4B3A"/>
    <w:rsid w:val="0C2325D0"/>
    <w:rsid w:val="0C296C83"/>
    <w:rsid w:val="0C5C1421"/>
    <w:rsid w:val="0C691E9F"/>
    <w:rsid w:val="0C8D3125"/>
    <w:rsid w:val="0CD50CD6"/>
    <w:rsid w:val="0CDD41A8"/>
    <w:rsid w:val="0D545798"/>
    <w:rsid w:val="0D5D37FD"/>
    <w:rsid w:val="0D624402"/>
    <w:rsid w:val="0D696CE5"/>
    <w:rsid w:val="0D747B9F"/>
    <w:rsid w:val="0D8F41B3"/>
    <w:rsid w:val="0DD237BC"/>
    <w:rsid w:val="0DD87DD7"/>
    <w:rsid w:val="0DE35C55"/>
    <w:rsid w:val="0E037D57"/>
    <w:rsid w:val="0E1D4B35"/>
    <w:rsid w:val="0E241F41"/>
    <w:rsid w:val="0E2E53D6"/>
    <w:rsid w:val="0E413A70"/>
    <w:rsid w:val="0E5E63A7"/>
    <w:rsid w:val="0E5F68A3"/>
    <w:rsid w:val="0E7813A9"/>
    <w:rsid w:val="0EBC441C"/>
    <w:rsid w:val="0EBD33B9"/>
    <w:rsid w:val="0EBE690E"/>
    <w:rsid w:val="0F1A117A"/>
    <w:rsid w:val="0F1C3F4D"/>
    <w:rsid w:val="0F442399"/>
    <w:rsid w:val="0F5116AE"/>
    <w:rsid w:val="0F550DD0"/>
    <w:rsid w:val="0F596ABB"/>
    <w:rsid w:val="0F5F09C4"/>
    <w:rsid w:val="0F5F4247"/>
    <w:rsid w:val="0F6273CA"/>
    <w:rsid w:val="0F7D4B34"/>
    <w:rsid w:val="0FA22032"/>
    <w:rsid w:val="0FC419ED"/>
    <w:rsid w:val="0FCB3577"/>
    <w:rsid w:val="0FD9288C"/>
    <w:rsid w:val="0FEE6FAE"/>
    <w:rsid w:val="0FF20B73"/>
    <w:rsid w:val="10003991"/>
    <w:rsid w:val="100565B7"/>
    <w:rsid w:val="101F3001"/>
    <w:rsid w:val="10254F0A"/>
    <w:rsid w:val="102E361B"/>
    <w:rsid w:val="10337AA3"/>
    <w:rsid w:val="10406DB9"/>
    <w:rsid w:val="105E6369"/>
    <w:rsid w:val="107A5C99"/>
    <w:rsid w:val="107B7E97"/>
    <w:rsid w:val="10991D9E"/>
    <w:rsid w:val="10994EC9"/>
    <w:rsid w:val="109C57D8"/>
    <w:rsid w:val="10D64689"/>
    <w:rsid w:val="10E05471"/>
    <w:rsid w:val="10ED29B0"/>
    <w:rsid w:val="10EF7E56"/>
    <w:rsid w:val="10FB74EC"/>
    <w:rsid w:val="11174F57"/>
    <w:rsid w:val="11321BC4"/>
    <w:rsid w:val="1139154F"/>
    <w:rsid w:val="113A6FD0"/>
    <w:rsid w:val="113E4A7D"/>
    <w:rsid w:val="11462FAC"/>
    <w:rsid w:val="11475BCD"/>
    <w:rsid w:val="1155307D"/>
    <w:rsid w:val="1160140E"/>
    <w:rsid w:val="116E61A6"/>
    <w:rsid w:val="11797DBA"/>
    <w:rsid w:val="117C38F8"/>
    <w:rsid w:val="117D6EEE"/>
    <w:rsid w:val="11B5219D"/>
    <w:rsid w:val="11DF67EB"/>
    <w:rsid w:val="11EA1373"/>
    <w:rsid w:val="12106FE1"/>
    <w:rsid w:val="12213A4B"/>
    <w:rsid w:val="122946DB"/>
    <w:rsid w:val="12312BE4"/>
    <w:rsid w:val="12750F57"/>
    <w:rsid w:val="12771D3B"/>
    <w:rsid w:val="12897C74"/>
    <w:rsid w:val="129C3395"/>
    <w:rsid w:val="12A00A29"/>
    <w:rsid w:val="12E83AF4"/>
    <w:rsid w:val="131A26ED"/>
    <w:rsid w:val="132966A1"/>
    <w:rsid w:val="134273A6"/>
    <w:rsid w:val="13771DFE"/>
    <w:rsid w:val="138F4439"/>
    <w:rsid w:val="13F25EC4"/>
    <w:rsid w:val="141F6297"/>
    <w:rsid w:val="14245767"/>
    <w:rsid w:val="144A7BD8"/>
    <w:rsid w:val="144A7C4E"/>
    <w:rsid w:val="145A45EF"/>
    <w:rsid w:val="145C23B3"/>
    <w:rsid w:val="14705F5E"/>
    <w:rsid w:val="147D09F5"/>
    <w:rsid w:val="149A0C5C"/>
    <w:rsid w:val="149E7662"/>
    <w:rsid w:val="14F55AF2"/>
    <w:rsid w:val="1508348E"/>
    <w:rsid w:val="15127621"/>
    <w:rsid w:val="15350710"/>
    <w:rsid w:val="155F416A"/>
    <w:rsid w:val="156354FD"/>
    <w:rsid w:val="156C0FB4"/>
    <w:rsid w:val="157902CA"/>
    <w:rsid w:val="157A51BC"/>
    <w:rsid w:val="157A5D4B"/>
    <w:rsid w:val="159557BE"/>
    <w:rsid w:val="15A85596"/>
    <w:rsid w:val="15CD7D54"/>
    <w:rsid w:val="15D00CD9"/>
    <w:rsid w:val="15E450B5"/>
    <w:rsid w:val="16371982"/>
    <w:rsid w:val="163D388B"/>
    <w:rsid w:val="16456719"/>
    <w:rsid w:val="16715CAB"/>
    <w:rsid w:val="1683077C"/>
    <w:rsid w:val="168B5B89"/>
    <w:rsid w:val="16C005E1"/>
    <w:rsid w:val="16D51FE2"/>
    <w:rsid w:val="16E06917"/>
    <w:rsid w:val="16FD2BCB"/>
    <w:rsid w:val="173B7F2B"/>
    <w:rsid w:val="175862BF"/>
    <w:rsid w:val="17912EB8"/>
    <w:rsid w:val="179D67CA"/>
    <w:rsid w:val="17B730F8"/>
    <w:rsid w:val="17C46B8A"/>
    <w:rsid w:val="17C65910"/>
    <w:rsid w:val="17C80E13"/>
    <w:rsid w:val="17E44EC0"/>
    <w:rsid w:val="17F263D4"/>
    <w:rsid w:val="17F52BDC"/>
    <w:rsid w:val="180D2D20"/>
    <w:rsid w:val="180E3E11"/>
    <w:rsid w:val="18197DDC"/>
    <w:rsid w:val="182249A5"/>
    <w:rsid w:val="182269B6"/>
    <w:rsid w:val="183A0ACF"/>
    <w:rsid w:val="18642373"/>
    <w:rsid w:val="187831B6"/>
    <w:rsid w:val="18834ED9"/>
    <w:rsid w:val="188F2DDB"/>
    <w:rsid w:val="18A656AF"/>
    <w:rsid w:val="18CE28C0"/>
    <w:rsid w:val="18E26C79"/>
    <w:rsid w:val="18E55D68"/>
    <w:rsid w:val="18EB1E70"/>
    <w:rsid w:val="18FE0AB6"/>
    <w:rsid w:val="1911682C"/>
    <w:rsid w:val="191B4BBD"/>
    <w:rsid w:val="19330066"/>
    <w:rsid w:val="1942287E"/>
    <w:rsid w:val="19813C3F"/>
    <w:rsid w:val="198E04C1"/>
    <w:rsid w:val="19A17418"/>
    <w:rsid w:val="19B263B5"/>
    <w:rsid w:val="19B93092"/>
    <w:rsid w:val="19DF2D99"/>
    <w:rsid w:val="19EA686E"/>
    <w:rsid w:val="1A0A00C9"/>
    <w:rsid w:val="1A2C607F"/>
    <w:rsid w:val="1A7D000B"/>
    <w:rsid w:val="1A8670A6"/>
    <w:rsid w:val="1A97657B"/>
    <w:rsid w:val="1A9E2B3B"/>
    <w:rsid w:val="1AAE167A"/>
    <w:rsid w:val="1AB02A55"/>
    <w:rsid w:val="1AF91F50"/>
    <w:rsid w:val="1AFD11C6"/>
    <w:rsid w:val="1B00542F"/>
    <w:rsid w:val="1B2F42F1"/>
    <w:rsid w:val="1B301DA5"/>
    <w:rsid w:val="1B3F3E40"/>
    <w:rsid w:val="1B52243D"/>
    <w:rsid w:val="1B7C00B3"/>
    <w:rsid w:val="1B7C0EA4"/>
    <w:rsid w:val="1B7D18FB"/>
    <w:rsid w:val="1BB42683"/>
    <w:rsid w:val="1BC416C3"/>
    <w:rsid w:val="1BCC31A1"/>
    <w:rsid w:val="1BDF31F9"/>
    <w:rsid w:val="1BF509C2"/>
    <w:rsid w:val="1BF95FEE"/>
    <w:rsid w:val="1C0D0793"/>
    <w:rsid w:val="1C1B332C"/>
    <w:rsid w:val="1C2A5B45"/>
    <w:rsid w:val="1C2A6C2E"/>
    <w:rsid w:val="1C363B56"/>
    <w:rsid w:val="1C527C03"/>
    <w:rsid w:val="1C700838"/>
    <w:rsid w:val="1CAB3B14"/>
    <w:rsid w:val="1CE56278"/>
    <w:rsid w:val="1CFC261A"/>
    <w:rsid w:val="1CFF6E5D"/>
    <w:rsid w:val="1D0432AA"/>
    <w:rsid w:val="1D0A4412"/>
    <w:rsid w:val="1D0B38F8"/>
    <w:rsid w:val="1D106695"/>
    <w:rsid w:val="1D1D5776"/>
    <w:rsid w:val="1D2753AE"/>
    <w:rsid w:val="1D3E218A"/>
    <w:rsid w:val="1D41310E"/>
    <w:rsid w:val="1D551DAF"/>
    <w:rsid w:val="1D67479E"/>
    <w:rsid w:val="1D6D7456"/>
    <w:rsid w:val="1D7879E5"/>
    <w:rsid w:val="1D867707"/>
    <w:rsid w:val="1DCD4643"/>
    <w:rsid w:val="1DE75A9B"/>
    <w:rsid w:val="1E295925"/>
    <w:rsid w:val="1E3D0B9B"/>
    <w:rsid w:val="1E535731"/>
    <w:rsid w:val="1E81151C"/>
    <w:rsid w:val="1E884DB6"/>
    <w:rsid w:val="1EAA2EA4"/>
    <w:rsid w:val="1EBF357F"/>
    <w:rsid w:val="1EDC50AE"/>
    <w:rsid w:val="1EFE1319"/>
    <w:rsid w:val="1F0C367F"/>
    <w:rsid w:val="1F0D1045"/>
    <w:rsid w:val="1F1F489E"/>
    <w:rsid w:val="1F2F076D"/>
    <w:rsid w:val="1F57027B"/>
    <w:rsid w:val="1F5B6C81"/>
    <w:rsid w:val="1F8B19CE"/>
    <w:rsid w:val="1FD10727"/>
    <w:rsid w:val="1FFB17BC"/>
    <w:rsid w:val="200A0BAB"/>
    <w:rsid w:val="200C3221"/>
    <w:rsid w:val="201828B7"/>
    <w:rsid w:val="203D39F0"/>
    <w:rsid w:val="20471021"/>
    <w:rsid w:val="204B2D06"/>
    <w:rsid w:val="20672636"/>
    <w:rsid w:val="20731CCC"/>
    <w:rsid w:val="20817033"/>
    <w:rsid w:val="208F37FB"/>
    <w:rsid w:val="20990887"/>
    <w:rsid w:val="20A176E1"/>
    <w:rsid w:val="20B523B5"/>
    <w:rsid w:val="20C65ED3"/>
    <w:rsid w:val="20E833A7"/>
    <w:rsid w:val="20EA2C10"/>
    <w:rsid w:val="21182A73"/>
    <w:rsid w:val="2139298F"/>
    <w:rsid w:val="216C01F4"/>
    <w:rsid w:val="219168A1"/>
    <w:rsid w:val="21B038D2"/>
    <w:rsid w:val="21D70408"/>
    <w:rsid w:val="2216237D"/>
    <w:rsid w:val="221D0ABA"/>
    <w:rsid w:val="221E7789"/>
    <w:rsid w:val="223076A3"/>
    <w:rsid w:val="22621177"/>
    <w:rsid w:val="228B3B2E"/>
    <w:rsid w:val="22A144DF"/>
    <w:rsid w:val="22AE1A04"/>
    <w:rsid w:val="22CE62A8"/>
    <w:rsid w:val="22E55ECD"/>
    <w:rsid w:val="22E84C54"/>
    <w:rsid w:val="22ED23E8"/>
    <w:rsid w:val="23325FCD"/>
    <w:rsid w:val="235E2230"/>
    <w:rsid w:val="2370600B"/>
    <w:rsid w:val="237B1C44"/>
    <w:rsid w:val="23CA7445"/>
    <w:rsid w:val="240671CC"/>
    <w:rsid w:val="241B0EB4"/>
    <w:rsid w:val="243954FA"/>
    <w:rsid w:val="24513BF6"/>
    <w:rsid w:val="24683E4B"/>
    <w:rsid w:val="246C2851"/>
    <w:rsid w:val="24775DB4"/>
    <w:rsid w:val="24805C6F"/>
    <w:rsid w:val="24841763"/>
    <w:rsid w:val="2488042D"/>
    <w:rsid w:val="24896A55"/>
    <w:rsid w:val="248A4000"/>
    <w:rsid w:val="24C36C6D"/>
    <w:rsid w:val="24CD15F1"/>
    <w:rsid w:val="24D50BFC"/>
    <w:rsid w:val="254734B9"/>
    <w:rsid w:val="254E0ABD"/>
    <w:rsid w:val="25641764"/>
    <w:rsid w:val="257C268E"/>
    <w:rsid w:val="258A21E5"/>
    <w:rsid w:val="25A10883"/>
    <w:rsid w:val="25D729E7"/>
    <w:rsid w:val="25DB04AA"/>
    <w:rsid w:val="260E417C"/>
    <w:rsid w:val="260F5480"/>
    <w:rsid w:val="262454B3"/>
    <w:rsid w:val="26382DB8"/>
    <w:rsid w:val="264017D0"/>
    <w:rsid w:val="264542D6"/>
    <w:rsid w:val="265C4D5F"/>
    <w:rsid w:val="26644B8A"/>
    <w:rsid w:val="268279BE"/>
    <w:rsid w:val="2683355D"/>
    <w:rsid w:val="268A1547"/>
    <w:rsid w:val="268B3CAF"/>
    <w:rsid w:val="269243D5"/>
    <w:rsid w:val="26A73075"/>
    <w:rsid w:val="26B2270B"/>
    <w:rsid w:val="26E61C61"/>
    <w:rsid w:val="26E718E0"/>
    <w:rsid w:val="26F853FE"/>
    <w:rsid w:val="270B1F80"/>
    <w:rsid w:val="274B1605"/>
    <w:rsid w:val="27706A48"/>
    <w:rsid w:val="277D7855"/>
    <w:rsid w:val="27816C71"/>
    <w:rsid w:val="278B3C06"/>
    <w:rsid w:val="27990C94"/>
    <w:rsid w:val="27C61EE6"/>
    <w:rsid w:val="27E33F9B"/>
    <w:rsid w:val="27E67D93"/>
    <w:rsid w:val="27F23097"/>
    <w:rsid w:val="2805016B"/>
    <w:rsid w:val="281F2C62"/>
    <w:rsid w:val="282A3BEE"/>
    <w:rsid w:val="28461D1E"/>
    <w:rsid w:val="286036CB"/>
    <w:rsid w:val="2896161D"/>
    <w:rsid w:val="28A2792A"/>
    <w:rsid w:val="28AA4C8A"/>
    <w:rsid w:val="28DF529E"/>
    <w:rsid w:val="28E30421"/>
    <w:rsid w:val="293E52B8"/>
    <w:rsid w:val="294A494E"/>
    <w:rsid w:val="29560760"/>
    <w:rsid w:val="2960326E"/>
    <w:rsid w:val="296A7401"/>
    <w:rsid w:val="2970130A"/>
    <w:rsid w:val="2975343F"/>
    <w:rsid w:val="297731BB"/>
    <w:rsid w:val="29922597"/>
    <w:rsid w:val="29A311B3"/>
    <w:rsid w:val="29AE0DEF"/>
    <w:rsid w:val="29B84F82"/>
    <w:rsid w:val="29C71D19"/>
    <w:rsid w:val="29DB09B9"/>
    <w:rsid w:val="29F51563"/>
    <w:rsid w:val="29F70B5E"/>
    <w:rsid w:val="29F87F6A"/>
    <w:rsid w:val="29FB0EEE"/>
    <w:rsid w:val="29FE3300"/>
    <w:rsid w:val="2A0E468C"/>
    <w:rsid w:val="2A144016"/>
    <w:rsid w:val="2A241E56"/>
    <w:rsid w:val="2A24682F"/>
    <w:rsid w:val="2A270F8C"/>
    <w:rsid w:val="2A2C74BF"/>
    <w:rsid w:val="2A377A4E"/>
    <w:rsid w:val="2A3A2BC6"/>
    <w:rsid w:val="2A53737E"/>
    <w:rsid w:val="2A573A81"/>
    <w:rsid w:val="2A5D7C8E"/>
    <w:rsid w:val="2A704730"/>
    <w:rsid w:val="2A8049CB"/>
    <w:rsid w:val="2A8A52DA"/>
    <w:rsid w:val="2AC70C94"/>
    <w:rsid w:val="2AE354DA"/>
    <w:rsid w:val="2AE83C9F"/>
    <w:rsid w:val="2AE9730D"/>
    <w:rsid w:val="2B01299A"/>
    <w:rsid w:val="2B1E47FB"/>
    <w:rsid w:val="2B2A3B5F"/>
    <w:rsid w:val="2B3F5899"/>
    <w:rsid w:val="2B6A6B46"/>
    <w:rsid w:val="2B7042D3"/>
    <w:rsid w:val="2B7A5997"/>
    <w:rsid w:val="2B807A80"/>
    <w:rsid w:val="2B833767"/>
    <w:rsid w:val="2BBE65D0"/>
    <w:rsid w:val="2BCE466D"/>
    <w:rsid w:val="2C0547C6"/>
    <w:rsid w:val="2C380499"/>
    <w:rsid w:val="2C3E1AC5"/>
    <w:rsid w:val="2C401128"/>
    <w:rsid w:val="2C8A2F49"/>
    <w:rsid w:val="2C9F3BCE"/>
    <w:rsid w:val="2CA12446"/>
    <w:rsid w:val="2CA64350"/>
    <w:rsid w:val="2CDB1327"/>
    <w:rsid w:val="2CF9108B"/>
    <w:rsid w:val="2CFB0BBA"/>
    <w:rsid w:val="2D0B6272"/>
    <w:rsid w:val="2D34475F"/>
    <w:rsid w:val="2D3D007C"/>
    <w:rsid w:val="2D4D51B1"/>
    <w:rsid w:val="2D4D79AC"/>
    <w:rsid w:val="2D593F87"/>
    <w:rsid w:val="2D5F79DA"/>
    <w:rsid w:val="2D8E0DCA"/>
    <w:rsid w:val="2D976090"/>
    <w:rsid w:val="2DA873F6"/>
    <w:rsid w:val="2DB7418D"/>
    <w:rsid w:val="2DD00879"/>
    <w:rsid w:val="2DD5373D"/>
    <w:rsid w:val="2DF80479"/>
    <w:rsid w:val="2E020D89"/>
    <w:rsid w:val="2E0B52AE"/>
    <w:rsid w:val="2E0E041F"/>
    <w:rsid w:val="2E141396"/>
    <w:rsid w:val="2E2A44CC"/>
    <w:rsid w:val="2E4317F2"/>
    <w:rsid w:val="2E747DC3"/>
    <w:rsid w:val="2E8F1C72"/>
    <w:rsid w:val="2E9C0F87"/>
    <w:rsid w:val="2EA61F97"/>
    <w:rsid w:val="2EB7077F"/>
    <w:rsid w:val="2EB8044F"/>
    <w:rsid w:val="2EC16B9C"/>
    <w:rsid w:val="2ED53072"/>
    <w:rsid w:val="2ED8336B"/>
    <w:rsid w:val="2EDF426C"/>
    <w:rsid w:val="2EE93605"/>
    <w:rsid w:val="2EEC200B"/>
    <w:rsid w:val="2EEC4E92"/>
    <w:rsid w:val="2F1A1856"/>
    <w:rsid w:val="2F1C0982"/>
    <w:rsid w:val="2F357E81"/>
    <w:rsid w:val="2F5B00C1"/>
    <w:rsid w:val="2F63302B"/>
    <w:rsid w:val="2F6973D6"/>
    <w:rsid w:val="2F747966"/>
    <w:rsid w:val="2FA801C0"/>
    <w:rsid w:val="2FCB6344"/>
    <w:rsid w:val="2FE04DD6"/>
    <w:rsid w:val="2FEC0BD0"/>
    <w:rsid w:val="2FEC1523"/>
    <w:rsid w:val="300D5786"/>
    <w:rsid w:val="3011145B"/>
    <w:rsid w:val="30163006"/>
    <w:rsid w:val="30524DF2"/>
    <w:rsid w:val="305E446B"/>
    <w:rsid w:val="306B7868"/>
    <w:rsid w:val="30781792"/>
    <w:rsid w:val="3099089E"/>
    <w:rsid w:val="30A563A3"/>
    <w:rsid w:val="30B97FFD"/>
    <w:rsid w:val="30D32C5B"/>
    <w:rsid w:val="30E346C5"/>
    <w:rsid w:val="31187F2F"/>
    <w:rsid w:val="313C4D53"/>
    <w:rsid w:val="31432160"/>
    <w:rsid w:val="31490DA5"/>
    <w:rsid w:val="31570E00"/>
    <w:rsid w:val="315F185A"/>
    <w:rsid w:val="315F5D75"/>
    <w:rsid w:val="31A54783"/>
    <w:rsid w:val="31CA113F"/>
    <w:rsid w:val="31E91E87"/>
    <w:rsid w:val="320E10B5"/>
    <w:rsid w:val="3243059C"/>
    <w:rsid w:val="32697D44"/>
    <w:rsid w:val="326D0948"/>
    <w:rsid w:val="328A5CFA"/>
    <w:rsid w:val="32C835E0"/>
    <w:rsid w:val="32D23EF0"/>
    <w:rsid w:val="32DF7982"/>
    <w:rsid w:val="331537CD"/>
    <w:rsid w:val="331B1D66"/>
    <w:rsid w:val="331E4E70"/>
    <w:rsid w:val="33285651"/>
    <w:rsid w:val="332F4289"/>
    <w:rsid w:val="336E17F0"/>
    <w:rsid w:val="33814F8D"/>
    <w:rsid w:val="33C133A6"/>
    <w:rsid w:val="33CC276C"/>
    <w:rsid w:val="33E2230D"/>
    <w:rsid w:val="33FB26D9"/>
    <w:rsid w:val="341355E1"/>
    <w:rsid w:val="3424001A"/>
    <w:rsid w:val="34291F23"/>
    <w:rsid w:val="342B1D46"/>
    <w:rsid w:val="343B213D"/>
    <w:rsid w:val="34413D46"/>
    <w:rsid w:val="34432ACD"/>
    <w:rsid w:val="344A45A5"/>
    <w:rsid w:val="345C5BF5"/>
    <w:rsid w:val="34692D0C"/>
    <w:rsid w:val="348103B3"/>
    <w:rsid w:val="34A76F6E"/>
    <w:rsid w:val="34E116D1"/>
    <w:rsid w:val="356F47B8"/>
    <w:rsid w:val="357C3ACE"/>
    <w:rsid w:val="357D1550"/>
    <w:rsid w:val="35962F2D"/>
    <w:rsid w:val="359F2D89"/>
    <w:rsid w:val="35AB6D2D"/>
    <w:rsid w:val="35B629AE"/>
    <w:rsid w:val="35B71496"/>
    <w:rsid w:val="35B73EBF"/>
    <w:rsid w:val="35B8262E"/>
    <w:rsid w:val="35BA5B31"/>
    <w:rsid w:val="35C74E47"/>
    <w:rsid w:val="35CC12CF"/>
    <w:rsid w:val="35D319E6"/>
    <w:rsid w:val="35D72EE3"/>
    <w:rsid w:val="35E328D9"/>
    <w:rsid w:val="35E768F5"/>
    <w:rsid w:val="35F559C7"/>
    <w:rsid w:val="36075C31"/>
    <w:rsid w:val="36286165"/>
    <w:rsid w:val="362A4EEC"/>
    <w:rsid w:val="362D458B"/>
    <w:rsid w:val="36354715"/>
    <w:rsid w:val="36414A73"/>
    <w:rsid w:val="364A0F5C"/>
    <w:rsid w:val="36510879"/>
    <w:rsid w:val="36E16C19"/>
    <w:rsid w:val="37036DCD"/>
    <w:rsid w:val="372F46A7"/>
    <w:rsid w:val="37726C9D"/>
    <w:rsid w:val="379A1E22"/>
    <w:rsid w:val="37BD6848"/>
    <w:rsid w:val="37CC6816"/>
    <w:rsid w:val="37DE6907"/>
    <w:rsid w:val="37E47740"/>
    <w:rsid w:val="37E810A7"/>
    <w:rsid w:val="380E1C87"/>
    <w:rsid w:val="38994363"/>
    <w:rsid w:val="38A9437C"/>
    <w:rsid w:val="38C2712E"/>
    <w:rsid w:val="38D16127"/>
    <w:rsid w:val="390B4FA4"/>
    <w:rsid w:val="391842BA"/>
    <w:rsid w:val="39390072"/>
    <w:rsid w:val="393C0FF6"/>
    <w:rsid w:val="39515718"/>
    <w:rsid w:val="39592B25"/>
    <w:rsid w:val="39675731"/>
    <w:rsid w:val="39706EC7"/>
    <w:rsid w:val="39741150"/>
    <w:rsid w:val="39787B56"/>
    <w:rsid w:val="398E1CFA"/>
    <w:rsid w:val="39923F83"/>
    <w:rsid w:val="399A358E"/>
    <w:rsid w:val="39B62EBE"/>
    <w:rsid w:val="3A130B08"/>
    <w:rsid w:val="3A2A75FA"/>
    <w:rsid w:val="3A332488"/>
    <w:rsid w:val="3A3F5379"/>
    <w:rsid w:val="3A436689"/>
    <w:rsid w:val="3A4614A9"/>
    <w:rsid w:val="3A675260"/>
    <w:rsid w:val="3A8646CD"/>
    <w:rsid w:val="3AAC45FF"/>
    <w:rsid w:val="3AB704E3"/>
    <w:rsid w:val="3AC37B79"/>
    <w:rsid w:val="3AE070A1"/>
    <w:rsid w:val="3AED09BD"/>
    <w:rsid w:val="3AF86D4E"/>
    <w:rsid w:val="3B1E2869"/>
    <w:rsid w:val="3B4413CB"/>
    <w:rsid w:val="3B617677"/>
    <w:rsid w:val="3B757B5E"/>
    <w:rsid w:val="3B882DB9"/>
    <w:rsid w:val="3B883620"/>
    <w:rsid w:val="3B997439"/>
    <w:rsid w:val="3B9E4F5D"/>
    <w:rsid w:val="3BA65BED"/>
    <w:rsid w:val="3BA96B71"/>
    <w:rsid w:val="3BAA5C47"/>
    <w:rsid w:val="3BCE5AAC"/>
    <w:rsid w:val="3BDB4DC2"/>
    <w:rsid w:val="3BE47C50"/>
    <w:rsid w:val="3BE60613"/>
    <w:rsid w:val="3C090267"/>
    <w:rsid w:val="3C09240E"/>
    <w:rsid w:val="3C146221"/>
    <w:rsid w:val="3C1D10AF"/>
    <w:rsid w:val="3C277440"/>
    <w:rsid w:val="3C317D4F"/>
    <w:rsid w:val="3C532626"/>
    <w:rsid w:val="3C5C6615"/>
    <w:rsid w:val="3C7360F1"/>
    <w:rsid w:val="3CC365B8"/>
    <w:rsid w:val="3CD51844"/>
    <w:rsid w:val="3CE979FE"/>
    <w:rsid w:val="3D08452F"/>
    <w:rsid w:val="3D0F1AC5"/>
    <w:rsid w:val="3D3675FD"/>
    <w:rsid w:val="3D5001A7"/>
    <w:rsid w:val="3D55441E"/>
    <w:rsid w:val="3D6B2F4F"/>
    <w:rsid w:val="3D713555"/>
    <w:rsid w:val="3D741DEE"/>
    <w:rsid w:val="3D85737C"/>
    <w:rsid w:val="3D9C3FFF"/>
    <w:rsid w:val="3DA92F31"/>
    <w:rsid w:val="3DB3244A"/>
    <w:rsid w:val="3DC213DF"/>
    <w:rsid w:val="3DDE328E"/>
    <w:rsid w:val="3E0B0DB0"/>
    <w:rsid w:val="3E0C635B"/>
    <w:rsid w:val="3E116F60"/>
    <w:rsid w:val="3E2204FF"/>
    <w:rsid w:val="3E4D6DC5"/>
    <w:rsid w:val="3E572F58"/>
    <w:rsid w:val="3E636D6A"/>
    <w:rsid w:val="3E872DEF"/>
    <w:rsid w:val="3E962A3C"/>
    <w:rsid w:val="3E9704BE"/>
    <w:rsid w:val="3EE94A45"/>
    <w:rsid w:val="3F043070"/>
    <w:rsid w:val="3F1D2CEE"/>
    <w:rsid w:val="3F4924E0"/>
    <w:rsid w:val="3F4D6968"/>
    <w:rsid w:val="3F572AFA"/>
    <w:rsid w:val="3F6116ED"/>
    <w:rsid w:val="3F6803AE"/>
    <w:rsid w:val="3F8B424E"/>
    <w:rsid w:val="3F934EDE"/>
    <w:rsid w:val="3FA56E51"/>
    <w:rsid w:val="3FA97081"/>
    <w:rsid w:val="3FB14FDF"/>
    <w:rsid w:val="3FC0585C"/>
    <w:rsid w:val="3FC71ED2"/>
    <w:rsid w:val="3FCE6ABE"/>
    <w:rsid w:val="40130E98"/>
    <w:rsid w:val="401665E5"/>
    <w:rsid w:val="401776B5"/>
    <w:rsid w:val="403501D5"/>
    <w:rsid w:val="40516596"/>
    <w:rsid w:val="407E4ADB"/>
    <w:rsid w:val="408966EF"/>
    <w:rsid w:val="408D7F6C"/>
    <w:rsid w:val="40B04E56"/>
    <w:rsid w:val="40C60753"/>
    <w:rsid w:val="40C761D4"/>
    <w:rsid w:val="40D01062"/>
    <w:rsid w:val="40D15800"/>
    <w:rsid w:val="40D24565"/>
    <w:rsid w:val="40D50D6D"/>
    <w:rsid w:val="40D74270"/>
    <w:rsid w:val="410113A2"/>
    <w:rsid w:val="4115648E"/>
    <w:rsid w:val="41383010"/>
    <w:rsid w:val="414848BB"/>
    <w:rsid w:val="415D4149"/>
    <w:rsid w:val="416F143B"/>
    <w:rsid w:val="41880811"/>
    <w:rsid w:val="419633AA"/>
    <w:rsid w:val="41B44DE2"/>
    <w:rsid w:val="41C60C56"/>
    <w:rsid w:val="41D72F2F"/>
    <w:rsid w:val="41E9727E"/>
    <w:rsid w:val="41F50509"/>
    <w:rsid w:val="420226D9"/>
    <w:rsid w:val="42375131"/>
    <w:rsid w:val="42610172"/>
    <w:rsid w:val="426339F7"/>
    <w:rsid w:val="426623FD"/>
    <w:rsid w:val="42705E47"/>
    <w:rsid w:val="42733C91"/>
    <w:rsid w:val="427C45A1"/>
    <w:rsid w:val="428803B3"/>
    <w:rsid w:val="428C76CE"/>
    <w:rsid w:val="42916AC5"/>
    <w:rsid w:val="42941C47"/>
    <w:rsid w:val="42A3645B"/>
    <w:rsid w:val="42CE0B28"/>
    <w:rsid w:val="42D37514"/>
    <w:rsid w:val="42E874D3"/>
    <w:rsid w:val="42EF678D"/>
    <w:rsid w:val="42FA3F4F"/>
    <w:rsid w:val="43046EDF"/>
    <w:rsid w:val="432106B2"/>
    <w:rsid w:val="435C7492"/>
    <w:rsid w:val="43603542"/>
    <w:rsid w:val="436807A8"/>
    <w:rsid w:val="43790FC1"/>
    <w:rsid w:val="43942E55"/>
    <w:rsid w:val="439901E8"/>
    <w:rsid w:val="43A14703"/>
    <w:rsid w:val="43BB74AB"/>
    <w:rsid w:val="43CD51C7"/>
    <w:rsid w:val="43CE2382"/>
    <w:rsid w:val="43EC12FF"/>
    <w:rsid w:val="43F11B33"/>
    <w:rsid w:val="43F17986"/>
    <w:rsid w:val="43FF4262"/>
    <w:rsid w:val="4401219E"/>
    <w:rsid w:val="44062B2A"/>
    <w:rsid w:val="440875AB"/>
    <w:rsid w:val="444678CE"/>
    <w:rsid w:val="444744C8"/>
    <w:rsid w:val="44495B09"/>
    <w:rsid w:val="444A3897"/>
    <w:rsid w:val="44565A46"/>
    <w:rsid w:val="445C041A"/>
    <w:rsid w:val="44604594"/>
    <w:rsid w:val="447E086E"/>
    <w:rsid w:val="44940CE7"/>
    <w:rsid w:val="449A491B"/>
    <w:rsid w:val="44A42F93"/>
    <w:rsid w:val="44B454C5"/>
    <w:rsid w:val="44C125DD"/>
    <w:rsid w:val="44C147DB"/>
    <w:rsid w:val="44CA2EEC"/>
    <w:rsid w:val="44D35D7A"/>
    <w:rsid w:val="44DD6689"/>
    <w:rsid w:val="44E7774D"/>
    <w:rsid w:val="45127C50"/>
    <w:rsid w:val="45177768"/>
    <w:rsid w:val="451F3201"/>
    <w:rsid w:val="452B6409"/>
    <w:rsid w:val="454221FD"/>
    <w:rsid w:val="454416D4"/>
    <w:rsid w:val="45595C53"/>
    <w:rsid w:val="455E7EDC"/>
    <w:rsid w:val="45830A1B"/>
    <w:rsid w:val="458A4224"/>
    <w:rsid w:val="458D51A8"/>
    <w:rsid w:val="459B4244"/>
    <w:rsid w:val="45A33E4B"/>
    <w:rsid w:val="45A94422"/>
    <w:rsid w:val="45B253E8"/>
    <w:rsid w:val="45CC5F92"/>
    <w:rsid w:val="46236563"/>
    <w:rsid w:val="465C2D4B"/>
    <w:rsid w:val="465C457C"/>
    <w:rsid w:val="46641988"/>
    <w:rsid w:val="466A6809"/>
    <w:rsid w:val="467609A9"/>
    <w:rsid w:val="469842A4"/>
    <w:rsid w:val="46B86E94"/>
    <w:rsid w:val="46CB2631"/>
    <w:rsid w:val="46E67A01"/>
    <w:rsid w:val="46F87BA3"/>
    <w:rsid w:val="470F78A3"/>
    <w:rsid w:val="47262D4B"/>
    <w:rsid w:val="474A246F"/>
    <w:rsid w:val="47524F9F"/>
    <w:rsid w:val="47670737"/>
    <w:rsid w:val="47810CBA"/>
    <w:rsid w:val="47BE6742"/>
    <w:rsid w:val="47D927EF"/>
    <w:rsid w:val="47F00216"/>
    <w:rsid w:val="47F236FB"/>
    <w:rsid w:val="47FE4FAD"/>
    <w:rsid w:val="480004B0"/>
    <w:rsid w:val="48066B36"/>
    <w:rsid w:val="480F5247"/>
    <w:rsid w:val="4839608B"/>
    <w:rsid w:val="483A3F41"/>
    <w:rsid w:val="485D1370"/>
    <w:rsid w:val="485E2A48"/>
    <w:rsid w:val="48622CF7"/>
    <w:rsid w:val="4869465C"/>
    <w:rsid w:val="488678AB"/>
    <w:rsid w:val="48B06FCF"/>
    <w:rsid w:val="48C37CC6"/>
    <w:rsid w:val="48C7724C"/>
    <w:rsid w:val="48FF25D1"/>
    <w:rsid w:val="49281A93"/>
    <w:rsid w:val="492F313E"/>
    <w:rsid w:val="495010D7"/>
    <w:rsid w:val="4955555E"/>
    <w:rsid w:val="49611371"/>
    <w:rsid w:val="497027BF"/>
    <w:rsid w:val="49A21DDA"/>
    <w:rsid w:val="49E453DD"/>
    <w:rsid w:val="49EE4458"/>
    <w:rsid w:val="4A09569D"/>
    <w:rsid w:val="4A2137F9"/>
    <w:rsid w:val="4A3C21D9"/>
    <w:rsid w:val="4A521971"/>
    <w:rsid w:val="4A880DD3"/>
    <w:rsid w:val="4A9B7DF4"/>
    <w:rsid w:val="4A9C4E28"/>
    <w:rsid w:val="4AEC68F9"/>
    <w:rsid w:val="4AF41787"/>
    <w:rsid w:val="4AFF7B18"/>
    <w:rsid w:val="4B254325"/>
    <w:rsid w:val="4B275459"/>
    <w:rsid w:val="4B2941E0"/>
    <w:rsid w:val="4B2D7363"/>
    <w:rsid w:val="4B595378"/>
    <w:rsid w:val="4B7D2F03"/>
    <w:rsid w:val="4BE90D9B"/>
    <w:rsid w:val="4BEF2CA4"/>
    <w:rsid w:val="4BFF2F3E"/>
    <w:rsid w:val="4C205671"/>
    <w:rsid w:val="4C261BDE"/>
    <w:rsid w:val="4C334692"/>
    <w:rsid w:val="4C5D7D69"/>
    <w:rsid w:val="4C660668"/>
    <w:rsid w:val="4C6F730B"/>
    <w:rsid w:val="4C816990"/>
    <w:rsid w:val="4CB613E8"/>
    <w:rsid w:val="4CCC6E0F"/>
    <w:rsid w:val="4CE51F37"/>
    <w:rsid w:val="4CEA6D66"/>
    <w:rsid w:val="4D1B40EF"/>
    <w:rsid w:val="4D2079EB"/>
    <w:rsid w:val="4D2B4C2A"/>
    <w:rsid w:val="4D2F6526"/>
    <w:rsid w:val="4D3A7443"/>
    <w:rsid w:val="4D570F71"/>
    <w:rsid w:val="4D6F7F85"/>
    <w:rsid w:val="4D700045"/>
    <w:rsid w:val="4DB12905"/>
    <w:rsid w:val="4DE1452E"/>
    <w:rsid w:val="4DEE01EB"/>
    <w:rsid w:val="4DF036EE"/>
    <w:rsid w:val="4DF30DF0"/>
    <w:rsid w:val="4DF6271E"/>
    <w:rsid w:val="4DF73079"/>
    <w:rsid w:val="4DFC16FF"/>
    <w:rsid w:val="4E0023E1"/>
    <w:rsid w:val="4E03108A"/>
    <w:rsid w:val="4E042C86"/>
    <w:rsid w:val="4E1F275B"/>
    <w:rsid w:val="4E2822B5"/>
    <w:rsid w:val="4E5A1A99"/>
    <w:rsid w:val="4E640249"/>
    <w:rsid w:val="4E723844"/>
    <w:rsid w:val="4E7D0D54"/>
    <w:rsid w:val="4E835C30"/>
    <w:rsid w:val="4E85035F"/>
    <w:rsid w:val="4E9E77F7"/>
    <w:rsid w:val="4EB95335"/>
    <w:rsid w:val="4ED33CE1"/>
    <w:rsid w:val="4F01352B"/>
    <w:rsid w:val="4F13254C"/>
    <w:rsid w:val="4F26376B"/>
    <w:rsid w:val="4F2E0B78"/>
    <w:rsid w:val="4F423F95"/>
    <w:rsid w:val="4F4C1158"/>
    <w:rsid w:val="4F6279AB"/>
    <w:rsid w:val="4FA74FBE"/>
    <w:rsid w:val="4FBF6DE2"/>
    <w:rsid w:val="501555F2"/>
    <w:rsid w:val="502D7993"/>
    <w:rsid w:val="502E071A"/>
    <w:rsid w:val="504273BB"/>
    <w:rsid w:val="505605DA"/>
    <w:rsid w:val="506A727A"/>
    <w:rsid w:val="50941CF8"/>
    <w:rsid w:val="509636E2"/>
    <w:rsid w:val="50B13272"/>
    <w:rsid w:val="50B6710F"/>
    <w:rsid w:val="50BC2F96"/>
    <w:rsid w:val="50C51F13"/>
    <w:rsid w:val="50CA3E1C"/>
    <w:rsid w:val="50CA639A"/>
    <w:rsid w:val="50DE7239"/>
    <w:rsid w:val="51435EF0"/>
    <w:rsid w:val="51A227FA"/>
    <w:rsid w:val="51A57002"/>
    <w:rsid w:val="51B95CA3"/>
    <w:rsid w:val="51F65583"/>
    <w:rsid w:val="520A0F25"/>
    <w:rsid w:val="521274CB"/>
    <w:rsid w:val="522265CC"/>
    <w:rsid w:val="523D726B"/>
    <w:rsid w:val="52611333"/>
    <w:rsid w:val="528278EA"/>
    <w:rsid w:val="52B5070D"/>
    <w:rsid w:val="52B719B0"/>
    <w:rsid w:val="52CE6C13"/>
    <w:rsid w:val="52E03A67"/>
    <w:rsid w:val="52FC46EA"/>
    <w:rsid w:val="53427D28"/>
    <w:rsid w:val="534D042C"/>
    <w:rsid w:val="5350703E"/>
    <w:rsid w:val="536A7319"/>
    <w:rsid w:val="538B07B0"/>
    <w:rsid w:val="538C361F"/>
    <w:rsid w:val="538D10A1"/>
    <w:rsid w:val="53A46AC8"/>
    <w:rsid w:val="53A54549"/>
    <w:rsid w:val="53C25E9B"/>
    <w:rsid w:val="53DC6880"/>
    <w:rsid w:val="53F47B4C"/>
    <w:rsid w:val="53F70AD0"/>
    <w:rsid w:val="5403314B"/>
    <w:rsid w:val="54213B13"/>
    <w:rsid w:val="54273FC7"/>
    <w:rsid w:val="542A2224"/>
    <w:rsid w:val="544A4CD7"/>
    <w:rsid w:val="545309AA"/>
    <w:rsid w:val="54537B65"/>
    <w:rsid w:val="54782323"/>
    <w:rsid w:val="54BF0519"/>
    <w:rsid w:val="54E603D9"/>
    <w:rsid w:val="552827AD"/>
    <w:rsid w:val="552B1450"/>
    <w:rsid w:val="552C30CC"/>
    <w:rsid w:val="552D6BF5"/>
    <w:rsid w:val="555317F4"/>
    <w:rsid w:val="55584783"/>
    <w:rsid w:val="55835CD9"/>
    <w:rsid w:val="558E2FA7"/>
    <w:rsid w:val="55922A70"/>
    <w:rsid w:val="559B1181"/>
    <w:rsid w:val="55B464A8"/>
    <w:rsid w:val="55B577AC"/>
    <w:rsid w:val="55B7742C"/>
    <w:rsid w:val="55BD2802"/>
    <w:rsid w:val="55D67CE1"/>
    <w:rsid w:val="55F969E7"/>
    <w:rsid w:val="56024028"/>
    <w:rsid w:val="5616190A"/>
    <w:rsid w:val="563F7711"/>
    <w:rsid w:val="56856B80"/>
    <w:rsid w:val="56941399"/>
    <w:rsid w:val="56962361"/>
    <w:rsid w:val="569F71AC"/>
    <w:rsid w:val="56BA15D9"/>
    <w:rsid w:val="56E65920"/>
    <w:rsid w:val="56EF3AF5"/>
    <w:rsid w:val="56F23931"/>
    <w:rsid w:val="56F83407"/>
    <w:rsid w:val="571A4227"/>
    <w:rsid w:val="571E54DC"/>
    <w:rsid w:val="572210F5"/>
    <w:rsid w:val="572A730E"/>
    <w:rsid w:val="57435A05"/>
    <w:rsid w:val="5744373B"/>
    <w:rsid w:val="574B7843"/>
    <w:rsid w:val="576146B9"/>
    <w:rsid w:val="57677173"/>
    <w:rsid w:val="577044C9"/>
    <w:rsid w:val="577865C9"/>
    <w:rsid w:val="578F7CCE"/>
    <w:rsid w:val="579C1BCB"/>
    <w:rsid w:val="579D1528"/>
    <w:rsid w:val="57B74973"/>
    <w:rsid w:val="57E1103B"/>
    <w:rsid w:val="57E23AB5"/>
    <w:rsid w:val="57F020A7"/>
    <w:rsid w:val="57F91F65"/>
    <w:rsid w:val="580637F9"/>
    <w:rsid w:val="58144D0D"/>
    <w:rsid w:val="58244FA7"/>
    <w:rsid w:val="58420BB7"/>
    <w:rsid w:val="58467715"/>
    <w:rsid w:val="587B1239"/>
    <w:rsid w:val="58886F75"/>
    <w:rsid w:val="58965BC6"/>
    <w:rsid w:val="58B65B9B"/>
    <w:rsid w:val="5906339C"/>
    <w:rsid w:val="593309E8"/>
    <w:rsid w:val="598227C6"/>
    <w:rsid w:val="59907A7D"/>
    <w:rsid w:val="599F3D55"/>
    <w:rsid w:val="59AD4E2E"/>
    <w:rsid w:val="59B07FB1"/>
    <w:rsid w:val="59EB5450"/>
    <w:rsid w:val="59FB712C"/>
    <w:rsid w:val="59FD262F"/>
    <w:rsid w:val="5A050D40"/>
    <w:rsid w:val="5A09064B"/>
    <w:rsid w:val="5A364636"/>
    <w:rsid w:val="5A5468C1"/>
    <w:rsid w:val="5A5A624C"/>
    <w:rsid w:val="5A770B6E"/>
    <w:rsid w:val="5A7B6781"/>
    <w:rsid w:val="5A8A0BF0"/>
    <w:rsid w:val="5AB246DC"/>
    <w:rsid w:val="5AB3215E"/>
    <w:rsid w:val="5AB61CF5"/>
    <w:rsid w:val="5AD05E8B"/>
    <w:rsid w:val="5AD42692"/>
    <w:rsid w:val="5AE250B9"/>
    <w:rsid w:val="5AE65E30"/>
    <w:rsid w:val="5B076365"/>
    <w:rsid w:val="5B122177"/>
    <w:rsid w:val="5B2F7529"/>
    <w:rsid w:val="5B81246B"/>
    <w:rsid w:val="5B814DBA"/>
    <w:rsid w:val="5B8931D8"/>
    <w:rsid w:val="5BBA168B"/>
    <w:rsid w:val="5BBD01B3"/>
    <w:rsid w:val="5C13779B"/>
    <w:rsid w:val="5C297741"/>
    <w:rsid w:val="5C443BB1"/>
    <w:rsid w:val="5C784F41"/>
    <w:rsid w:val="5C813653"/>
    <w:rsid w:val="5CB660AB"/>
    <w:rsid w:val="5CC611FF"/>
    <w:rsid w:val="5CCF11D3"/>
    <w:rsid w:val="5D4A309B"/>
    <w:rsid w:val="5D6A315C"/>
    <w:rsid w:val="5D7F7CF2"/>
    <w:rsid w:val="5D851C35"/>
    <w:rsid w:val="5DAA43BA"/>
    <w:rsid w:val="5DBB1104"/>
    <w:rsid w:val="5DBC7B57"/>
    <w:rsid w:val="5DDE7708"/>
    <w:rsid w:val="5DF04B2E"/>
    <w:rsid w:val="5E0C0BDB"/>
    <w:rsid w:val="5E203FF8"/>
    <w:rsid w:val="5E77028A"/>
    <w:rsid w:val="5F187E14"/>
    <w:rsid w:val="5F255EFF"/>
    <w:rsid w:val="5F3C12CD"/>
    <w:rsid w:val="5F3D0F4D"/>
    <w:rsid w:val="5F5159EF"/>
    <w:rsid w:val="5FA7072F"/>
    <w:rsid w:val="5FBE2597"/>
    <w:rsid w:val="5FC559AE"/>
    <w:rsid w:val="5FDA5B33"/>
    <w:rsid w:val="5FDC7E75"/>
    <w:rsid w:val="5FF120B4"/>
    <w:rsid w:val="60083E99"/>
    <w:rsid w:val="603A596D"/>
    <w:rsid w:val="606964BC"/>
    <w:rsid w:val="607B393B"/>
    <w:rsid w:val="609B470C"/>
    <w:rsid w:val="60AC4695"/>
    <w:rsid w:val="60BA2331"/>
    <w:rsid w:val="60D45B6B"/>
    <w:rsid w:val="60D6106E"/>
    <w:rsid w:val="60EB32AF"/>
    <w:rsid w:val="61051BBD"/>
    <w:rsid w:val="61171AD8"/>
    <w:rsid w:val="61187559"/>
    <w:rsid w:val="612325BD"/>
    <w:rsid w:val="612620F2"/>
    <w:rsid w:val="612B657A"/>
    <w:rsid w:val="6142291C"/>
    <w:rsid w:val="61495B2A"/>
    <w:rsid w:val="614E316C"/>
    <w:rsid w:val="61B606DC"/>
    <w:rsid w:val="61B73BDF"/>
    <w:rsid w:val="61EE1B3B"/>
    <w:rsid w:val="61F35FC3"/>
    <w:rsid w:val="61FE0917"/>
    <w:rsid w:val="620152D8"/>
    <w:rsid w:val="621F3A14"/>
    <w:rsid w:val="623B4768"/>
    <w:rsid w:val="623E513D"/>
    <w:rsid w:val="62563CE5"/>
    <w:rsid w:val="62D005C0"/>
    <w:rsid w:val="62E47AC9"/>
    <w:rsid w:val="63097D09"/>
    <w:rsid w:val="63192522"/>
    <w:rsid w:val="6350047D"/>
    <w:rsid w:val="63723EB5"/>
    <w:rsid w:val="63852ED6"/>
    <w:rsid w:val="63A84BAA"/>
    <w:rsid w:val="63AC7512"/>
    <w:rsid w:val="63BB0C13"/>
    <w:rsid w:val="6412053C"/>
    <w:rsid w:val="64430D0B"/>
    <w:rsid w:val="648065F1"/>
    <w:rsid w:val="64864BE4"/>
    <w:rsid w:val="64971BDD"/>
    <w:rsid w:val="64B607D2"/>
    <w:rsid w:val="64BA3B41"/>
    <w:rsid w:val="64F81E92"/>
    <w:rsid w:val="65015C46"/>
    <w:rsid w:val="65046BCA"/>
    <w:rsid w:val="650A2CD2"/>
    <w:rsid w:val="650B0753"/>
    <w:rsid w:val="650B1D75"/>
    <w:rsid w:val="650D32FF"/>
    <w:rsid w:val="651435E1"/>
    <w:rsid w:val="651B09EE"/>
    <w:rsid w:val="654153AA"/>
    <w:rsid w:val="654D4A40"/>
    <w:rsid w:val="6566621E"/>
    <w:rsid w:val="656746D9"/>
    <w:rsid w:val="657703CD"/>
    <w:rsid w:val="65821697"/>
    <w:rsid w:val="65CE6293"/>
    <w:rsid w:val="65DD6A10"/>
    <w:rsid w:val="65F740ED"/>
    <w:rsid w:val="66077C6A"/>
    <w:rsid w:val="660A60F8"/>
    <w:rsid w:val="661E7317"/>
    <w:rsid w:val="664514B2"/>
    <w:rsid w:val="66495BDD"/>
    <w:rsid w:val="666D4B17"/>
    <w:rsid w:val="669E696B"/>
    <w:rsid w:val="66B3780A"/>
    <w:rsid w:val="66B94F97"/>
    <w:rsid w:val="66BA4C17"/>
    <w:rsid w:val="66C60005"/>
    <w:rsid w:val="66D435C2"/>
    <w:rsid w:val="66D76745"/>
    <w:rsid w:val="66DC6450"/>
    <w:rsid w:val="66ED66EB"/>
    <w:rsid w:val="671E273D"/>
    <w:rsid w:val="6746007E"/>
    <w:rsid w:val="67763396"/>
    <w:rsid w:val="6779274B"/>
    <w:rsid w:val="6784366C"/>
    <w:rsid w:val="678A1A6C"/>
    <w:rsid w:val="67926E78"/>
    <w:rsid w:val="679F070D"/>
    <w:rsid w:val="67A9335C"/>
    <w:rsid w:val="67D44D17"/>
    <w:rsid w:val="68014F2E"/>
    <w:rsid w:val="680229AF"/>
    <w:rsid w:val="6802310C"/>
    <w:rsid w:val="68033CB4"/>
    <w:rsid w:val="680B32BF"/>
    <w:rsid w:val="680C4CB4"/>
    <w:rsid w:val="680E2045"/>
    <w:rsid w:val="68123743"/>
    <w:rsid w:val="68334803"/>
    <w:rsid w:val="68374408"/>
    <w:rsid w:val="68400296"/>
    <w:rsid w:val="686739D9"/>
    <w:rsid w:val="68706867"/>
    <w:rsid w:val="68976726"/>
    <w:rsid w:val="68A869C0"/>
    <w:rsid w:val="68AE46A4"/>
    <w:rsid w:val="68B43AD8"/>
    <w:rsid w:val="69156EBB"/>
    <w:rsid w:val="6937148E"/>
    <w:rsid w:val="6946267D"/>
    <w:rsid w:val="69760313"/>
    <w:rsid w:val="698A6FB3"/>
    <w:rsid w:val="69CC54C3"/>
    <w:rsid w:val="69DD483F"/>
    <w:rsid w:val="69E36748"/>
    <w:rsid w:val="69F47683"/>
    <w:rsid w:val="69F942E4"/>
    <w:rsid w:val="6A010AFD"/>
    <w:rsid w:val="6A0568FD"/>
    <w:rsid w:val="6A2B6B3C"/>
    <w:rsid w:val="6A2F5543"/>
    <w:rsid w:val="6A5F0290"/>
    <w:rsid w:val="6A865F51"/>
    <w:rsid w:val="6A92342E"/>
    <w:rsid w:val="6AA40D85"/>
    <w:rsid w:val="6ABB09AA"/>
    <w:rsid w:val="6ACB27CE"/>
    <w:rsid w:val="6AD74A57"/>
    <w:rsid w:val="6B266753"/>
    <w:rsid w:val="6B4F341C"/>
    <w:rsid w:val="6B5E3972"/>
    <w:rsid w:val="6B7845E0"/>
    <w:rsid w:val="6B7A7AE3"/>
    <w:rsid w:val="6B9F60AC"/>
    <w:rsid w:val="6BA350A4"/>
    <w:rsid w:val="6BC52A2B"/>
    <w:rsid w:val="6BD20172"/>
    <w:rsid w:val="6BFA38B5"/>
    <w:rsid w:val="6C0A3B4F"/>
    <w:rsid w:val="6C254067"/>
    <w:rsid w:val="6C3426E1"/>
    <w:rsid w:val="6C5703CB"/>
    <w:rsid w:val="6C61455E"/>
    <w:rsid w:val="6C68196A"/>
    <w:rsid w:val="6C6B28EF"/>
    <w:rsid w:val="6C774F51"/>
    <w:rsid w:val="6C7A1884"/>
    <w:rsid w:val="6CD62F24"/>
    <w:rsid w:val="6D0A6F75"/>
    <w:rsid w:val="6D2E4BAB"/>
    <w:rsid w:val="6D4A44DB"/>
    <w:rsid w:val="6D63623C"/>
    <w:rsid w:val="6D812437"/>
    <w:rsid w:val="6D853006"/>
    <w:rsid w:val="6D8E77D6"/>
    <w:rsid w:val="6DE82CCD"/>
    <w:rsid w:val="6DEB7F47"/>
    <w:rsid w:val="6E087CA3"/>
    <w:rsid w:val="6E123F24"/>
    <w:rsid w:val="6E3B72E7"/>
    <w:rsid w:val="6E5C02CB"/>
    <w:rsid w:val="6E680DA5"/>
    <w:rsid w:val="6E6E0DBB"/>
    <w:rsid w:val="6E804558"/>
    <w:rsid w:val="6E885993"/>
    <w:rsid w:val="6EA0288E"/>
    <w:rsid w:val="6EE509F4"/>
    <w:rsid w:val="6EE81D8D"/>
    <w:rsid w:val="6EF0198C"/>
    <w:rsid w:val="6EFC51A7"/>
    <w:rsid w:val="6F023405"/>
    <w:rsid w:val="6F0B13DB"/>
    <w:rsid w:val="6F181253"/>
    <w:rsid w:val="6F25039A"/>
    <w:rsid w:val="6F311879"/>
    <w:rsid w:val="6F376285"/>
    <w:rsid w:val="6F607449"/>
    <w:rsid w:val="6F7F22C0"/>
    <w:rsid w:val="6F8040FB"/>
    <w:rsid w:val="6F8D3411"/>
    <w:rsid w:val="6FA8783E"/>
    <w:rsid w:val="6FBC2EB1"/>
    <w:rsid w:val="6FCE1C7C"/>
    <w:rsid w:val="6FDB6D93"/>
    <w:rsid w:val="700346D4"/>
    <w:rsid w:val="70457B4C"/>
    <w:rsid w:val="7046232B"/>
    <w:rsid w:val="70623166"/>
    <w:rsid w:val="70714D08"/>
    <w:rsid w:val="7073020B"/>
    <w:rsid w:val="709C35CE"/>
    <w:rsid w:val="70B30FF5"/>
    <w:rsid w:val="70D127A3"/>
    <w:rsid w:val="70F86AD9"/>
    <w:rsid w:val="71032079"/>
    <w:rsid w:val="7163218B"/>
    <w:rsid w:val="716C0423"/>
    <w:rsid w:val="718B39D1"/>
    <w:rsid w:val="71936767"/>
    <w:rsid w:val="71A26F09"/>
    <w:rsid w:val="71C032CE"/>
    <w:rsid w:val="720F35F2"/>
    <w:rsid w:val="72100F31"/>
    <w:rsid w:val="7220374A"/>
    <w:rsid w:val="72287D95"/>
    <w:rsid w:val="72304FDF"/>
    <w:rsid w:val="723356D2"/>
    <w:rsid w:val="723A1D75"/>
    <w:rsid w:val="72434C03"/>
    <w:rsid w:val="7247717D"/>
    <w:rsid w:val="726E237F"/>
    <w:rsid w:val="729926C8"/>
    <w:rsid w:val="72A815A9"/>
    <w:rsid w:val="72DB607B"/>
    <w:rsid w:val="73096F4B"/>
    <w:rsid w:val="73131A58"/>
    <w:rsid w:val="73142D5D"/>
    <w:rsid w:val="7317045F"/>
    <w:rsid w:val="732D5E85"/>
    <w:rsid w:val="733B7399"/>
    <w:rsid w:val="733D42E3"/>
    <w:rsid w:val="734E1AC2"/>
    <w:rsid w:val="736D33EC"/>
    <w:rsid w:val="737230F7"/>
    <w:rsid w:val="73854316"/>
    <w:rsid w:val="73950D2D"/>
    <w:rsid w:val="73A57DF9"/>
    <w:rsid w:val="73A744CA"/>
    <w:rsid w:val="73AC617D"/>
    <w:rsid w:val="73CC19D5"/>
    <w:rsid w:val="74126445"/>
    <w:rsid w:val="741A7D2C"/>
    <w:rsid w:val="74486D25"/>
    <w:rsid w:val="744978D7"/>
    <w:rsid w:val="746016FA"/>
    <w:rsid w:val="74694588"/>
    <w:rsid w:val="746C550D"/>
    <w:rsid w:val="74AF2AFE"/>
    <w:rsid w:val="74B54A08"/>
    <w:rsid w:val="74C5141F"/>
    <w:rsid w:val="74CB0DAA"/>
    <w:rsid w:val="74E146D2"/>
    <w:rsid w:val="74F86B15"/>
    <w:rsid w:val="750F0599"/>
    <w:rsid w:val="75394C61"/>
    <w:rsid w:val="754D5E80"/>
    <w:rsid w:val="756A3232"/>
    <w:rsid w:val="75745DF5"/>
    <w:rsid w:val="75876F5E"/>
    <w:rsid w:val="75895CE5"/>
    <w:rsid w:val="759901A2"/>
    <w:rsid w:val="759F2407"/>
    <w:rsid w:val="75CF5154"/>
    <w:rsid w:val="75D02BD6"/>
    <w:rsid w:val="75E15270"/>
    <w:rsid w:val="76116EC2"/>
    <w:rsid w:val="76325B80"/>
    <w:rsid w:val="76514429"/>
    <w:rsid w:val="768A3309"/>
    <w:rsid w:val="76B72ED4"/>
    <w:rsid w:val="76C07F60"/>
    <w:rsid w:val="76E3721B"/>
    <w:rsid w:val="76F00D88"/>
    <w:rsid w:val="771928DB"/>
    <w:rsid w:val="771C067A"/>
    <w:rsid w:val="772032D2"/>
    <w:rsid w:val="772A6AEC"/>
    <w:rsid w:val="77693C0F"/>
    <w:rsid w:val="77695CCA"/>
    <w:rsid w:val="776C5E7A"/>
    <w:rsid w:val="77785510"/>
    <w:rsid w:val="779415BD"/>
    <w:rsid w:val="779C0BC8"/>
    <w:rsid w:val="779C4C9B"/>
    <w:rsid w:val="77B25750"/>
    <w:rsid w:val="77C2468B"/>
    <w:rsid w:val="77DE0738"/>
    <w:rsid w:val="780A11FC"/>
    <w:rsid w:val="780B5507"/>
    <w:rsid w:val="7855167B"/>
    <w:rsid w:val="788F4999"/>
    <w:rsid w:val="78A53586"/>
    <w:rsid w:val="78A92755"/>
    <w:rsid w:val="78B8009B"/>
    <w:rsid w:val="78B9366E"/>
    <w:rsid w:val="78BC17CD"/>
    <w:rsid w:val="78C5192F"/>
    <w:rsid w:val="78D366C6"/>
    <w:rsid w:val="78FC6C88"/>
    <w:rsid w:val="79065C1B"/>
    <w:rsid w:val="790B20A3"/>
    <w:rsid w:val="79171739"/>
    <w:rsid w:val="794E3CFA"/>
    <w:rsid w:val="796C47DC"/>
    <w:rsid w:val="7980361D"/>
    <w:rsid w:val="799B610F"/>
    <w:rsid w:val="799D7414"/>
    <w:rsid w:val="79D85F74"/>
    <w:rsid w:val="79DF2C7C"/>
    <w:rsid w:val="79E47779"/>
    <w:rsid w:val="79F57AA2"/>
    <w:rsid w:val="7A194129"/>
    <w:rsid w:val="7A1F66E8"/>
    <w:rsid w:val="7A22766D"/>
    <w:rsid w:val="7A361B91"/>
    <w:rsid w:val="7A36791A"/>
    <w:rsid w:val="7A4C3D34"/>
    <w:rsid w:val="7A6A7A61"/>
    <w:rsid w:val="7A7C0DAF"/>
    <w:rsid w:val="7A7D4CC5"/>
    <w:rsid w:val="7AC04CBB"/>
    <w:rsid w:val="7AD57A5A"/>
    <w:rsid w:val="7AD9139A"/>
    <w:rsid w:val="7AE67D87"/>
    <w:rsid w:val="7AE83BB3"/>
    <w:rsid w:val="7AF379C5"/>
    <w:rsid w:val="7B0940E7"/>
    <w:rsid w:val="7B484ED1"/>
    <w:rsid w:val="7B6E2211"/>
    <w:rsid w:val="7B8472B4"/>
    <w:rsid w:val="7BC80470"/>
    <w:rsid w:val="7BE0484E"/>
    <w:rsid w:val="7C081A8C"/>
    <w:rsid w:val="7C0A4F8F"/>
    <w:rsid w:val="7C0F40E4"/>
    <w:rsid w:val="7C153320"/>
    <w:rsid w:val="7C207132"/>
    <w:rsid w:val="7C345209"/>
    <w:rsid w:val="7C362168"/>
    <w:rsid w:val="7C482875"/>
    <w:rsid w:val="7C485039"/>
    <w:rsid w:val="7C513185"/>
    <w:rsid w:val="7C5D3714"/>
    <w:rsid w:val="7C5E6A3F"/>
    <w:rsid w:val="7C823224"/>
    <w:rsid w:val="7C8F51E8"/>
    <w:rsid w:val="7C92278E"/>
    <w:rsid w:val="7C970076"/>
    <w:rsid w:val="7CD32459"/>
    <w:rsid w:val="7CDE07EA"/>
    <w:rsid w:val="7CE271F0"/>
    <w:rsid w:val="7CEF1D89"/>
    <w:rsid w:val="7CF22D0E"/>
    <w:rsid w:val="7D0C0035"/>
    <w:rsid w:val="7D407A70"/>
    <w:rsid w:val="7D42434A"/>
    <w:rsid w:val="7D4D3494"/>
    <w:rsid w:val="7D9E7791"/>
    <w:rsid w:val="7DA22244"/>
    <w:rsid w:val="7DBC28DE"/>
    <w:rsid w:val="7DC50AE8"/>
    <w:rsid w:val="7DCE3976"/>
    <w:rsid w:val="7DFB0564"/>
    <w:rsid w:val="7E0B59D9"/>
    <w:rsid w:val="7E1178E2"/>
    <w:rsid w:val="7E4C3A0F"/>
    <w:rsid w:val="7E4C3A98"/>
    <w:rsid w:val="7E4C4244"/>
    <w:rsid w:val="7E4F51C9"/>
    <w:rsid w:val="7E9E07CB"/>
    <w:rsid w:val="7EDD5D31"/>
    <w:rsid w:val="7F1A61C1"/>
    <w:rsid w:val="7F23352A"/>
    <w:rsid w:val="7F2C38B2"/>
    <w:rsid w:val="7F6C211D"/>
    <w:rsid w:val="7F6C689A"/>
    <w:rsid w:val="7F7D33DC"/>
    <w:rsid w:val="7F7E58BB"/>
    <w:rsid w:val="7F8242C1"/>
    <w:rsid w:val="7FA06BEF"/>
    <w:rsid w:val="7FAA1790"/>
    <w:rsid w:val="7FAB1C02"/>
    <w:rsid w:val="7FBD539F"/>
    <w:rsid w:val="7FC13DA6"/>
    <w:rsid w:val="7FC31E9F"/>
    <w:rsid w:val="7FD3213E"/>
    <w:rsid w:val="7FD8724E"/>
    <w:rsid w:val="7FED5957"/>
    <w:rsid w:val="7FF16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3"/>
    <w:unhideWhenUsed/>
    <w:qFormat/>
    <w:uiPriority w:val="9"/>
    <w:p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6"/>
    <w:unhideWhenUsed/>
    <w:qFormat/>
    <w:uiPriority w:val="9"/>
    <w:pPr>
      <w:keepNext/>
      <w:keepLines/>
      <w:spacing w:before="50" w:beforeLines="50" w:after="50" w:afterLines="50"/>
      <w:outlineLvl w:val="2"/>
    </w:pPr>
    <w:rPr>
      <w:rFonts w:ascii="Arial" w:hAnsi="Arial" w:eastAsia="Arial Unicode MS"/>
      <w:bCs/>
      <w:sz w:val="30"/>
      <w:szCs w:val="32"/>
    </w:rPr>
  </w:style>
  <w:style w:type="paragraph" w:styleId="5">
    <w:name w:val="heading 5"/>
    <w:basedOn w:val="1"/>
    <w:next w:val="1"/>
    <w:link w:val="50"/>
    <w:semiHidden/>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0"/>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39"/>
    <w:semiHidden/>
    <w:unhideWhenUsed/>
    <w:qFormat/>
    <w:uiPriority w:val="99"/>
    <w:rPr>
      <w:rFonts w:ascii="宋体"/>
      <w:sz w:val="18"/>
      <w:szCs w:val="18"/>
    </w:rPr>
  </w:style>
  <w:style w:type="paragraph" w:styleId="8">
    <w:name w:val="annotation text"/>
    <w:basedOn w:val="1"/>
    <w:link w:val="37"/>
    <w:unhideWhenUsed/>
    <w:qFormat/>
    <w:uiPriority w:val="0"/>
    <w:pPr>
      <w:jc w:val="left"/>
    </w:pPr>
  </w:style>
  <w:style w:type="paragraph" w:styleId="9">
    <w:name w:val="List 2"/>
    <w:basedOn w:val="10"/>
    <w:qFormat/>
    <w:uiPriority w:val="0"/>
    <w:pPr>
      <w:ind w:left="851"/>
    </w:pPr>
  </w:style>
  <w:style w:type="paragraph" w:styleId="10">
    <w:name w:val="List"/>
    <w:basedOn w:val="1"/>
    <w:semiHidden/>
    <w:unhideWhenUsed/>
    <w:qFormat/>
    <w:uiPriority w:val="99"/>
    <w:pPr>
      <w:ind w:left="200" w:hanging="200" w:hangingChars="200"/>
      <w:contextualSpacing/>
    </w:pPr>
  </w:style>
  <w:style w:type="paragraph" w:styleId="11">
    <w:name w:val="Balloon Text"/>
    <w:basedOn w:val="1"/>
    <w:link w:val="35"/>
    <w:semiHidden/>
    <w:unhideWhenUsed/>
    <w:qFormat/>
    <w:uiPriority w:val="99"/>
    <w:rPr>
      <w:sz w:val="18"/>
      <w:szCs w:val="18"/>
    </w:rPr>
  </w:style>
  <w:style w:type="paragraph" w:styleId="12">
    <w:name w:val="footer"/>
    <w:basedOn w:val="1"/>
    <w:link w:val="22"/>
    <w:unhideWhenUsed/>
    <w:qFormat/>
    <w:uiPriority w:val="99"/>
    <w:pPr>
      <w:tabs>
        <w:tab w:val="center" w:pos="4153"/>
        <w:tab w:val="right" w:pos="8306"/>
      </w:tabs>
      <w:snapToGrid w:val="0"/>
      <w:jc w:val="left"/>
    </w:pPr>
    <w:rPr>
      <w:sz w:val="18"/>
      <w:szCs w:val="18"/>
    </w:rPr>
  </w:style>
  <w:style w:type="paragraph" w:styleId="13">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8"/>
    <w:next w:val="8"/>
    <w:link w:val="38"/>
    <w:semiHidden/>
    <w:unhideWhenUsed/>
    <w:qFormat/>
    <w:uiPriority w:val="99"/>
    <w:rPr>
      <w:b/>
      <w:bCs/>
    </w:rPr>
  </w:style>
  <w:style w:type="table" w:styleId="17">
    <w:name w:val="Table Grid"/>
    <w:basedOn w:val="16"/>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页眉 字符"/>
    <w:basedOn w:val="18"/>
    <w:link w:val="13"/>
    <w:qFormat/>
    <w:uiPriority w:val="99"/>
    <w:rPr>
      <w:sz w:val="18"/>
      <w:szCs w:val="18"/>
    </w:rPr>
  </w:style>
  <w:style w:type="character" w:customStyle="1" w:styleId="22">
    <w:name w:val="页脚 字符"/>
    <w:basedOn w:val="18"/>
    <w:link w:val="12"/>
    <w:qFormat/>
    <w:uiPriority w:val="99"/>
    <w:rPr>
      <w:sz w:val="18"/>
      <w:szCs w:val="18"/>
    </w:rPr>
  </w:style>
  <w:style w:type="character" w:customStyle="1" w:styleId="23">
    <w:name w:val="Char Char"/>
    <w:link w:val="24"/>
    <w:qFormat/>
    <w:uiPriority w:val="0"/>
    <w:rPr>
      <w:rFonts w:ascii="Arial" w:hAnsi="Arial"/>
      <w:sz w:val="32"/>
      <w:szCs w:val="36"/>
    </w:rPr>
  </w:style>
  <w:style w:type="paragraph" w:customStyle="1" w:styleId="24">
    <w:name w:val="Char"/>
    <w:basedOn w:val="25"/>
    <w:link w:val="23"/>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5">
    <w:name w:val="List Paragraph"/>
    <w:basedOn w:val="1"/>
    <w:link w:val="41"/>
    <w:qFormat/>
    <w:uiPriority w:val="34"/>
    <w:pPr>
      <w:ind w:firstLine="420" w:firstLineChars="200"/>
    </w:pPr>
  </w:style>
  <w:style w:type="character" w:customStyle="1" w:styleId="26">
    <w:name w:val="TAH Car"/>
    <w:link w:val="27"/>
    <w:qFormat/>
    <w:uiPriority w:val="0"/>
    <w:rPr>
      <w:rFonts w:ascii="Arial" w:hAnsi="Arial" w:eastAsia="Times New Roman" w:cs="Times New Roman"/>
      <w:b/>
      <w:kern w:val="0"/>
      <w:sz w:val="18"/>
      <w:szCs w:val="20"/>
      <w:lang w:val="en-GB" w:eastAsia="ja-JP"/>
    </w:rPr>
  </w:style>
  <w:style w:type="paragraph" w:customStyle="1" w:styleId="27">
    <w:name w:val="TAH"/>
    <w:basedOn w:val="28"/>
    <w:link w:val="26"/>
    <w:qFormat/>
    <w:uiPriority w:val="0"/>
    <w:rPr>
      <w:b/>
    </w:rPr>
  </w:style>
  <w:style w:type="paragraph" w:customStyle="1" w:styleId="28">
    <w:name w:val="TAC"/>
    <w:basedOn w:val="29"/>
    <w:link w:val="32"/>
    <w:qFormat/>
    <w:uiPriority w:val="0"/>
    <w:pPr>
      <w:overflowPunct w:val="0"/>
      <w:autoSpaceDE w:val="0"/>
      <w:autoSpaceDN w:val="0"/>
      <w:adjustRightInd w:val="0"/>
      <w:jc w:val="center"/>
      <w:textAlignment w:val="baseline"/>
    </w:pPr>
    <w:rPr>
      <w:lang w:eastAsia="ja-JP"/>
    </w:rPr>
  </w:style>
  <w:style w:type="paragraph" w:customStyle="1" w:styleId="29">
    <w:name w:val="TAL"/>
    <w:basedOn w:val="1"/>
    <w:link w:val="36"/>
    <w:qFormat/>
    <w:uiPriority w:val="0"/>
    <w:pPr>
      <w:keepNext/>
      <w:keepLines/>
      <w:widowControl/>
      <w:jc w:val="left"/>
    </w:pPr>
    <w:rPr>
      <w:rFonts w:ascii="Arial" w:hAnsi="Arial" w:eastAsia="Times New Roman"/>
      <w:kern w:val="0"/>
      <w:sz w:val="18"/>
      <w:szCs w:val="20"/>
      <w:lang w:val="en-GB" w:eastAsia="en-US"/>
    </w:rPr>
  </w:style>
  <w:style w:type="character" w:customStyle="1" w:styleId="30">
    <w:name w:val="B1 Char"/>
    <w:link w:val="31"/>
    <w:qFormat/>
    <w:uiPriority w:val="0"/>
    <w:rPr>
      <w:rFonts w:ascii="Times New Roman" w:hAnsi="Times New Roman" w:eastAsia="MS Mincho"/>
      <w:lang w:val="en-GB" w:eastAsia="de-DE"/>
    </w:rPr>
  </w:style>
  <w:style w:type="paragraph" w:customStyle="1" w:styleId="31">
    <w:name w:val="B1"/>
    <w:basedOn w:val="10"/>
    <w:link w:val="30"/>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2">
    <w:name w:val="TAC Char"/>
    <w:link w:val="28"/>
    <w:qFormat/>
    <w:uiPriority w:val="0"/>
    <w:rPr>
      <w:rFonts w:ascii="Arial" w:hAnsi="Arial" w:eastAsia="Times New Roman" w:cs="Times New Roman"/>
      <w:kern w:val="0"/>
      <w:sz w:val="18"/>
      <w:szCs w:val="20"/>
      <w:lang w:val="en-GB" w:eastAsia="ja-JP"/>
    </w:rPr>
  </w:style>
  <w:style w:type="paragraph" w:styleId="33">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4">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5">
    <w:name w:val="批注框文本 字符"/>
    <w:basedOn w:val="18"/>
    <w:link w:val="11"/>
    <w:semiHidden/>
    <w:qFormat/>
    <w:uiPriority w:val="99"/>
    <w:rPr>
      <w:rFonts w:ascii="CG Times (WN)" w:hAnsi="CG Times (WN)" w:eastAsia="宋体" w:cs="Times New Roman"/>
      <w:sz w:val="18"/>
      <w:szCs w:val="18"/>
    </w:rPr>
  </w:style>
  <w:style w:type="character" w:customStyle="1" w:styleId="36">
    <w:name w:val="TAL Char"/>
    <w:link w:val="29"/>
    <w:qFormat/>
    <w:uiPriority w:val="0"/>
    <w:rPr>
      <w:rFonts w:ascii="Arial" w:hAnsi="Arial" w:eastAsia="Times New Roman" w:cs="Times New Roman"/>
      <w:kern w:val="0"/>
      <w:sz w:val="18"/>
      <w:szCs w:val="20"/>
      <w:lang w:val="en-GB" w:eastAsia="en-US"/>
    </w:rPr>
  </w:style>
  <w:style w:type="character" w:customStyle="1" w:styleId="37">
    <w:name w:val="批注文字 字符"/>
    <w:basedOn w:val="18"/>
    <w:link w:val="8"/>
    <w:qFormat/>
    <w:uiPriority w:val="0"/>
    <w:rPr>
      <w:rFonts w:ascii="CG Times (WN)" w:hAnsi="CG Times (WN)" w:eastAsia="宋体" w:cs="Times New Roman"/>
    </w:rPr>
  </w:style>
  <w:style w:type="character" w:customStyle="1" w:styleId="38">
    <w:name w:val="批注主题 字符"/>
    <w:basedOn w:val="37"/>
    <w:link w:val="15"/>
    <w:semiHidden/>
    <w:qFormat/>
    <w:uiPriority w:val="99"/>
    <w:rPr>
      <w:rFonts w:ascii="CG Times (WN)" w:hAnsi="CG Times (WN)" w:eastAsia="宋体" w:cs="Times New Roman"/>
      <w:b/>
      <w:bCs/>
    </w:rPr>
  </w:style>
  <w:style w:type="character" w:customStyle="1" w:styleId="39">
    <w:name w:val="文档结构图 字符"/>
    <w:basedOn w:val="18"/>
    <w:link w:val="7"/>
    <w:semiHidden/>
    <w:qFormat/>
    <w:uiPriority w:val="99"/>
    <w:rPr>
      <w:rFonts w:ascii="宋体" w:hAnsi="CG Times (WN)" w:eastAsia="宋体" w:cs="Times New Roman"/>
      <w:sz w:val="18"/>
      <w:szCs w:val="18"/>
    </w:rPr>
  </w:style>
  <w:style w:type="character" w:customStyle="1" w:styleId="40">
    <w:name w:val="题注 字符"/>
    <w:link w:val="6"/>
    <w:qFormat/>
    <w:uiPriority w:val="35"/>
    <w:rPr>
      <w:rFonts w:ascii="Times New Roman" w:hAnsi="Times New Roman" w:eastAsia="MS Mincho" w:cs="Times New Roman"/>
      <w:b/>
      <w:kern w:val="0"/>
      <w:sz w:val="20"/>
      <w:szCs w:val="20"/>
      <w:lang w:val="en-GB" w:eastAsia="en-US"/>
    </w:rPr>
  </w:style>
  <w:style w:type="character" w:customStyle="1" w:styleId="41">
    <w:name w:val="列表段落 字符"/>
    <w:link w:val="25"/>
    <w:qFormat/>
    <w:uiPriority w:val="34"/>
    <w:rPr>
      <w:rFonts w:ascii="CG Times (WN)" w:hAnsi="CG Times (WN)" w:eastAsia="宋体" w:cs="Times New Roma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3">
    <w:name w:val="标题 2 字符"/>
    <w:basedOn w:val="18"/>
    <w:link w:val="3"/>
    <w:qFormat/>
    <w:uiPriority w:val="9"/>
    <w:rPr>
      <w:rFonts w:asciiTheme="majorHAnsi" w:hAnsiTheme="majorHAnsi" w:eastAsiaTheme="majorEastAsia" w:cstheme="majorBidi"/>
      <w:b/>
      <w:bCs/>
      <w:sz w:val="32"/>
      <w:szCs w:val="32"/>
    </w:rPr>
  </w:style>
  <w:style w:type="table" w:customStyle="1" w:styleId="44">
    <w:name w:val="网格型1"/>
    <w:basedOn w:val="16"/>
    <w:qFormat/>
    <w:uiPriority w:val="39"/>
    <w:rPr>
      <w:rFonts w:ascii="Calibri" w:hAnsi="Calibri"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2"/>
    <w:basedOn w:val="16"/>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标题 3 字符"/>
    <w:basedOn w:val="18"/>
    <w:link w:val="4"/>
    <w:qFormat/>
    <w:uiPriority w:val="9"/>
    <w:rPr>
      <w:rFonts w:ascii="Arial" w:hAnsi="Arial" w:eastAsia="Arial Unicode MS" w:cs="Times New Roman"/>
      <w:bCs/>
      <w:sz w:val="30"/>
      <w:szCs w:val="32"/>
    </w:rPr>
  </w:style>
  <w:style w:type="table" w:customStyle="1" w:styleId="47">
    <w:name w:val="网格型3"/>
    <w:basedOn w:val="16"/>
    <w:qFormat/>
    <w:uiPriority w:val="0"/>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laceholder Text"/>
    <w:basedOn w:val="18"/>
    <w:semiHidden/>
    <w:qFormat/>
    <w:uiPriority w:val="99"/>
    <w:rPr>
      <w:color w:val="808080"/>
    </w:rPr>
  </w:style>
  <w:style w:type="table" w:customStyle="1" w:styleId="49">
    <w:name w:val="Table Grid1"/>
    <w:basedOn w:val="16"/>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标题 5 字符"/>
    <w:basedOn w:val="18"/>
    <w:link w:val="5"/>
    <w:semiHidden/>
    <w:qFormat/>
    <w:uiPriority w:val="9"/>
    <w:rPr>
      <w:rFonts w:ascii="CG Times (WN)" w:hAnsi="CG Times (WN)" w:eastAsia="宋体" w:cs="Times New Roman"/>
      <w:b/>
      <w:bCs/>
      <w:sz w:val="28"/>
      <w:szCs w:val="28"/>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EQ"/>
    <w:basedOn w:val="1"/>
    <w:next w:val="1"/>
    <w:qFormat/>
    <w:uiPriority w:val="0"/>
    <w:pPr>
      <w:keepLines/>
      <w:tabs>
        <w:tab w:val="center" w:pos="4536"/>
        <w:tab w:val="right" w:pos="9072"/>
      </w:tabs>
    </w:pPr>
  </w:style>
  <w:style w:type="paragraph" w:customStyle="1" w:styleId="53">
    <w:name w:val="B2"/>
    <w:basedOn w:val="9"/>
    <w:qFormat/>
    <w:uiPriority w:val="0"/>
  </w:style>
  <w:style w:type="paragraph" w:customStyle="1" w:styleId="54">
    <w:name w:val="TAN"/>
    <w:basedOn w:val="29"/>
    <w:qFormat/>
    <w:uiPriority w:val="0"/>
    <w:pPr>
      <w:ind w:left="851" w:hanging="851"/>
    </w:pPr>
  </w:style>
  <w:style w:type="character" w:customStyle="1" w:styleId="55">
    <w:name w:val="B1 Char1"/>
    <w:qFormat/>
    <w:uiPriority w:val="0"/>
    <w:rPr>
      <w:rFonts w:eastAsia="Times New Roman"/>
    </w:rPr>
  </w:style>
  <w:style w:type="paragraph" w:customStyle="1" w:styleId="56">
    <w:name w:val="enumlev1"/>
    <w:basedOn w:val="1"/>
    <w:qFormat/>
    <w:uiPriority w:val="0"/>
    <w:pPr>
      <w:tabs>
        <w:tab w:val="left" w:pos="1134"/>
        <w:tab w:val="left" w:pos="1871"/>
        <w:tab w:val="left" w:pos="2608"/>
        <w:tab w:val="left" w:pos="3345"/>
      </w:tabs>
      <w:spacing w:before="80"/>
      <w:ind w:left="1134" w:hanging="1134"/>
    </w:pPr>
  </w:style>
  <w:style w:type="paragraph" w:customStyle="1" w:styleId="57">
    <w:name w:val="Table_title"/>
    <w:basedOn w:val="1"/>
    <w:next w:val="58"/>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58">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59">
    <w:name w:val="enumlev2"/>
    <w:basedOn w:val="56"/>
    <w:qFormat/>
    <w:uiPriority w:val="99"/>
    <w:pPr>
      <w:ind w:left="1871" w:hanging="737"/>
    </w:pPr>
  </w:style>
  <w:style w:type="paragraph" w:customStyle="1" w:styleId="60">
    <w:name w:val="enumlev3"/>
    <w:basedOn w:val="59"/>
    <w:qFormat/>
    <w:uiPriority w:val="0"/>
    <w:pPr>
      <w:ind w:left="2268" w:hanging="397"/>
    </w:pPr>
  </w:style>
  <w:style w:type="paragraph" w:customStyle="1" w:styleId="61">
    <w:name w:val="Revision"/>
    <w:hidden/>
    <w:unhideWhenUsed/>
    <w:qFormat/>
    <w:uiPriority w:val="99"/>
    <w:rPr>
      <w:rFonts w:ascii="CG Times (WN)" w:hAnsi="CG Times (W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Template>
  <Pages>7</Pages>
  <Words>1865</Words>
  <Characters>9766</Characters>
  <Lines>83</Lines>
  <Paragraphs>23</Paragraphs>
  <TotalTime>5</TotalTime>
  <ScaleCrop>false</ScaleCrop>
  <LinksUpToDate>false</LinksUpToDate>
  <CharactersWithSpaces>11580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cmcc-chunxia Guo</cp:lastModifiedBy>
  <dcterms:modified xsi:type="dcterms:W3CDTF">2024-08-09T06:41:34Z</dcterms:modified>
  <cp:revision>183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68BDB1880BDF43B883EF18E47A99449D</vt:lpwstr>
  </property>
</Properties>
</file>