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781"/>
          <w:tab w:val="right" w:pos="13323"/>
        </w:tabs>
        <w:spacing w:before="60" w:after="60"/>
        <w:outlineLvl w:val="0"/>
        <w:rPr>
          <w:rFonts w:ascii="Arial" w:hAnsi="Arial" w:eastAsia="宋体" w:cs="Arial"/>
          <w:b/>
          <w:kern w:val="0"/>
          <w:sz w:val="24"/>
          <w:szCs w:val="24"/>
          <w:lang w:val="en-US" w:eastAsia="zh-CN" w:bidi="ar-SA"/>
        </w:rPr>
      </w:pPr>
      <w:bookmarkStart w:id="0" w:name="DocumentFor"/>
      <w:bookmarkEnd w:id="0"/>
      <w:bookmarkStart w:id="1" w:name="Title"/>
      <w:bookmarkEnd w:id="1"/>
      <w:r>
        <w:rPr>
          <w:rFonts w:ascii="Arial" w:hAnsi="Arial" w:eastAsia="宋体" w:cs="Arial"/>
          <w:b/>
          <w:kern w:val="0"/>
          <w:sz w:val="24"/>
          <w:szCs w:val="24"/>
          <w:lang w:val="en-US" w:eastAsia="zh-CN" w:bidi="ar-SA"/>
        </w:rPr>
        <w:t>3GPP TSG-RAN WG4 Meeting #112</w:t>
      </w:r>
      <w:r>
        <w:rPr>
          <w:rFonts w:hint="eastAsia" w:ascii="Arial" w:hAnsi="Arial" w:eastAsia="宋体" w:cs="Arial"/>
          <w:b/>
          <w:kern w:val="0"/>
          <w:sz w:val="24"/>
          <w:szCs w:val="24"/>
          <w:lang w:val="en-US" w:eastAsia="zh-CN" w:bidi="ar-SA"/>
        </w:rPr>
        <w:tab/>
      </w:r>
      <w:r>
        <w:rPr>
          <w:rFonts w:hint="eastAsia" w:ascii="Arial" w:hAnsi="Arial" w:eastAsia="宋体" w:cs="Arial"/>
          <w:b/>
          <w:kern w:val="0"/>
          <w:sz w:val="24"/>
          <w:szCs w:val="24"/>
          <w:lang w:val="en-US" w:eastAsia="zh-CN" w:bidi="ar-SA"/>
        </w:rPr>
        <w:t>R4-2411765</w:t>
      </w:r>
      <w:bookmarkStart w:id="2" w:name="_GoBack"/>
      <w:bookmarkEnd w:id="2"/>
    </w:p>
    <w:p>
      <w:pPr>
        <w:tabs>
          <w:tab w:val="right" w:pos="9781"/>
          <w:tab w:val="right" w:pos="13323"/>
        </w:tabs>
        <w:spacing w:before="60" w:after="60"/>
        <w:outlineLvl w:val="0"/>
        <w:rPr>
          <w:rFonts w:ascii="Arial" w:hAnsi="Arial" w:eastAsia="宋体" w:cs="Arial"/>
          <w:b/>
          <w:kern w:val="0"/>
          <w:sz w:val="24"/>
          <w:szCs w:val="24"/>
          <w:lang w:val="en-US" w:eastAsia="zh-CN" w:bidi="ar-SA"/>
        </w:rPr>
      </w:pPr>
      <w:r>
        <w:rPr>
          <w:rFonts w:ascii="Arial" w:hAnsi="Arial" w:eastAsia="宋体" w:cs="Arial"/>
          <w:b/>
          <w:kern w:val="0"/>
          <w:sz w:val="24"/>
          <w:szCs w:val="24"/>
          <w:lang w:val="en-US" w:eastAsia="zh-CN" w:bidi="ar-SA"/>
        </w:rPr>
        <w:t>Maastricht</w:t>
      </w:r>
      <w:r>
        <w:rPr>
          <w:rFonts w:hint="eastAsia" w:ascii="Arial" w:hAnsi="Arial" w:eastAsia="宋体" w:cs="Arial"/>
          <w:b/>
          <w:kern w:val="0"/>
          <w:sz w:val="24"/>
          <w:szCs w:val="24"/>
          <w:lang w:val="en-US" w:eastAsia="zh-CN" w:bidi="ar-SA"/>
        </w:rPr>
        <w:t>,</w:t>
      </w:r>
      <w:r>
        <w:rPr>
          <w:rFonts w:ascii="Arial" w:hAnsi="Arial" w:eastAsia="宋体" w:cs="Arial"/>
          <w:b/>
          <w:kern w:val="0"/>
          <w:sz w:val="24"/>
          <w:szCs w:val="24"/>
          <w:lang w:val="en-US" w:eastAsia="zh-CN" w:bidi="ar-SA"/>
        </w:rPr>
        <w:t xml:space="preserve"> Netherlands, 19</w:t>
      </w:r>
      <w:r>
        <w:rPr>
          <w:rFonts w:ascii="Arial" w:hAnsi="Arial" w:eastAsia="宋体" w:cs="Arial"/>
          <w:b/>
          <w:kern w:val="0"/>
          <w:sz w:val="24"/>
          <w:szCs w:val="24"/>
          <w:vertAlign w:val="superscript"/>
          <w:lang w:val="en-US" w:eastAsia="zh-CN" w:bidi="ar-SA"/>
        </w:rPr>
        <w:t>th</w:t>
      </w:r>
      <w:r>
        <w:rPr>
          <w:rFonts w:ascii="Arial" w:hAnsi="Arial" w:eastAsia="宋体" w:cs="Arial"/>
          <w:b/>
          <w:kern w:val="0"/>
          <w:sz w:val="24"/>
          <w:szCs w:val="24"/>
          <w:lang w:val="en-US" w:eastAsia="zh-CN" w:bidi="ar-SA"/>
        </w:rPr>
        <w:t xml:space="preserve"> – 23</w:t>
      </w:r>
      <w:r>
        <w:rPr>
          <w:rFonts w:ascii="Arial" w:hAnsi="Arial" w:eastAsia="宋体" w:cs="Arial"/>
          <w:b/>
          <w:kern w:val="0"/>
          <w:sz w:val="24"/>
          <w:szCs w:val="24"/>
          <w:vertAlign w:val="superscript"/>
          <w:lang w:val="en-US" w:eastAsia="zh-CN" w:bidi="ar-SA"/>
        </w:rPr>
        <w:t>rd</w:t>
      </w:r>
      <w:r>
        <w:rPr>
          <w:rFonts w:ascii="Arial" w:hAnsi="Arial" w:eastAsia="宋体" w:cs="Arial"/>
          <w:b/>
          <w:kern w:val="0"/>
          <w:sz w:val="24"/>
          <w:szCs w:val="24"/>
          <w:lang w:val="en-US" w:eastAsia="zh-CN" w:bidi="ar-SA"/>
        </w:rPr>
        <w:t xml:space="preserve"> August, 2024</w:t>
      </w:r>
    </w:p>
    <w:p>
      <w:pPr>
        <w:rPr>
          <w:rFonts w:ascii="Arial" w:hAnsi="Arial" w:cs="Arial"/>
          <w:b/>
          <w:bCs/>
          <w:sz w:val="24"/>
          <w:szCs w:val="28"/>
        </w:rPr>
      </w:pP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Agenda item:</w:t>
      </w:r>
      <w:r>
        <w:rPr>
          <w:rFonts w:ascii="Arial" w:hAnsi="Arial" w:eastAsia="MS Mincho" w:cs="Arial"/>
          <w:b/>
          <w:sz w:val="24"/>
          <w:szCs w:val="24"/>
          <w:lang w:eastAsia="en-US"/>
        </w:rPr>
        <w:tab/>
      </w:r>
      <w:r>
        <w:rPr>
          <w:rFonts w:hint="eastAsia" w:ascii="Arial" w:hAnsi="Arial" w:eastAsia="宋体" w:cs="Arial"/>
          <w:b/>
          <w:sz w:val="24"/>
          <w:szCs w:val="24"/>
          <w:lang w:val="en-US" w:eastAsia="zh-CN"/>
        </w:rPr>
        <w:t>8.20</w:t>
      </w:r>
      <w:r>
        <w:rPr>
          <w:rFonts w:hint="eastAsia" w:ascii="Arial" w:hAnsi="Arial" w:cs="Arial"/>
          <w:b/>
          <w:sz w:val="24"/>
          <w:szCs w:val="24"/>
        </w:rPr>
        <w:t>.2.2</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 xml:space="preserve">Source: </w:t>
      </w:r>
      <w:r>
        <w:rPr>
          <w:rFonts w:ascii="Arial" w:hAnsi="Arial" w:eastAsia="MS Mincho" w:cs="Arial"/>
          <w:b/>
          <w:sz w:val="24"/>
          <w:szCs w:val="24"/>
          <w:lang w:eastAsia="en-US"/>
        </w:rPr>
        <w:tab/>
      </w:r>
      <w:r>
        <w:rPr>
          <w:rFonts w:ascii="Arial" w:hAnsi="Arial" w:eastAsia="MS Mincho" w:cs="Arial"/>
          <w:b/>
          <w:sz w:val="24"/>
          <w:szCs w:val="24"/>
          <w:lang w:eastAsia="en-US"/>
        </w:rPr>
        <w:t>CMCC</w:t>
      </w:r>
    </w:p>
    <w:p>
      <w:pPr>
        <w:tabs>
          <w:tab w:val="left" w:pos="1980"/>
        </w:tabs>
        <w:spacing w:after="180"/>
        <w:ind w:left="1980" w:hanging="1980"/>
        <w:rPr>
          <w:rFonts w:ascii="Arial" w:hAnsi="Arial" w:cs="Arial"/>
          <w:b/>
          <w:sz w:val="24"/>
          <w:szCs w:val="24"/>
        </w:rPr>
      </w:pPr>
      <w:r>
        <w:rPr>
          <w:rFonts w:ascii="Arial" w:hAnsi="Arial" w:eastAsia="MS Mincho" w:cs="Arial"/>
          <w:b/>
          <w:sz w:val="24"/>
          <w:szCs w:val="24"/>
          <w:lang w:eastAsia="en-US"/>
        </w:rPr>
        <w:t xml:space="preserve">Title: </w:t>
      </w:r>
      <w:r>
        <w:rPr>
          <w:rFonts w:ascii="Arial" w:hAnsi="Arial" w:eastAsia="MS Mincho" w:cs="Arial"/>
          <w:b/>
          <w:sz w:val="24"/>
          <w:szCs w:val="24"/>
          <w:lang w:eastAsia="en-US"/>
        </w:rPr>
        <w:tab/>
      </w:r>
      <w:r>
        <w:rPr>
          <w:rFonts w:hint="eastAsia" w:ascii="Arial" w:hAnsi="Arial" w:cs="Arial"/>
          <w:b/>
          <w:sz w:val="24"/>
          <w:szCs w:val="24"/>
        </w:rPr>
        <w:t>Discussion on A-IoT co-existence evaluation</w:t>
      </w:r>
    </w:p>
    <w:p>
      <w:pPr>
        <w:tabs>
          <w:tab w:val="left" w:pos="1980"/>
        </w:tabs>
        <w:spacing w:after="180"/>
        <w:ind w:left="1980" w:hanging="1980"/>
        <w:rPr>
          <w:rFonts w:ascii="Arial" w:hAnsi="Arial" w:eastAsia="MS Mincho" w:cs="Arial"/>
          <w:b/>
          <w:sz w:val="24"/>
          <w:szCs w:val="24"/>
          <w:lang w:eastAsia="en-US"/>
        </w:rPr>
      </w:pPr>
      <w:r>
        <w:rPr>
          <w:rFonts w:ascii="Arial" w:hAnsi="Arial" w:eastAsia="MS Mincho" w:cs="Arial"/>
          <w:b/>
          <w:sz w:val="24"/>
          <w:szCs w:val="24"/>
          <w:lang w:eastAsia="en-US"/>
        </w:rPr>
        <w:t>Document for:</w:t>
      </w:r>
      <w:r>
        <w:rPr>
          <w:rFonts w:ascii="Arial" w:hAnsi="Arial" w:eastAsia="MS Mincho" w:cs="Arial"/>
          <w:b/>
          <w:sz w:val="24"/>
          <w:szCs w:val="24"/>
          <w:lang w:eastAsia="en-US"/>
        </w:rPr>
        <w:tab/>
      </w:r>
      <w:r>
        <w:rPr>
          <w:rFonts w:ascii="Arial" w:hAnsi="Arial" w:eastAsia="MS Mincho" w:cs="Arial"/>
          <w:b/>
          <w:sz w:val="24"/>
          <w:szCs w:val="24"/>
          <w:lang w:eastAsia="en-US"/>
        </w:rPr>
        <w:t>Discussion</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1. Introduction</w:t>
      </w:r>
    </w:p>
    <w:p>
      <w:pPr>
        <w:spacing w:after="180"/>
        <w:rPr>
          <w:rFonts w:ascii="Times New Roman" w:hAnsi="Times New Roman"/>
          <w:sz w:val="20"/>
        </w:rPr>
      </w:pPr>
      <w:r>
        <w:rPr>
          <w:rFonts w:hint="eastAsia" w:ascii="Times New Roman" w:hAnsi="Times New Roman"/>
          <w:sz w:val="20"/>
        </w:rPr>
        <w:t>In RAN plenary #102 meeting, a new SID[1] of A-IoT is approved with following RAN4 lead RF part objectives, and in last meeting, a WF is approved [2]:</w:t>
      </w:r>
    </w:p>
    <w:p>
      <w:pPr>
        <w:numPr>
          <w:ilvl w:val="0"/>
          <w:numId w:val="2"/>
        </w:numPr>
        <w:spacing w:after="180"/>
        <w:rPr>
          <w:rFonts w:ascii="Times New Roman" w:hAnsi="Times New Roman"/>
          <w:sz w:val="20"/>
        </w:rPr>
      </w:pPr>
      <w:r>
        <w:rPr>
          <w:rFonts w:hint="eastAsia" w:ascii="Times New Roman" w:hAnsi="Times New Roman"/>
          <w:sz w:val="20"/>
        </w:rPr>
        <w:t>Coexistence study of Ambient IoT and NR/LTE.</w:t>
      </w:r>
    </w:p>
    <w:p>
      <w:pPr>
        <w:numPr>
          <w:ilvl w:val="0"/>
          <w:numId w:val="2"/>
        </w:numPr>
        <w:spacing w:after="180"/>
        <w:rPr>
          <w:rFonts w:ascii="Times New Roman" w:hAnsi="Times New Roman"/>
          <w:sz w:val="20"/>
        </w:rPr>
      </w:pPr>
      <w:r>
        <w:rPr>
          <w:rFonts w:hint="eastAsia" w:ascii="Times New Roman" w:hAnsi="Times New Roman"/>
          <w:sz w:val="20"/>
        </w:rPr>
        <w:t>RF requirements study for Ambient IoT:</w:t>
      </w:r>
    </w:p>
    <w:p>
      <w:pPr>
        <w:numPr>
          <w:ilvl w:val="1"/>
          <w:numId w:val="2"/>
        </w:numPr>
        <w:spacing w:after="180"/>
        <w:rPr>
          <w:rFonts w:ascii="Times New Roman" w:hAnsi="Times New Roman"/>
          <w:sz w:val="20"/>
        </w:rPr>
      </w:pPr>
      <w:r>
        <w:rPr>
          <w:rFonts w:hint="eastAsia" w:ascii="Times New Roman" w:hAnsi="Times New Roman"/>
          <w:sz w:val="20"/>
        </w:rPr>
        <w:t>Ambient IoT BS transmission and reception</w:t>
      </w:r>
    </w:p>
    <w:p>
      <w:pPr>
        <w:numPr>
          <w:ilvl w:val="1"/>
          <w:numId w:val="2"/>
        </w:numPr>
        <w:spacing w:after="180"/>
        <w:rPr>
          <w:rFonts w:ascii="Times New Roman" w:hAnsi="Times New Roman"/>
          <w:sz w:val="20"/>
        </w:rPr>
      </w:pPr>
      <w:r>
        <w:rPr>
          <w:rFonts w:hint="eastAsia" w:ascii="Times New Roman" w:hAnsi="Times New Roman"/>
          <w:sz w:val="20"/>
        </w:rPr>
        <w:t>Ambient IoT Device, as per the General Scope, transmission and reception</w:t>
      </w:r>
    </w:p>
    <w:p>
      <w:pPr>
        <w:numPr>
          <w:ilvl w:val="1"/>
          <w:numId w:val="2"/>
        </w:numPr>
        <w:spacing w:after="180"/>
        <w:rPr>
          <w:rFonts w:ascii="Times New Roman" w:hAnsi="Times New Roman"/>
          <w:sz w:val="20"/>
        </w:rPr>
      </w:pPr>
      <w:r>
        <w:rPr>
          <w:rFonts w:hint="eastAsia" w:ascii="Times New Roman" w:hAnsi="Times New Roman"/>
          <w:sz w:val="20"/>
        </w:rPr>
        <w:t>Intermediate node (UE), as per the General Scope, transmission and reception</w:t>
      </w:r>
    </w:p>
    <w:p>
      <w:pPr>
        <w:spacing w:before="156" w:beforeLines="50"/>
        <w:rPr>
          <w:rFonts w:ascii="Times New Roman" w:hAnsi="Times New Roman"/>
          <w:bCs/>
          <w:sz w:val="20"/>
          <w:szCs w:val="20"/>
        </w:rPr>
      </w:pPr>
      <w:r>
        <w:rPr>
          <w:rFonts w:hint="eastAsia" w:ascii="Times New Roman" w:hAnsi="Times New Roman"/>
          <w:bCs/>
          <w:sz w:val="20"/>
          <w:szCs w:val="20"/>
        </w:rPr>
        <w:t xml:space="preserve">RAN4 totally has 4 meetings to finish all co-existence evaluation. According to the work plan, in this meeting we should complete </w:t>
      </w:r>
      <w:r>
        <w:rPr>
          <w:rFonts w:hint="eastAsia" w:ascii="Times New Roman" w:hAnsi="Times New Roman"/>
          <w:bCs/>
          <w:sz w:val="20"/>
          <w:szCs w:val="20"/>
          <w:lang w:val="en-US" w:eastAsia="zh-CN"/>
        </w:rPr>
        <w:t>calibration</w:t>
      </w:r>
      <w:r>
        <w:rPr>
          <w:rFonts w:hint="eastAsia" w:ascii="Times New Roman" w:hAnsi="Times New Roman"/>
          <w:bCs/>
          <w:sz w:val="20"/>
          <w:szCs w:val="20"/>
        </w:rPr>
        <w:t xml:space="preserve"> and in next </w:t>
      </w:r>
      <w:r>
        <w:rPr>
          <w:rFonts w:hint="eastAsia" w:ascii="Times New Roman" w:hAnsi="Times New Roman"/>
          <w:bCs/>
          <w:sz w:val="20"/>
          <w:szCs w:val="20"/>
          <w:lang w:val="en-US" w:eastAsia="zh-CN"/>
        </w:rPr>
        <w:t>collect final simulation results</w:t>
      </w:r>
      <w:r>
        <w:rPr>
          <w:rFonts w:hint="eastAsia" w:ascii="Times New Roman" w:hAnsi="Times New Roman"/>
          <w:bCs/>
          <w:sz w:val="20"/>
          <w:szCs w:val="20"/>
        </w:rPr>
        <w:t>. In last meeting, RAN1 send the LS to RAN4 about simulation assumptions[3]. It</w:t>
      </w:r>
      <w:r>
        <w:rPr>
          <w:rFonts w:ascii="Times New Roman" w:hAnsi="Times New Roman"/>
          <w:bCs/>
          <w:sz w:val="20"/>
          <w:szCs w:val="20"/>
        </w:rPr>
        <w:t>’</w:t>
      </w:r>
      <w:r>
        <w:rPr>
          <w:rFonts w:hint="eastAsia" w:ascii="Times New Roman" w:hAnsi="Times New Roman"/>
          <w:bCs/>
          <w:sz w:val="20"/>
          <w:szCs w:val="20"/>
        </w:rPr>
        <w:t xml:space="preserve">s suggested to use the agreements as baseline. In this contribution, we list the candidate suggestions for simulation assumption and hope we can converge on all of them. </w:t>
      </w:r>
    </w:p>
    <w:p>
      <w:pPr>
        <w:keepNext/>
        <w:keepLines/>
        <w:widowControl/>
        <w:numPr>
          <w:ilvl w:val="0"/>
          <w:numId w:val="3"/>
        </w:numPr>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hint="eastAsia" w:ascii="Arial" w:hAnsi="Arial" w:eastAsiaTheme="minorEastAsia" w:cstheme="minorBidi"/>
          <w:sz w:val="32"/>
          <w:szCs w:val="36"/>
        </w:rPr>
        <w:t>Discussion</w:t>
      </w:r>
    </w:p>
    <w:p>
      <w:pPr>
        <w:pStyle w:val="4"/>
        <w:numPr>
          <w:ilvl w:val="2"/>
          <w:numId w:val="0"/>
        </w:numPr>
        <w:spacing w:before="156" w:after="156"/>
        <w:rPr>
          <w:rFonts w:hint="eastAsia"/>
        </w:rPr>
      </w:pPr>
      <w:r>
        <w:rPr>
          <w:rFonts w:hint="eastAsia"/>
          <w:lang w:val="en-US" w:eastAsia="zh-CN"/>
        </w:rPr>
        <w:t xml:space="preserve">2.1 </w:t>
      </w:r>
      <w:r>
        <w:rPr>
          <w:rFonts w:hint="eastAsia"/>
        </w:rPr>
        <w:t>Evaluation methodology</w:t>
      </w:r>
    </w:p>
    <w:p>
      <w:pPr>
        <w:pStyle w:val="5"/>
        <w:numPr>
          <w:ilvl w:val="3"/>
          <w:numId w:val="0"/>
        </w:numPr>
        <w:bidi w:val="0"/>
        <w:ind w:leftChars="0"/>
        <w:rPr>
          <w:rFonts w:hint="default"/>
        </w:rPr>
      </w:pPr>
      <w:r>
        <w:rPr>
          <w:rFonts w:hint="eastAsia"/>
          <w:lang w:val="en-US" w:eastAsia="zh-CN"/>
        </w:rPr>
        <w:t xml:space="preserve">2.1.1 </w:t>
      </w:r>
      <w:r>
        <w:rPr>
          <w:rFonts w:hint="default"/>
          <w:lang w:val="en-US" w:eastAsia="zh-CN"/>
        </w:rPr>
        <w:t>Evaluation methodology</w:t>
      </w:r>
    </w:p>
    <w:p>
      <w:pPr>
        <w:spacing w:after="156" w:afterLines="50"/>
        <w:rPr>
          <w:rFonts w:ascii="Times New Roman" w:hAnsi="Times New Roman"/>
          <w:sz w:val="20"/>
          <w:szCs w:val="20"/>
        </w:rPr>
      </w:pPr>
      <w:r>
        <w:rPr>
          <w:rFonts w:hint="eastAsia" w:ascii="Times New Roman" w:hAnsi="Times New Roman"/>
          <w:sz w:val="20"/>
          <w:szCs w:val="20"/>
          <w:lang w:val="en-US" w:eastAsia="zh-CN"/>
        </w:rPr>
        <w:t>Last meeting agreements</w:t>
      </w:r>
      <w:r>
        <w:rPr>
          <w:rFonts w:hint="eastAsia" w:ascii="Times New Roman" w:hAnsi="Times New Roman"/>
          <w:sz w:val="20"/>
          <w:szCs w:val="20"/>
        </w:rPr>
        <w:t xml:space="preserve"> are listed in following table:</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val="en-US" w:eastAsia="zh-CN"/>
              </w:rPr>
              <w:t>Agreement in RAN4#111:</w:t>
            </w:r>
          </w:p>
          <w:p>
            <w:pPr>
              <w:pStyle w:val="26"/>
              <w:numPr>
                <w:ilvl w:val="0"/>
                <w:numId w:val="4"/>
              </w:numPr>
              <w:spacing w:before="120" w:line="280" w:lineRule="atLeast"/>
              <w:ind w:firstLineChars="0"/>
              <w:rPr>
                <w:rFonts w:hint="default" w:ascii="Times New Roman" w:hAnsi="Times New Roman" w:cs="Times New Roman"/>
                <w:sz w:val="20"/>
                <w:szCs w:val="20"/>
              </w:rPr>
            </w:pPr>
            <w:r>
              <w:rPr>
                <w:rFonts w:hint="default" w:ascii="Times New Roman" w:hAnsi="Times New Roman" w:cs="Times New Roman"/>
                <w:sz w:val="20"/>
                <w:szCs w:val="20"/>
              </w:rPr>
              <w:t>Use the Monte-Carlo method as baseline for co-existence evaluation, i.e. Section 5.3 in TR38.803</w:t>
            </w:r>
          </w:p>
          <w:p>
            <w:pPr>
              <w:pStyle w:val="26"/>
              <w:numPr>
                <w:ilvl w:val="0"/>
                <w:numId w:val="4"/>
              </w:numPr>
              <w:spacing w:before="120" w:line="280" w:lineRule="atLeast"/>
              <w:ind w:firstLineChars="0"/>
              <w:rPr>
                <w:rFonts w:hint="default" w:ascii="Times New Roman" w:hAnsi="Times New Roman" w:cs="Times New Roman"/>
                <w:sz w:val="20"/>
                <w:szCs w:val="20"/>
                <w:lang w:val="en-GB" w:eastAsia="en-GB"/>
              </w:rPr>
            </w:pPr>
            <w:r>
              <w:rPr>
                <w:rFonts w:hint="default" w:ascii="Times New Roman" w:hAnsi="Times New Roman" w:cs="Times New Roman" w:eastAsiaTheme="minorEastAsia"/>
                <w:sz w:val="20"/>
                <w:szCs w:val="20"/>
              </w:rPr>
              <w:t xml:space="preserve">FFS on whether </w:t>
            </w:r>
            <w:r>
              <w:rPr>
                <w:rFonts w:hint="default" w:ascii="Times New Roman" w:hAnsi="Times New Roman" w:cs="Times New Roman"/>
                <w:sz w:val="20"/>
                <w:szCs w:val="20"/>
              </w:rPr>
              <w:t>RAN4 needs to perform link level simulation</w:t>
            </w:r>
          </w:p>
        </w:tc>
      </w:tr>
    </w:tbl>
    <w:p>
      <w:pPr>
        <w:spacing w:after="156" w:afterLines="50"/>
        <w:rPr>
          <w:rFonts w:hint="eastAsia" w:ascii="Times New Roman" w:hAnsi="Times New Roman"/>
          <w:sz w:val="20"/>
          <w:szCs w:val="20"/>
        </w:rPr>
      </w:pPr>
    </w:p>
    <w:p>
      <w:pPr>
        <w:spacing w:after="156" w:afterLines="50"/>
        <w:rPr>
          <w:rFonts w:hint="eastAsia" w:ascii="Times New Roman" w:hAnsi="Times New Roman"/>
          <w:strike w:val="0"/>
          <w:dstrike w:val="0"/>
          <w:sz w:val="20"/>
          <w:szCs w:val="20"/>
          <w:lang w:val="en-US" w:eastAsia="zh-CN"/>
        </w:rPr>
      </w:pPr>
      <w:r>
        <w:rPr>
          <w:rFonts w:hint="eastAsia" w:ascii="Times New Roman" w:hAnsi="Times New Roman"/>
          <w:strike w:val="0"/>
          <w:dstrike w:val="0"/>
          <w:sz w:val="20"/>
          <w:szCs w:val="20"/>
          <w:lang w:val="en-US" w:eastAsia="zh-CN"/>
        </w:rPr>
        <w:t>Now there is still no consensus of whether RAN4 needs to perform link level simulation. Following list our thought about the purpose of LLS</w:t>
      </w:r>
    </w:p>
    <w:p>
      <w:pPr>
        <w:numPr>
          <w:ilvl w:val="0"/>
          <w:numId w:val="5"/>
        </w:numPr>
        <w:spacing w:after="156" w:afterLines="50"/>
        <w:ind w:left="516" w:leftChars="0" w:hanging="360" w:firstLineChars="0"/>
        <w:rPr>
          <w:rFonts w:hint="default" w:ascii="Times New Roman" w:hAnsi="Times New Roman"/>
          <w:strike w:val="0"/>
          <w:dstrike w:val="0"/>
          <w:sz w:val="20"/>
          <w:szCs w:val="20"/>
          <w:lang w:val="en-US" w:eastAsia="zh-CN"/>
        </w:rPr>
      </w:pPr>
      <w:r>
        <w:rPr>
          <w:rFonts w:hint="default" w:ascii="Times New Roman" w:hAnsi="Times New Roman"/>
          <w:strike w:val="0"/>
          <w:dstrike w:val="0"/>
          <w:sz w:val="20"/>
          <w:szCs w:val="20"/>
          <w:lang w:val="en-US" w:eastAsia="zh-CN"/>
        </w:rPr>
        <w:t>to help derive device Tx leakage</w:t>
      </w:r>
    </w:p>
    <w:p>
      <w:pPr>
        <w:numPr>
          <w:ilvl w:val="1"/>
          <w:numId w:val="5"/>
        </w:numPr>
        <w:spacing w:after="156" w:afterLines="50"/>
        <w:ind w:left="1236" w:leftChars="0" w:hanging="360" w:firstLineChars="0"/>
        <w:rPr>
          <w:rFonts w:hint="default" w:ascii="Times New Roman" w:hAnsi="Times New Roman"/>
          <w:strike w:val="0"/>
          <w:dstrike w:val="0"/>
          <w:sz w:val="20"/>
          <w:szCs w:val="20"/>
          <w:lang w:val="en-US" w:eastAsia="zh-CN"/>
        </w:rPr>
      </w:pPr>
      <w:r>
        <w:rPr>
          <w:rFonts w:hint="eastAsia" w:ascii="Times New Roman" w:hAnsi="Times New Roman"/>
          <w:strike w:val="0"/>
          <w:dstrike w:val="0"/>
          <w:sz w:val="20"/>
          <w:szCs w:val="20"/>
          <w:lang w:val="en-US" w:eastAsia="zh-CN"/>
        </w:rPr>
        <w:t>This will impact final co-existence simulation results, RAN4 need to conclude such parameter in this meeting. Otherwise, it</w:t>
      </w:r>
      <w:r>
        <w:rPr>
          <w:rFonts w:hint="default" w:ascii="Times New Roman" w:hAnsi="Times New Roman"/>
          <w:strike w:val="0"/>
          <w:dstrike w:val="0"/>
          <w:sz w:val="20"/>
          <w:szCs w:val="20"/>
          <w:lang w:val="en-US" w:eastAsia="zh-CN"/>
        </w:rPr>
        <w:t>’</w:t>
      </w:r>
      <w:r>
        <w:rPr>
          <w:rFonts w:hint="eastAsia" w:ascii="Times New Roman" w:hAnsi="Times New Roman"/>
          <w:strike w:val="0"/>
          <w:dstrike w:val="0"/>
          <w:sz w:val="20"/>
          <w:szCs w:val="20"/>
          <w:lang w:val="en-US" w:eastAsia="zh-CN"/>
        </w:rPr>
        <w:t>s hard to conclude all simulation results at Dec. Meeting.</w:t>
      </w:r>
    </w:p>
    <w:p>
      <w:pPr>
        <w:numPr>
          <w:ilvl w:val="0"/>
          <w:numId w:val="5"/>
        </w:numPr>
        <w:spacing w:after="156" w:afterLines="50"/>
        <w:ind w:left="516" w:leftChars="0" w:hanging="360" w:firstLineChars="0"/>
        <w:rPr>
          <w:rFonts w:hint="default" w:ascii="Times New Roman" w:hAnsi="Times New Roman"/>
          <w:strike w:val="0"/>
          <w:dstrike w:val="0"/>
          <w:sz w:val="20"/>
          <w:szCs w:val="20"/>
          <w:lang w:val="en-US" w:eastAsia="zh-CN"/>
        </w:rPr>
      </w:pPr>
      <w:r>
        <w:rPr>
          <w:rFonts w:hint="default" w:ascii="Times New Roman" w:hAnsi="Times New Roman"/>
          <w:strike w:val="0"/>
          <w:dstrike w:val="0"/>
          <w:sz w:val="20"/>
          <w:szCs w:val="20"/>
          <w:lang w:val="en-US" w:eastAsia="zh-CN"/>
        </w:rPr>
        <w:t>to help derive the relationship between SINR and BLER if we finally choose to use BLER as performance metric</w:t>
      </w:r>
    </w:p>
    <w:p>
      <w:pPr>
        <w:numPr>
          <w:ilvl w:val="1"/>
          <w:numId w:val="5"/>
        </w:numPr>
        <w:spacing w:after="156" w:afterLines="50"/>
        <w:ind w:left="1236" w:leftChars="0" w:hanging="360" w:firstLineChars="0"/>
        <w:rPr>
          <w:rFonts w:hint="default" w:ascii="Times New Roman" w:hAnsi="Times New Roman"/>
          <w:strike w:val="0"/>
          <w:dstrike w:val="0"/>
          <w:sz w:val="20"/>
          <w:szCs w:val="20"/>
          <w:lang w:val="en-US" w:eastAsia="zh-CN"/>
        </w:rPr>
      </w:pPr>
      <w:r>
        <w:rPr>
          <w:rFonts w:hint="eastAsia" w:ascii="Times New Roman" w:hAnsi="Times New Roman"/>
          <w:strike w:val="0"/>
          <w:dstrike w:val="0"/>
          <w:sz w:val="20"/>
          <w:szCs w:val="20"/>
          <w:lang w:val="en-US" w:eastAsia="zh-CN"/>
        </w:rPr>
        <w:t>According to initial simulation results, it seems for some evaluation cases the SINR CDF without inter-system interference is almost overlapping with the SINR CDF with inter-system interference. For such case inter-system interference is almost negligible and there is no need to use the relationship between SINR and BLER. But for other cases, the relationship between SINR and BLER is necessary to help evaluate whether the inter-system interference is acceptable or not.</w:t>
      </w:r>
    </w:p>
    <w:p>
      <w:pPr>
        <w:spacing w:after="180"/>
        <w:jc w:val="left"/>
        <w:rPr>
          <w:rFonts w:hint="default" w:ascii="Times New Roman" w:hAnsi="Times New Roman"/>
          <w:b/>
          <w:bCs/>
          <w:sz w:val="20"/>
          <w:szCs w:val="20"/>
          <w:lang w:val="en-US" w:eastAsia="zh-CN"/>
        </w:rPr>
      </w:pPr>
      <w:r>
        <w:rPr>
          <w:rFonts w:hint="eastAsia" w:ascii="Times New Roman" w:hAnsi="Times New Roman"/>
          <w:b/>
          <w:bCs/>
          <w:strike w:val="0"/>
          <w:dstrike w:val="0"/>
          <w:sz w:val="20"/>
          <w:szCs w:val="20"/>
          <w:lang w:val="en-US" w:eastAsia="zh-CN"/>
        </w:rPr>
        <w:t>Observation 1: RAN4 needs to agree on one uniformed parameter for device leakage requirement in this meeting.</w:t>
      </w:r>
    </w:p>
    <w:p>
      <w:pPr>
        <w:pStyle w:val="5"/>
        <w:numPr>
          <w:ilvl w:val="3"/>
          <w:numId w:val="0"/>
        </w:numPr>
        <w:bidi w:val="0"/>
        <w:ind w:leftChars="0"/>
        <w:rPr>
          <w:rFonts w:hint="default"/>
        </w:rPr>
      </w:pPr>
      <w:r>
        <w:rPr>
          <w:rFonts w:hint="eastAsia"/>
          <w:lang w:val="en-US" w:eastAsia="zh-CN"/>
        </w:rPr>
        <w:t>2.1.2 Performance metric</w:t>
      </w:r>
    </w:p>
    <w:p>
      <w:pPr>
        <w:spacing w:after="156" w:afterLines="50"/>
        <w:rPr>
          <w:rFonts w:ascii="Times New Roman" w:hAnsi="Times New Roman"/>
          <w:sz w:val="20"/>
          <w:szCs w:val="20"/>
        </w:rPr>
      </w:pPr>
      <w:r>
        <w:rPr>
          <w:rFonts w:hint="eastAsia" w:ascii="Times New Roman" w:hAnsi="Times New Roman"/>
          <w:sz w:val="20"/>
          <w:szCs w:val="20"/>
        </w:rPr>
        <w:t>Last meeting agreement is listed as below for information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spacing w:before="120" w:line="280" w:lineRule="atLeast"/>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 xml:space="preserve">Agreement in RAN4#111: </w:t>
            </w:r>
          </w:p>
          <w:p>
            <w:pPr>
              <w:pStyle w:val="26"/>
              <w:numPr>
                <w:ilvl w:val="0"/>
                <w:numId w:val="6"/>
              </w:numPr>
              <w:spacing w:before="120" w:line="280" w:lineRule="atLeast"/>
              <w:ind w:firstLineChars="0"/>
              <w:rPr>
                <w:rFonts w:hint="default" w:ascii="Times New Roman" w:hAnsi="Times New Roman" w:cs="Times New Roman" w:eastAsiaTheme="minorEastAsia"/>
                <w:sz w:val="20"/>
                <w:szCs w:val="20"/>
              </w:rPr>
            </w:pPr>
            <w:r>
              <w:rPr>
                <w:rFonts w:hint="default" w:ascii="Times New Roman" w:hAnsi="Times New Roman" w:cs="Times New Roman" w:eastAsiaTheme="minorEastAsia"/>
                <w:sz w:val="20"/>
                <w:szCs w:val="20"/>
              </w:rPr>
              <w:t>Use SINR</w:t>
            </w:r>
            <w:r>
              <w:rPr>
                <w:rFonts w:hint="default" w:ascii="Times New Roman" w:hAnsi="Times New Roman" w:cs="Times New Roman" w:eastAsiaTheme="minorEastAsia"/>
                <w:sz w:val="20"/>
                <w:szCs w:val="20"/>
                <w:lang w:eastAsia="zh-CN"/>
              </w:rPr>
              <w:t xml:space="preserve"> </w:t>
            </w:r>
            <w:r>
              <w:rPr>
                <w:rFonts w:hint="default" w:ascii="Times New Roman" w:hAnsi="Times New Roman" w:cs="Times New Roman" w:eastAsiaTheme="minorEastAsia"/>
                <w:sz w:val="20"/>
                <w:szCs w:val="20"/>
              </w:rPr>
              <w:t>for calibration purpose</w:t>
            </w:r>
          </w:p>
          <w:p>
            <w:pPr>
              <w:pStyle w:val="26"/>
              <w:numPr>
                <w:ilvl w:val="0"/>
                <w:numId w:val="6"/>
              </w:numPr>
              <w:spacing w:before="120" w:line="280" w:lineRule="atLeast"/>
              <w:ind w:firstLineChars="0"/>
              <w:rPr>
                <w:rFonts w:hint="default" w:ascii="Times New Roman" w:hAnsi="Times New Roman" w:cs="Times New Roman"/>
                <w:sz w:val="20"/>
                <w:szCs w:val="20"/>
                <w:lang w:val="en-GB" w:eastAsia="en-GB"/>
              </w:rPr>
            </w:pPr>
            <w:r>
              <w:rPr>
                <w:rFonts w:hint="default" w:ascii="Times New Roman" w:hAnsi="Times New Roman" w:cs="Times New Roman" w:eastAsiaTheme="minorEastAsia"/>
                <w:sz w:val="20"/>
                <w:szCs w:val="20"/>
              </w:rPr>
              <w:t>FFS on performance metric for co-existence evaluation and requirements definition.</w:t>
            </w:r>
          </w:p>
        </w:tc>
      </w:tr>
    </w:tbl>
    <w:p>
      <w:pPr>
        <w:spacing w:after="156" w:afterLines="50"/>
        <w:rPr>
          <w:rFonts w:hint="eastAsia" w:ascii="Times New Roman" w:hAnsi="Times New Roman"/>
          <w:sz w:val="20"/>
          <w:szCs w:val="20"/>
        </w:rPr>
      </w:pPr>
    </w:p>
    <w:p>
      <w:pPr>
        <w:spacing w:after="156" w:afterLines="50"/>
        <w:rPr>
          <w:rFonts w:ascii="Times New Roman" w:hAnsi="Times New Roman"/>
          <w:sz w:val="20"/>
          <w:szCs w:val="20"/>
        </w:rPr>
      </w:pPr>
      <w:r>
        <w:rPr>
          <w:rFonts w:hint="eastAsia" w:ascii="Times New Roman" w:hAnsi="Times New Roman"/>
          <w:sz w:val="20"/>
          <w:szCs w:val="20"/>
        </w:rPr>
        <w:t>In legacy co-existence study, 5% throughput loss is assumed for final performance metric. But for A-IoT, throughput loss performance metric is not applicable anymore. For the performance metric, we have following two alternatives:</w:t>
      </w:r>
    </w:p>
    <w:p>
      <w:pPr>
        <w:numPr>
          <w:ilvl w:val="0"/>
          <w:numId w:val="7"/>
        </w:numPr>
        <w:spacing w:after="156" w:afterLines="50"/>
        <w:rPr>
          <w:rFonts w:ascii="Times New Roman" w:hAnsi="Times New Roman"/>
          <w:sz w:val="20"/>
          <w:szCs w:val="20"/>
        </w:rPr>
      </w:pPr>
      <w:r>
        <w:rPr>
          <w:rFonts w:hint="eastAsia" w:ascii="Times New Roman" w:hAnsi="Times New Roman"/>
          <w:sz w:val="20"/>
          <w:szCs w:val="20"/>
        </w:rPr>
        <w:t>SNR degradation</w:t>
      </w:r>
    </w:p>
    <w:p>
      <w:pPr>
        <w:numPr>
          <w:ilvl w:val="0"/>
          <w:numId w:val="7"/>
        </w:numPr>
        <w:spacing w:after="156" w:afterLines="50"/>
        <w:rPr>
          <w:rFonts w:ascii="Times New Roman" w:hAnsi="Times New Roman"/>
          <w:sz w:val="20"/>
          <w:szCs w:val="20"/>
        </w:rPr>
      </w:pPr>
      <w:r>
        <w:rPr>
          <w:rFonts w:hint="eastAsia" w:ascii="Times New Roman" w:hAnsi="Times New Roman"/>
          <w:sz w:val="20"/>
          <w:szCs w:val="20"/>
        </w:rPr>
        <w:t>BLER</w:t>
      </w:r>
    </w:p>
    <w:p>
      <w:pPr>
        <w:spacing w:after="180"/>
        <w:rPr>
          <w:rFonts w:ascii="Times New Roman" w:hAnsi="Times New Roman"/>
          <w:sz w:val="20"/>
          <w:szCs w:val="20"/>
        </w:rPr>
      </w:pPr>
      <w:r>
        <w:rPr>
          <w:rFonts w:hint="eastAsia" w:ascii="Times New Roman" w:hAnsi="Times New Roman"/>
          <w:sz w:val="20"/>
          <w:szCs w:val="20"/>
        </w:rPr>
        <w:t>If we still reuse legacy system level evaluation methodology, we can only derive baseline SNR value without interference and SNR degradation on top of no interference case. But there is no specific interference criteria to evaluate how much SINR degradation is allowed or not especially for this new A-IoT signal. In previous NB-IoT co-existence evaluation, 1dB SINR degradation is used as interference criteria. To be honest, there is no detailed analysis of the relationship between throughput loss/BLER and 1dB SNR degradation. Instead, 1dB SNR degradation is the experience value and is based on all companies</w:t>
      </w:r>
      <w:r>
        <w:rPr>
          <w:rFonts w:ascii="Times New Roman" w:hAnsi="Times New Roman"/>
          <w:sz w:val="20"/>
          <w:szCs w:val="20"/>
        </w:rPr>
        <w:t>’</w:t>
      </w:r>
      <w:r>
        <w:rPr>
          <w:rFonts w:hint="eastAsia" w:ascii="Times New Roman" w:hAnsi="Times New Roman"/>
          <w:sz w:val="20"/>
          <w:szCs w:val="20"/>
        </w:rPr>
        <w:t xml:space="preserve"> compromise. So, it</w:t>
      </w:r>
      <w:r>
        <w:rPr>
          <w:rFonts w:ascii="Times New Roman" w:hAnsi="Times New Roman"/>
          <w:sz w:val="20"/>
          <w:szCs w:val="20"/>
        </w:rPr>
        <w:t>’</w:t>
      </w:r>
      <w:r>
        <w:rPr>
          <w:rFonts w:hint="eastAsia" w:ascii="Times New Roman" w:hAnsi="Times New Roman"/>
          <w:sz w:val="20"/>
          <w:szCs w:val="20"/>
        </w:rPr>
        <w:t xml:space="preserve">s not reasonable to reuse this 1dB SNR degradation performance metric </w:t>
      </w:r>
      <w:r>
        <w:rPr>
          <w:rFonts w:hint="eastAsia" w:ascii="Times New Roman" w:hAnsi="Times New Roman"/>
          <w:sz w:val="20"/>
          <w:szCs w:val="20"/>
          <w:lang w:val="en-US" w:eastAsia="zh-CN"/>
        </w:rPr>
        <w:t>blindly</w:t>
      </w:r>
      <w:r>
        <w:rPr>
          <w:rFonts w:hint="eastAsia" w:ascii="Times New Roman" w:hAnsi="Times New Roman"/>
          <w:sz w:val="20"/>
          <w:szCs w:val="20"/>
        </w:rPr>
        <w:t xml:space="preserve"> without detailed analysis.</w:t>
      </w:r>
    </w:p>
    <w:p>
      <w:pPr>
        <w:spacing w:after="180"/>
        <w:rPr>
          <w:rFonts w:hint="eastAsia" w:ascii="Times New Roman" w:hAnsi="Times New Roman"/>
          <w:b/>
          <w:bCs/>
          <w:sz w:val="20"/>
          <w:szCs w:val="20"/>
        </w:rPr>
      </w:pPr>
      <w:r>
        <w:rPr>
          <w:rFonts w:hint="eastAsia" w:ascii="Times New Roman" w:hAnsi="Times New Roman"/>
          <w:b/>
          <w:bCs/>
          <w:sz w:val="20"/>
          <w:szCs w:val="20"/>
        </w:rPr>
        <w:t>Observation 2: 1dB SNR degradation is just the experiential performance metric for OFDM signal and whether feasible for A-IoT signal needs further check.</w:t>
      </w:r>
    </w:p>
    <w:p>
      <w:pPr>
        <w:numPr>
          <w:ilvl w:val="0"/>
          <w:numId w:val="8"/>
        </w:numPr>
        <w:spacing w:after="180"/>
        <w:ind w:left="516" w:leftChars="0" w:hanging="360" w:firstLineChars="0"/>
        <w:rPr>
          <w:rFonts w:ascii="Times New Roman" w:hAnsi="Times New Roman"/>
          <w:b w:val="0"/>
          <w:bCs w:val="0"/>
          <w:sz w:val="20"/>
          <w:szCs w:val="20"/>
        </w:rPr>
      </w:pPr>
      <w:r>
        <w:rPr>
          <w:rFonts w:hint="eastAsia" w:ascii="Times New Roman" w:hAnsi="Times New Roman"/>
          <w:b w:val="0"/>
          <w:bCs w:val="0"/>
          <w:sz w:val="20"/>
          <w:szCs w:val="20"/>
          <w:lang w:val="en-US" w:eastAsia="zh-CN"/>
        </w:rPr>
        <w:t>For the case when reader as victim, as stated above, initial simulation results show for some cases, the SINR CDF without inter-system interference is almost totally overlapping with SINR CDF with inter-system interference. The inter-system interference is almost negligible. For such evaluation cases, it seems SINR degradation is reasonable as performance metric. But for the other evaluation cases, the SINR CDF with and without inter-system interference differs greatly. For such cases, c</w:t>
      </w:r>
      <w:r>
        <w:rPr>
          <w:rFonts w:hint="eastAsia" w:ascii="Times New Roman" w:hAnsi="Times New Roman"/>
          <w:b w:val="0"/>
          <w:bCs w:val="0"/>
          <w:sz w:val="20"/>
          <w:szCs w:val="20"/>
        </w:rPr>
        <w:t>ompared with SNR degradation, BLER seems more intuitive for final evaluation. At this study stage, it</w:t>
      </w:r>
      <w:r>
        <w:rPr>
          <w:rFonts w:ascii="Times New Roman" w:hAnsi="Times New Roman"/>
          <w:b w:val="0"/>
          <w:bCs w:val="0"/>
          <w:sz w:val="20"/>
          <w:szCs w:val="20"/>
        </w:rPr>
        <w:t>’</w:t>
      </w:r>
      <w:r>
        <w:rPr>
          <w:rFonts w:hint="eastAsia" w:ascii="Times New Roman" w:hAnsi="Times New Roman"/>
          <w:b w:val="0"/>
          <w:bCs w:val="0"/>
          <w:sz w:val="20"/>
          <w:szCs w:val="20"/>
        </w:rPr>
        <w:t>s hard to have one uniformed relationship between SNR and BLER and it may also be time consuming if waiting for RAN1</w:t>
      </w:r>
      <w:r>
        <w:rPr>
          <w:rFonts w:ascii="Times New Roman" w:hAnsi="Times New Roman"/>
          <w:b w:val="0"/>
          <w:bCs w:val="0"/>
          <w:sz w:val="20"/>
          <w:szCs w:val="20"/>
        </w:rPr>
        <w:t>’</w:t>
      </w:r>
      <w:r>
        <w:rPr>
          <w:rFonts w:hint="eastAsia" w:ascii="Times New Roman" w:hAnsi="Times New Roman"/>
          <w:b w:val="0"/>
          <w:bCs w:val="0"/>
          <w:sz w:val="20"/>
          <w:szCs w:val="20"/>
        </w:rPr>
        <w:t>s input. One choice is that in the evaluation, the relationship between SNR and BLER is based on companies</w:t>
      </w:r>
      <w:r>
        <w:rPr>
          <w:rFonts w:ascii="Times New Roman" w:hAnsi="Times New Roman"/>
          <w:b w:val="0"/>
          <w:bCs w:val="0"/>
          <w:sz w:val="20"/>
          <w:szCs w:val="20"/>
        </w:rPr>
        <w:t>’</w:t>
      </w:r>
      <w:r>
        <w:rPr>
          <w:rFonts w:hint="eastAsia" w:ascii="Times New Roman" w:hAnsi="Times New Roman"/>
          <w:b w:val="0"/>
          <w:bCs w:val="0"/>
          <w:sz w:val="20"/>
          <w:szCs w:val="20"/>
        </w:rPr>
        <w:t xml:space="preserve"> input with assumed LLS evaluation parameters to help conclude final co-existence conclusion.</w:t>
      </w:r>
    </w:p>
    <w:p>
      <w:pPr>
        <w:spacing w:after="156" w:afterLines="50"/>
        <w:rPr>
          <w:rFonts w:hint="default" w:ascii="Times New Roman" w:hAnsi="Times New Roman" w:eastAsia="宋体"/>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1</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for the performance metric when reader as victim, we have following suggestions:</w:t>
      </w:r>
    </w:p>
    <w:p>
      <w:pPr>
        <w:numPr>
          <w:ilvl w:val="0"/>
          <w:numId w:val="9"/>
        </w:numPr>
        <w:spacing w:after="156" w:afterLines="50"/>
        <w:ind w:left="420" w:leftChars="0" w:hanging="420" w:firstLineChars="0"/>
        <w:rPr>
          <w:rFonts w:hint="default" w:ascii="Times New Roman" w:hAnsi="Times New Roman" w:eastAsia="宋体"/>
          <w:b/>
          <w:bCs/>
          <w:sz w:val="20"/>
          <w:szCs w:val="20"/>
          <w:lang w:val="en-US" w:eastAsia="zh-CN"/>
        </w:rPr>
      </w:pPr>
      <w:r>
        <w:rPr>
          <w:rFonts w:hint="eastAsia" w:ascii="Times New Roman" w:hAnsi="Times New Roman"/>
          <w:b/>
          <w:bCs/>
          <w:sz w:val="20"/>
          <w:szCs w:val="20"/>
          <w:lang w:val="en-US" w:eastAsia="zh-CN"/>
        </w:rPr>
        <w:t xml:space="preserve">For the evaluation cases that inter-system interference is negligible compared with intra-system interference and noise, 1dB SINR degradation is OK. There is no need to translate SINR degradation into final BLER. </w:t>
      </w:r>
    </w:p>
    <w:p>
      <w:pPr>
        <w:numPr>
          <w:ilvl w:val="0"/>
          <w:numId w:val="9"/>
        </w:numPr>
        <w:spacing w:after="156" w:afterLines="50"/>
        <w:ind w:left="420" w:leftChars="0" w:hanging="420" w:firstLineChars="0"/>
        <w:rPr>
          <w:rFonts w:ascii="Times New Roman" w:hAnsi="Times New Roman"/>
          <w:b/>
          <w:bCs/>
          <w:sz w:val="20"/>
          <w:szCs w:val="20"/>
        </w:rPr>
      </w:pPr>
      <w:r>
        <w:rPr>
          <w:rFonts w:hint="eastAsia" w:ascii="Times New Roman" w:hAnsi="Times New Roman"/>
          <w:b/>
          <w:bCs/>
          <w:sz w:val="20"/>
          <w:szCs w:val="20"/>
          <w:lang w:val="en-US" w:eastAsia="zh-CN"/>
        </w:rPr>
        <w:t xml:space="preserve">For the evaluation case that inter-system interference is much greater compared with intra-system interference and noise, 1dB SINR degradation is not that intuitive. Instead, 10% BLER is suggested. </w:t>
      </w:r>
      <w:r>
        <w:rPr>
          <w:rFonts w:hint="eastAsia" w:ascii="Times New Roman" w:hAnsi="Times New Roman"/>
          <w:b/>
          <w:bCs/>
          <w:sz w:val="20"/>
          <w:szCs w:val="20"/>
        </w:rPr>
        <w:t>Relationship between SINR and BLER are based on companies</w:t>
      </w:r>
      <w:r>
        <w:rPr>
          <w:rFonts w:ascii="Times New Roman" w:hAnsi="Times New Roman"/>
          <w:b/>
          <w:bCs/>
          <w:sz w:val="20"/>
          <w:szCs w:val="20"/>
        </w:rPr>
        <w:t>’</w:t>
      </w:r>
      <w:r>
        <w:rPr>
          <w:rFonts w:hint="eastAsia" w:ascii="Times New Roman" w:hAnsi="Times New Roman"/>
          <w:b/>
          <w:bCs/>
          <w:sz w:val="20"/>
          <w:szCs w:val="20"/>
        </w:rPr>
        <w:t xml:space="preserve"> input</w:t>
      </w:r>
      <w:r>
        <w:rPr>
          <w:rFonts w:hint="eastAsia" w:ascii="Times New Roman" w:hAnsi="Times New Roman"/>
          <w:b/>
          <w:bCs/>
          <w:sz w:val="20"/>
          <w:szCs w:val="20"/>
          <w:lang w:val="en-US" w:eastAsia="zh-CN"/>
        </w:rPr>
        <w:t xml:space="preserve"> with assumed LLS evaluation parameters</w:t>
      </w:r>
      <w:r>
        <w:rPr>
          <w:rFonts w:hint="eastAsia" w:ascii="Times New Roman" w:hAnsi="Times New Roman"/>
          <w:b/>
          <w:bCs/>
          <w:sz w:val="20"/>
          <w:szCs w:val="20"/>
        </w:rPr>
        <w:t>.</w:t>
      </w:r>
    </w:p>
    <w:p>
      <w:pPr>
        <w:numPr>
          <w:ilvl w:val="0"/>
          <w:numId w:val="10"/>
        </w:numPr>
        <w:spacing w:after="156" w:afterLines="50"/>
        <w:ind w:left="516" w:leftChars="0" w:hanging="360" w:firstLineChars="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the case when device are victim, according to RAN1 agreements, instead of SINR, Rx sensitivity is the bottleneck which means device is Rx power limited system instead of noise limited system. For co-existence evaluation, we have to identify some performance metric or principle to evaluate whether interference is acceptable or not. Device use energy/edge detection to detect ON/OFF signal. When the interference is less than or even comparable with ON signal strength, the interference will not impact final energy/edge detection, this is much like move the OOK curve upwards but without changing OOK signal curve shape. Only when the interference is much larger than ON signal, the OOK signal will be below the interference, resulting in that device can</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t achieve energy/edge detection.</w:t>
      </w:r>
    </w:p>
    <w:p>
      <w:pPr>
        <w:spacing w:after="156" w:afterLines="5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3: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reasonable to assume device could achieve energy/edge detection even when interference is less than or even comparable with OOK signal strength.</w:t>
      </w:r>
    </w:p>
    <w:p>
      <w:pPr>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0dB SINR is reasonable performance metric when device as victim.</w:t>
      </w:r>
    </w:p>
    <w:p>
      <w:pPr>
        <w:spacing w:after="156" w:afterLines="5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Following table list the performance metric based on above proposals for information.</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9"/>
        <w:gridCol w:w="3933"/>
        <w:gridCol w:w="3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9" w:type="dxa"/>
            <w:vAlign w:val="center"/>
          </w:tcPr>
          <w:p>
            <w:pPr>
              <w:spacing w:before="120" w:after="156" w:afterLines="50" w:line="280" w:lineRule="atLeast"/>
              <w:jc w:val="center"/>
              <w:rPr>
                <w:rFonts w:hint="default" w:ascii="Times New Roman" w:hAnsi="Times New Roman"/>
                <w:b/>
                <w:bCs/>
                <w:sz w:val="20"/>
                <w:szCs w:val="20"/>
                <w:vertAlign w:val="baseline"/>
                <w:lang w:val="en-US" w:eastAsia="zh-CN"/>
              </w:rPr>
            </w:pPr>
            <w:r>
              <w:rPr>
                <w:rFonts w:hint="eastAsia" w:ascii="Times New Roman" w:hAnsi="Times New Roman"/>
                <w:b/>
                <w:bCs/>
                <w:sz w:val="20"/>
                <w:szCs w:val="20"/>
                <w:vertAlign w:val="baseline"/>
                <w:lang w:val="en-US" w:eastAsia="zh-CN"/>
              </w:rPr>
              <w:t>victim</w:t>
            </w:r>
          </w:p>
        </w:tc>
        <w:tc>
          <w:tcPr>
            <w:tcW w:w="7733" w:type="dxa"/>
            <w:gridSpan w:val="2"/>
            <w:vAlign w:val="center"/>
          </w:tcPr>
          <w:p>
            <w:pPr>
              <w:spacing w:before="120" w:after="156" w:afterLines="50" w:line="280" w:lineRule="atLeast"/>
              <w:jc w:val="center"/>
              <w:rPr>
                <w:rFonts w:hint="default" w:ascii="Times New Roman" w:hAnsi="Times New Roman"/>
                <w:b/>
                <w:bCs/>
                <w:sz w:val="20"/>
                <w:szCs w:val="20"/>
                <w:vertAlign w:val="baseline"/>
                <w:lang w:val="en-US" w:eastAsia="zh-CN"/>
              </w:rPr>
            </w:pPr>
            <w:r>
              <w:rPr>
                <w:rFonts w:hint="eastAsia" w:ascii="Times New Roman" w:hAnsi="Times New Roman"/>
                <w:b/>
                <w:bCs/>
                <w:sz w:val="20"/>
                <w:szCs w:val="20"/>
                <w:vertAlign w:val="baseline"/>
                <w:lang w:val="en-US" w:eastAsia="zh-CN"/>
              </w:rPr>
              <w:t>Performance metric</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9" w:type="dxa"/>
            <w:vAlign w:val="center"/>
          </w:tcPr>
          <w:p>
            <w:pPr>
              <w:spacing w:before="120" w:after="156" w:afterLines="50" w:line="280" w:lineRule="atLeast"/>
              <w:jc w:val="center"/>
              <w:rPr>
                <w:rFonts w:hint="default" w:ascii="Times New Roman" w:hAnsi="Times New Roman"/>
                <w:b/>
                <w:bCs/>
                <w:sz w:val="20"/>
                <w:szCs w:val="20"/>
                <w:vertAlign w:val="baseline"/>
                <w:lang w:val="en-US" w:eastAsia="zh-CN"/>
              </w:rPr>
            </w:pPr>
            <w:r>
              <w:rPr>
                <w:rFonts w:hint="eastAsia" w:ascii="Times New Roman" w:hAnsi="Times New Roman"/>
                <w:b/>
                <w:bCs/>
                <w:sz w:val="20"/>
                <w:szCs w:val="20"/>
                <w:vertAlign w:val="baseline"/>
                <w:lang w:val="en-US" w:eastAsia="zh-CN"/>
              </w:rPr>
              <w:t>reader</w:t>
            </w:r>
          </w:p>
        </w:tc>
        <w:tc>
          <w:tcPr>
            <w:tcW w:w="3933" w:type="dxa"/>
          </w:tcPr>
          <w:p>
            <w:pPr>
              <w:spacing w:before="120" w:after="156" w:afterLines="50" w:line="280" w:lineRule="atLeas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1dB SINR degradation</w:t>
            </w:r>
          </w:p>
          <w:p>
            <w:pPr>
              <w:spacing w:before="120" w:after="156" w:afterLines="50" w:line="280" w:lineRule="atLeas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When inter-system interference is negligible compared with intra-system interference and noise. No need to translate SINR into BLER.</w:t>
            </w:r>
          </w:p>
        </w:tc>
        <w:tc>
          <w:tcPr>
            <w:tcW w:w="3800" w:type="dxa"/>
          </w:tcPr>
          <w:p>
            <w:pPr>
              <w:spacing w:before="120" w:after="156" w:afterLines="50" w:line="280" w:lineRule="atLeas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10% BLER</w:t>
            </w:r>
          </w:p>
          <w:p>
            <w:pPr>
              <w:spacing w:before="120" w:after="156" w:afterLines="50" w:line="280" w:lineRule="atLeas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When inter-system interference is larger than intra-system.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229" w:type="dxa"/>
            <w:vAlign w:val="center"/>
          </w:tcPr>
          <w:p>
            <w:pPr>
              <w:spacing w:before="120" w:after="156" w:afterLines="50" w:line="280" w:lineRule="atLeast"/>
              <w:jc w:val="center"/>
              <w:rPr>
                <w:rFonts w:hint="default" w:ascii="Times New Roman" w:hAnsi="Times New Roman"/>
                <w:b/>
                <w:bCs/>
                <w:sz w:val="20"/>
                <w:szCs w:val="20"/>
                <w:vertAlign w:val="baseline"/>
                <w:lang w:val="en-US" w:eastAsia="zh-CN"/>
              </w:rPr>
            </w:pPr>
            <w:r>
              <w:rPr>
                <w:rFonts w:hint="eastAsia" w:ascii="Times New Roman" w:hAnsi="Times New Roman"/>
                <w:b/>
                <w:bCs/>
                <w:sz w:val="20"/>
                <w:szCs w:val="20"/>
                <w:vertAlign w:val="baseline"/>
                <w:lang w:val="en-US" w:eastAsia="zh-CN"/>
              </w:rPr>
              <w:t>device</w:t>
            </w:r>
          </w:p>
        </w:tc>
        <w:tc>
          <w:tcPr>
            <w:tcW w:w="7733" w:type="dxa"/>
            <w:gridSpan w:val="2"/>
          </w:tcPr>
          <w:p>
            <w:pPr>
              <w:spacing w:before="120" w:after="156" w:afterLines="50" w:line="280" w:lineRule="atLeast"/>
              <w:rPr>
                <w:rFonts w:hint="eastAsia"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0 dB SINR</w:t>
            </w:r>
          </w:p>
          <w:p>
            <w:pPr>
              <w:spacing w:before="120" w:after="156" w:afterLines="50" w:line="280" w:lineRule="atLeast"/>
              <w:rPr>
                <w:rFonts w:hint="default" w:ascii="Times New Roman" w:hAnsi="Times New Roman"/>
                <w:b w:val="0"/>
                <w:bCs w:val="0"/>
                <w:sz w:val="20"/>
                <w:szCs w:val="20"/>
                <w:vertAlign w:val="baseline"/>
                <w:lang w:val="en-US" w:eastAsia="zh-CN"/>
              </w:rPr>
            </w:pPr>
            <w:r>
              <w:rPr>
                <w:rFonts w:hint="eastAsia" w:ascii="Times New Roman" w:hAnsi="Times New Roman"/>
                <w:b w:val="0"/>
                <w:bCs w:val="0"/>
                <w:sz w:val="20"/>
                <w:szCs w:val="20"/>
                <w:vertAlign w:val="baseline"/>
                <w:lang w:val="en-US" w:eastAsia="zh-CN"/>
              </w:rPr>
              <w:t>Note: here SINR include both intra-system and inter-system interference</w:t>
            </w:r>
          </w:p>
        </w:tc>
      </w:tr>
    </w:tbl>
    <w:p>
      <w:pPr>
        <w:spacing w:after="156" w:afterLines="50"/>
        <w:rPr>
          <w:rFonts w:hint="default" w:ascii="Times New Roman" w:hAnsi="Times New Roman"/>
          <w:b/>
          <w:bCs/>
          <w:sz w:val="20"/>
          <w:szCs w:val="20"/>
          <w:lang w:val="en-US" w:eastAsia="zh-CN"/>
        </w:rPr>
      </w:pPr>
    </w:p>
    <w:p>
      <w:pPr>
        <w:spacing w:after="156" w:afterLines="5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Another common issue for all performance metric is which point on the CDF should be used to evaluation interference, i.e. the outage probability. For legacy co-existence evaluation, we use edge 5% or average throughput to evaluate interference. The former is to show the edge victim performance and the later is to show the mean victim performance. Usually, A-IoT system will not transmit much urgent service with strict delay performance requirements. From this point of view, compared with edge 5%, average value seems more meaningful. </w:t>
      </w:r>
    </w:p>
    <w:p>
      <w:pPr>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3: following list two options for outage probability, i.e. which point on the CDF should be used to evaluate interference. Considering A-IoT service usually is not urgent, average value seems more meaningful.</w:t>
      </w:r>
    </w:p>
    <w:p>
      <w:pPr>
        <w:numPr>
          <w:ilvl w:val="0"/>
          <w:numId w:val="11"/>
        </w:numPr>
        <w:spacing w:after="156" w:afterLines="50"/>
        <w:ind w:left="516" w:leftChars="0" w:hanging="360" w:firstLineChars="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Edge 5%</w:t>
      </w:r>
    </w:p>
    <w:p>
      <w:pPr>
        <w:numPr>
          <w:ilvl w:val="0"/>
          <w:numId w:val="11"/>
        </w:numPr>
        <w:spacing w:after="156" w:afterLines="50"/>
        <w:ind w:left="516" w:leftChars="0" w:hanging="360" w:firstLineChars="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Average value.</w:t>
      </w:r>
    </w:p>
    <w:p>
      <w:pPr>
        <w:pStyle w:val="5"/>
        <w:numPr>
          <w:ilvl w:val="3"/>
          <w:numId w:val="0"/>
        </w:numPr>
        <w:bidi w:val="0"/>
        <w:ind w:leftChars="0"/>
        <w:rPr>
          <w:rFonts w:hint="default"/>
          <w:lang w:val="en-US" w:eastAsia="zh-CN"/>
        </w:rPr>
      </w:pPr>
      <w:r>
        <w:rPr>
          <w:rFonts w:hint="eastAsia"/>
          <w:lang w:val="en-US" w:eastAsia="zh-CN"/>
        </w:rPr>
        <w:t>2.1.3 SINR definition for D2R</w:t>
      </w:r>
    </w:p>
    <w:p>
      <w:pPr>
        <w:spacing w:after="180"/>
        <w:jc w:val="left"/>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Following list the agreements of SINR definition for D2R</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eastAsiaTheme="minorEastAsia"/>
                <w:b/>
                <w:bCs/>
                <w:sz w:val="20"/>
                <w:szCs w:val="20"/>
                <w:lang w:val="en-US" w:eastAsia="zh-CN"/>
              </w:rPr>
            </w:pPr>
            <w:r>
              <w:rPr>
                <w:rFonts w:hint="default" w:ascii="Times New Roman" w:hAnsi="Times New Roman" w:cs="Times New Roman" w:eastAsiaTheme="minorEastAsia"/>
                <w:b/>
                <w:bCs/>
                <w:sz w:val="20"/>
                <w:szCs w:val="20"/>
                <w:lang w:val="en-US" w:eastAsia="zh-CN"/>
              </w:rPr>
              <w:t>Agreement in RAN4#111</w:t>
            </w:r>
            <w:r>
              <w:rPr>
                <w:rFonts w:hint="default" w:ascii="Times New Roman" w:hAnsi="Times New Roman" w:cs="Times New Roman"/>
                <w:b/>
                <w:bCs/>
                <w:sz w:val="20"/>
                <w:szCs w:val="20"/>
                <w:lang w:val="en-US" w:eastAsia="zh-CN"/>
              </w:rPr>
              <w:t>:</w:t>
            </w:r>
          </w:p>
          <w:p>
            <w:pPr>
              <w:spacing w:before="120" w:line="280" w:lineRule="atLeast"/>
              <w:rPr>
                <w:rFonts w:hint="default" w:ascii="Times New Roman" w:hAnsi="Times New Roman" w:cs="Times New Roman"/>
                <w:sz w:val="20"/>
                <w:szCs w:val="20"/>
                <w:lang w:eastAsia="zh-CN"/>
              </w:rPr>
            </w:pPr>
            <w:r>
              <w:rPr>
                <w:rFonts w:hint="default" w:ascii="Times New Roman" w:hAnsi="Times New Roman" w:cs="Times New Roman"/>
                <w:sz w:val="20"/>
                <w:szCs w:val="20"/>
                <w:lang w:eastAsia="zh-CN"/>
              </w:rPr>
              <w:t>Do not consider CW interference for calibration purpose for D1T1-A2 and D2T2-A2</w:t>
            </w:r>
          </w:p>
          <w:p>
            <w:pPr>
              <w:spacing w:before="120" w:after="0" w:line="280" w:lineRule="atLeast"/>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sz w:val="20"/>
                <w:szCs w:val="20"/>
                <w:lang w:eastAsia="zh-CN"/>
              </w:rPr>
              <w:t>FFS on how to consider CW cancellation capability in formal simulation</w:t>
            </w:r>
          </w:p>
        </w:tc>
      </w:tr>
    </w:tbl>
    <w:p>
      <w:pPr>
        <w:spacing w:after="180"/>
        <w:jc w:val="left"/>
        <w:rPr>
          <w:rFonts w:hint="default" w:ascii="Times New Roman" w:hAnsi="Times New Roman"/>
          <w:sz w:val="20"/>
          <w:szCs w:val="20"/>
          <w:highlight w:val="none"/>
          <w:lang w:val="en-US" w:eastAsia="zh-CN"/>
        </w:rPr>
      </w:pPr>
    </w:p>
    <w:p>
      <w:pPr>
        <w:spacing w:after="180"/>
        <w:jc w:val="left"/>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During the simulation, following two aspects will use CW signal.</w:t>
      </w:r>
    </w:p>
    <w:p>
      <w:pPr>
        <w:numPr>
          <w:ilvl w:val="0"/>
          <w:numId w:val="12"/>
        </w:numPr>
        <w:spacing w:after="180"/>
        <w:ind w:left="420" w:leftChars="0" w:hanging="420" w:firstLineChars="0"/>
        <w:jc w:val="left"/>
        <w:rPr>
          <w:rFonts w:hint="default"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Self-interference at reader side</w:t>
      </w:r>
    </w:p>
    <w:p>
      <w:pPr>
        <w:numPr>
          <w:ilvl w:val="1"/>
          <w:numId w:val="13"/>
        </w:numPr>
        <w:spacing w:after="180"/>
        <w:ind w:left="1236" w:leftChars="0" w:hanging="360" w:firstLineChars="0"/>
        <w:jc w:val="left"/>
        <w:rPr>
          <w:rFonts w:ascii="Times New Roman" w:hAnsi="Times New Roman"/>
          <w:sz w:val="20"/>
          <w:szCs w:val="20"/>
          <w:highlight w:val="none"/>
        </w:rPr>
      </w:pPr>
      <w:r>
        <w:rPr>
          <w:rFonts w:hint="eastAsia" w:ascii="Times New Roman" w:hAnsi="Times New Roman"/>
          <w:sz w:val="20"/>
          <w:szCs w:val="20"/>
          <w:highlight w:val="none"/>
          <w:lang w:val="en-US" w:eastAsia="zh-CN"/>
        </w:rPr>
        <w:t>Whether we use SINR degradation or BLER as performance metric, remaining self-interference will have impact for final co-existence conclusion. The experience of SBFD is that interference cancellation capability is based on companies report and RAN4 only categorize the total interference cancellation capability into several aspects and collect all companies</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 xml:space="preserve"> results. This could be referred by A-IoT reader. Total interference cancellation capability which is based on companies</w:t>
      </w:r>
      <w:r>
        <w:rPr>
          <w:rFonts w:hint="default" w:ascii="Times New Roman" w:hAnsi="Times New Roman"/>
          <w:sz w:val="20"/>
          <w:szCs w:val="20"/>
          <w:highlight w:val="none"/>
          <w:lang w:val="en-US" w:eastAsia="zh-CN"/>
        </w:rPr>
        <w:t>’</w:t>
      </w:r>
      <w:r>
        <w:rPr>
          <w:rFonts w:hint="eastAsia" w:ascii="Times New Roman" w:hAnsi="Times New Roman"/>
          <w:sz w:val="20"/>
          <w:szCs w:val="20"/>
          <w:highlight w:val="none"/>
          <w:lang w:val="en-US" w:eastAsia="zh-CN"/>
        </w:rPr>
        <w:t xml:space="preserve"> report = spatial isolation + RF cancellation + digital cancellation part if applicable.</w:t>
      </w:r>
    </w:p>
    <w:p>
      <w:pPr>
        <w:numPr>
          <w:ilvl w:val="2"/>
          <w:numId w:val="13"/>
        </w:numPr>
        <w:spacing w:after="180"/>
        <w:ind w:left="1956" w:leftChars="0" w:hanging="360" w:firstLineChars="0"/>
        <w:jc w:val="left"/>
        <w:rPr>
          <w:rFonts w:ascii="Times New Roman" w:hAnsi="Times New Roman"/>
          <w:sz w:val="20"/>
          <w:szCs w:val="20"/>
          <w:highlight w:val="none"/>
        </w:rPr>
      </w:pPr>
      <w:r>
        <w:rPr>
          <w:rFonts w:hint="eastAsia" w:ascii="Times New Roman" w:hAnsi="Times New Roman"/>
          <w:sz w:val="20"/>
          <w:szCs w:val="20"/>
          <w:highlight w:val="none"/>
        </w:rPr>
        <w:t>For topology 1, if we assume 10cm isolation distance between CW and receiver Rx, at last 20dB isolation is achievable. For RFIC, simple circulator/coupler could at least achieve 40dBc. For digital IC, high pass filter would help to filter DC CW signal and at least 80dBc is achievable. Then for gNB like reader 1, 140dBc self-interference is achievable for inside topology.</w:t>
      </w:r>
    </w:p>
    <w:p>
      <w:pPr>
        <w:numPr>
          <w:ilvl w:val="2"/>
          <w:numId w:val="13"/>
        </w:numPr>
        <w:spacing w:after="180"/>
        <w:ind w:left="1956" w:leftChars="0" w:hanging="360" w:firstLineChars="0"/>
        <w:jc w:val="left"/>
        <w:rPr>
          <w:rFonts w:ascii="Times New Roman" w:hAnsi="Times New Roman"/>
          <w:sz w:val="20"/>
          <w:szCs w:val="20"/>
          <w:highlight w:val="none"/>
        </w:rPr>
      </w:pPr>
      <w:r>
        <w:rPr>
          <w:rFonts w:hint="eastAsia" w:ascii="Times New Roman" w:hAnsi="Times New Roman"/>
          <w:sz w:val="20"/>
          <w:szCs w:val="20"/>
          <w:highlight w:val="none"/>
        </w:rPr>
        <w:t>For topology 2, there is no spatial isolation between CW and Rx antenna. But the UE could achieve comparable self-interference cancellation with gNB considering the RFIC and digital IC is not much complex. So it</w:t>
      </w:r>
      <w:r>
        <w:rPr>
          <w:rFonts w:ascii="Times New Roman" w:hAnsi="Times New Roman"/>
          <w:sz w:val="20"/>
          <w:szCs w:val="20"/>
          <w:highlight w:val="none"/>
        </w:rPr>
        <w:t>’</w:t>
      </w:r>
      <w:r>
        <w:rPr>
          <w:rFonts w:hint="eastAsia" w:ascii="Times New Roman" w:hAnsi="Times New Roman"/>
          <w:sz w:val="20"/>
          <w:szCs w:val="20"/>
          <w:highlight w:val="none"/>
        </w:rPr>
        <w:t>s assumed 120dBc self-interference cancellation is achievable for reader of topology 2.</w:t>
      </w:r>
    </w:p>
    <w:p>
      <w:pPr>
        <w:tabs>
          <w:tab w:val="left" w:pos="720"/>
        </w:tabs>
        <w:spacing w:after="156" w:afterLines="50"/>
        <w:rPr>
          <w:rFonts w:hint="default" w:ascii="Times New Roman" w:hAnsi="Times New Roman"/>
          <w:sz w:val="20"/>
          <w:szCs w:val="20"/>
          <w:highlight w:val="none"/>
          <w:lang w:val="en-US" w:eastAsia="zh-CN"/>
        </w:rPr>
      </w:pPr>
      <w:r>
        <w:rPr>
          <w:rFonts w:hint="eastAsia" w:ascii="Times New Roman" w:hAnsi="Times New Roman"/>
          <w:b/>
          <w:bCs/>
          <w:sz w:val="20"/>
          <w:szCs w:val="20"/>
          <w:highlight w:val="none"/>
        </w:rPr>
        <w:t xml:space="preserve">Observation </w:t>
      </w:r>
      <w:r>
        <w:rPr>
          <w:rFonts w:hint="eastAsia" w:ascii="Times New Roman" w:hAnsi="Times New Roman"/>
          <w:b/>
          <w:bCs/>
          <w:sz w:val="20"/>
          <w:szCs w:val="20"/>
          <w:highlight w:val="none"/>
          <w:lang w:val="en-US" w:eastAsia="zh-CN"/>
        </w:rPr>
        <w:t>4</w:t>
      </w:r>
      <w:r>
        <w:rPr>
          <w:rFonts w:hint="eastAsia" w:ascii="Times New Roman" w:hAnsi="Times New Roman"/>
          <w:b/>
          <w:bCs/>
          <w:sz w:val="20"/>
          <w:szCs w:val="20"/>
          <w:highlight w:val="none"/>
        </w:rPr>
        <w:t>: 140dBc self-interference cancellation is achievable for topology 1 and 120dBc self-interference cancellation is achievable for topology 2.</w:t>
      </w:r>
    </w:p>
    <w:p>
      <w:pPr>
        <w:numPr>
          <w:ilvl w:val="1"/>
          <w:numId w:val="13"/>
        </w:numPr>
        <w:spacing w:after="180"/>
        <w:ind w:left="1236" w:leftChars="0" w:hanging="360" w:firstLineChars="0"/>
        <w:jc w:val="left"/>
        <w:rPr>
          <w:rFonts w:hint="default"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Another issue is how to use such self-interference cancellation capability. Single tone almost have no bandwidth in frequency domain. But now when we calculate SINR at reader side, we usually use PSD ratio based on the assumption that noise have the same bandwidth as interference. At reader side, in theory we need to use total power ratio since actual bandwidth of remaining interference bandwidth is much less than noise.</w:t>
      </w:r>
    </w:p>
    <w:p>
      <w:pPr>
        <w:numPr>
          <w:ilvl w:val="0"/>
          <w:numId w:val="0"/>
        </w:numPr>
        <w:spacing w:after="180"/>
        <w:jc w:val="left"/>
        <w:rPr>
          <w:rFonts w:hint="default" w:ascii="Times New Roman" w:hAnsi="Times New Roman"/>
          <w:sz w:val="20"/>
          <w:szCs w:val="20"/>
          <w:highlight w:val="none"/>
          <w:lang w:val="en-US" w:eastAsia="zh-CN"/>
        </w:rPr>
      </w:pPr>
      <w:r>
        <w:rPr>
          <w:rFonts w:hint="eastAsia" w:ascii="Times New Roman" w:hAnsi="Times New Roman"/>
          <w:b/>
          <w:bCs/>
          <w:sz w:val="20"/>
          <w:szCs w:val="20"/>
          <w:highlight w:val="none"/>
          <w:lang w:val="en-US" w:eastAsia="zh-CN"/>
        </w:rPr>
        <w:t xml:space="preserve">Proposal 4: we have following suggestions for self-interference if finally approve to simulate self-interference in final simulation </w:t>
      </w:r>
    </w:p>
    <w:p>
      <w:pPr>
        <w:numPr>
          <w:ilvl w:val="0"/>
          <w:numId w:val="13"/>
        </w:numPr>
        <w:spacing w:after="180"/>
        <w:ind w:left="516" w:leftChars="0" w:hanging="360" w:firstLineChars="0"/>
        <w:jc w:val="left"/>
        <w:rPr>
          <w:rFonts w:hint="default" w:ascii="Times New Roman" w:hAnsi="Times New Roman"/>
          <w:sz w:val="20"/>
          <w:szCs w:val="20"/>
          <w:highlight w:val="none"/>
          <w:lang w:val="en-US" w:eastAsia="zh-CN"/>
        </w:rPr>
      </w:pPr>
      <w:r>
        <w:rPr>
          <w:rFonts w:hint="eastAsia" w:ascii="Times New Roman" w:hAnsi="Times New Roman"/>
          <w:b/>
          <w:bCs/>
          <w:sz w:val="20"/>
          <w:szCs w:val="20"/>
          <w:highlight w:val="none"/>
          <w:lang w:val="en-US" w:eastAsia="zh-CN"/>
        </w:rPr>
        <w:t>Total interference cancellation capability is based on companies report. Companies are also encouraged to show detailed analysis of each part of self-interference cancellation aspects, i.e. total interference cancellation capability = spatial isolation + RF cancellation + digital cancellation</w:t>
      </w:r>
    </w:p>
    <w:p>
      <w:pPr>
        <w:numPr>
          <w:ilvl w:val="0"/>
          <w:numId w:val="13"/>
        </w:numPr>
        <w:spacing w:after="180"/>
        <w:ind w:left="516" w:leftChars="0" w:hanging="36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the SINR at reader is calculated as total power ratio, i.e.</w:t>
      </w:r>
    </w:p>
    <w:p>
      <w:pPr>
        <w:keepNext w:val="0"/>
        <w:keepLines w:val="0"/>
        <w:pageBreakBefore w:val="0"/>
        <w:widowControl w:val="0"/>
        <w:numPr>
          <w:ilvl w:val="0"/>
          <w:numId w:val="0"/>
        </w:numPr>
        <w:kinsoku/>
        <w:wordWrap/>
        <w:overflowPunct/>
        <w:topLinePunct w:val="0"/>
        <w:autoSpaceDE/>
        <w:autoSpaceDN/>
        <w:bidi w:val="0"/>
        <w:adjustRightInd/>
        <w:snapToGrid/>
        <w:spacing w:after="180"/>
        <w:ind w:left="0" w:leftChars="0"/>
        <w:jc w:val="left"/>
        <w:textAlignment w:val="auto"/>
        <w:rPr>
          <w:rFonts w:hint="default" w:ascii="Times New Roman" w:hAnsi="Times New Roman"/>
          <w:sz w:val="20"/>
          <w:szCs w:val="20"/>
          <w:highlight w:val="none"/>
          <w:lang w:val="en-US" w:eastAsia="zh-CN"/>
        </w:rPr>
      </w:pPr>
      <m:oMath>
        <m:r>
          <m:rPr/>
          <w:rPr>
            <w:rFonts w:hint="default" w:ascii="Cambria Math" w:hAnsi="Cambria Math"/>
            <w:sz w:val="20"/>
            <w:szCs w:val="20"/>
            <w:highlight w:val="none"/>
            <w:lang w:val="en-US" w:eastAsia="zh-CN"/>
          </w:rPr>
          <m:t>SINR</m:t>
        </m:r>
        <m:r>
          <m:rPr/>
          <w:rPr>
            <w:rFonts w:ascii="Cambria Math" w:hAnsi="Cambria Math"/>
            <w:sz w:val="20"/>
            <w:szCs w:val="20"/>
            <w:highlight w:val="none"/>
            <w:lang w:val="en-US"/>
          </w:rPr>
          <m:t>=</m:t>
        </m:r>
        <m:f>
          <m:fPr>
            <m:ctrlPr>
              <w:rPr>
                <w:rFonts w:ascii="Cambria Math" w:hAnsi="Cambria Math"/>
                <w:i/>
                <w:sz w:val="20"/>
                <w:szCs w:val="20"/>
                <w:highlight w:val="none"/>
                <w:lang w:val="en-US"/>
              </w:rPr>
            </m:ctrlPr>
          </m:fPr>
          <m:num>
            <m:r>
              <m:rPr/>
              <w:rPr>
                <w:rFonts w:hint="default" w:ascii="Cambria Math" w:hAnsi="Cambria Math"/>
                <w:sz w:val="20"/>
                <w:szCs w:val="20"/>
                <w:highlight w:val="none"/>
                <w:lang w:val="en-US" w:eastAsia="zh-CN"/>
              </w:rPr>
              <m:t>total received power witℎin total receiver bandwidtℎ</m:t>
            </m:r>
            <m:ctrlPr>
              <w:rPr>
                <w:rFonts w:ascii="Cambria Math" w:hAnsi="Cambria Math"/>
                <w:i/>
                <w:sz w:val="20"/>
                <w:szCs w:val="20"/>
                <w:highlight w:val="none"/>
                <w:lang w:val="en-US"/>
              </w:rPr>
            </m:ctrlPr>
          </m:num>
          <m:den>
            <m:sSub>
              <m:sSubPr>
                <m:ctrlPr>
                  <w:rPr>
                    <w:rFonts w:ascii="Cambria Math" w:hAnsi="Cambria Math"/>
                    <w:i/>
                    <w:sz w:val="20"/>
                    <w:szCs w:val="20"/>
                    <w:highlight w:val="none"/>
                    <w:lang w:val="en-US"/>
                  </w:rPr>
                </m:ctrlPr>
              </m:sSubPr>
              <m:e>
                <m:d>
                  <m:dPr>
                    <m:ctrlPr>
                      <w:rPr>
                        <w:rFonts w:ascii="Cambria Math" w:hAnsi="Cambria Math"/>
                        <w:i/>
                        <w:sz w:val="20"/>
                        <w:szCs w:val="20"/>
                        <w:highlight w:val="none"/>
                        <w:lang w:val="en-US"/>
                      </w:rPr>
                    </m:ctrlPr>
                  </m:dPr>
                  <m:e>
                    <m:r>
                      <m:rPr/>
                      <w:rPr>
                        <w:rFonts w:hint="default" w:ascii="Cambria Math" w:hAnsi="Cambria Math"/>
                        <w:sz w:val="20"/>
                        <w:szCs w:val="20"/>
                        <w:highlight w:val="none"/>
                        <w:lang w:val="en-US" w:eastAsia="zh-CN"/>
                      </w:rPr>
                      <m:t>noise + intra−system interference + inter−system interference</m:t>
                    </m:r>
                    <m:ctrlPr>
                      <w:rPr>
                        <w:rFonts w:ascii="Cambria Math" w:hAnsi="Cambria Math"/>
                        <w:i/>
                        <w:sz w:val="20"/>
                        <w:szCs w:val="20"/>
                        <w:highlight w:val="none"/>
                        <w:lang w:val="en-US"/>
                      </w:rPr>
                    </m:ctrlPr>
                  </m:e>
                </m:d>
                <m:ctrlPr>
                  <w:rPr>
                    <w:rFonts w:ascii="Cambria Math" w:hAnsi="Cambria Math"/>
                    <w:i/>
                    <w:sz w:val="20"/>
                    <w:szCs w:val="20"/>
                    <w:highlight w:val="none"/>
                    <w:lang w:val="en-US"/>
                  </w:rPr>
                </m:ctrlPr>
              </m:e>
              <m:sub>
                <m:r>
                  <m:rPr/>
                  <w:rPr>
                    <w:rFonts w:hint="default" w:ascii="Cambria Math" w:hAnsi="Cambria Math"/>
                    <w:sz w:val="20"/>
                    <w:szCs w:val="20"/>
                    <w:highlight w:val="none"/>
                    <w:lang w:val="en-US" w:eastAsia="zh-CN"/>
                  </w:rPr>
                  <m:t>witℎin total receiver bandwidtℎ</m:t>
                </m:r>
                <m:ctrlPr>
                  <w:rPr>
                    <w:rFonts w:ascii="Cambria Math" w:hAnsi="Cambria Math"/>
                    <w:i/>
                    <w:sz w:val="20"/>
                    <w:szCs w:val="20"/>
                    <w:highlight w:val="none"/>
                    <w:lang w:val="en-US"/>
                  </w:rPr>
                </m:ctrlPr>
              </m:sub>
            </m:sSub>
            <m:r>
              <m:rPr/>
              <w:rPr>
                <w:rFonts w:hint="default" w:ascii="Cambria Math" w:hAnsi="Cambria Math"/>
                <w:sz w:val="20"/>
                <w:szCs w:val="20"/>
                <w:highlight w:val="none"/>
                <w:lang w:val="en-US" w:eastAsia="zh-CN"/>
              </w:rPr>
              <m:t>+</m:t>
            </m:r>
            <m:sSub>
              <m:sSubPr>
                <m:ctrlPr>
                  <w:rPr>
                    <w:rFonts w:hint="default" w:ascii="Cambria Math" w:hAnsi="Cambria Math"/>
                    <w:i/>
                    <w:sz w:val="20"/>
                    <w:szCs w:val="20"/>
                    <w:highlight w:val="none"/>
                    <w:lang w:val="en-US" w:eastAsia="zh-CN"/>
                  </w:rPr>
                </m:ctrlPr>
              </m:sSubPr>
              <m:e>
                <m:d>
                  <m:dPr>
                    <m:ctrlPr>
                      <w:rPr>
                        <w:rFonts w:hint="default" w:ascii="Cambria Math" w:hAnsi="Cambria Math"/>
                        <w:i/>
                        <w:sz w:val="20"/>
                        <w:szCs w:val="20"/>
                        <w:highlight w:val="none"/>
                        <w:lang w:val="en-US" w:eastAsia="zh-CN"/>
                      </w:rPr>
                    </m:ctrlPr>
                  </m:dPr>
                  <m:e>
                    <m:r>
                      <m:rPr/>
                      <w:rPr>
                        <w:rFonts w:hint="default" w:ascii="Cambria Math" w:hAnsi="Cambria Math"/>
                        <w:sz w:val="20"/>
                        <w:szCs w:val="20"/>
                        <w:highlight w:val="none"/>
                        <w:lang w:val="en-US" w:eastAsia="zh-CN"/>
                      </w:rPr>
                      <m:t>CW power − self−interference cancellation</m:t>
                    </m:r>
                    <m:ctrlPr>
                      <w:rPr>
                        <w:rFonts w:hint="default" w:ascii="Cambria Math" w:hAnsi="Cambria Math"/>
                        <w:i/>
                        <w:sz w:val="20"/>
                        <w:szCs w:val="20"/>
                        <w:highlight w:val="none"/>
                        <w:lang w:val="en-US" w:eastAsia="zh-CN"/>
                      </w:rPr>
                    </m:ctrlPr>
                  </m:e>
                </m:d>
                <m:ctrlPr>
                  <w:rPr>
                    <w:rFonts w:hint="default" w:ascii="Cambria Math" w:hAnsi="Cambria Math"/>
                    <w:i/>
                    <w:sz w:val="20"/>
                    <w:szCs w:val="20"/>
                    <w:highlight w:val="none"/>
                    <w:lang w:val="en-US" w:eastAsia="zh-CN"/>
                  </w:rPr>
                </m:ctrlPr>
              </m:e>
              <m:sub>
                <m:r>
                  <m:rPr/>
                  <w:rPr>
                    <w:rFonts w:hint="default" w:ascii="Cambria Math" w:hAnsi="Cambria Math"/>
                    <w:sz w:val="20"/>
                    <w:szCs w:val="20"/>
                    <w:highlight w:val="none"/>
                    <w:lang w:val="en-US" w:eastAsia="zh-CN"/>
                  </w:rPr>
                  <m:t>in linear scale</m:t>
                </m:r>
                <m:ctrlPr>
                  <w:rPr>
                    <w:rFonts w:hint="default" w:ascii="Cambria Math" w:hAnsi="Cambria Math"/>
                    <w:i/>
                    <w:sz w:val="20"/>
                    <w:szCs w:val="20"/>
                    <w:highlight w:val="none"/>
                    <w:lang w:val="en-US" w:eastAsia="zh-CN"/>
                  </w:rPr>
                </m:ctrlPr>
              </m:sub>
            </m:sSub>
            <m:ctrlPr>
              <w:rPr>
                <w:rFonts w:ascii="Cambria Math" w:hAnsi="Cambria Math"/>
                <w:i/>
                <w:sz w:val="20"/>
                <w:szCs w:val="20"/>
                <w:highlight w:val="none"/>
                <w:lang w:val="en-US"/>
              </w:rPr>
            </m:ctrlPr>
          </m:den>
        </m:f>
      </m:oMath>
      <w:r>
        <w:rPr>
          <w:rFonts w:hint="eastAsia" w:ascii="Times New Roman" w:hAnsi="Times New Roman"/>
          <w:sz w:val="20"/>
          <w:szCs w:val="20"/>
          <w:highlight w:val="none"/>
          <w:lang w:val="en-US" w:eastAsia="zh-CN"/>
        </w:rPr>
        <w:t xml:space="preserve"> </w:t>
      </w:r>
    </w:p>
    <w:p>
      <w:pPr>
        <w:numPr>
          <w:ilvl w:val="0"/>
          <w:numId w:val="14"/>
        </w:numPr>
        <w:spacing w:after="180"/>
        <w:ind w:left="420" w:leftChars="0" w:hanging="420" w:firstLineChars="0"/>
        <w:jc w:val="left"/>
        <w:rPr>
          <w:rFonts w:ascii="Times New Roman" w:hAnsi="Times New Roman"/>
          <w:sz w:val="20"/>
          <w:szCs w:val="20"/>
          <w:highlight w:val="none"/>
        </w:rPr>
      </w:pPr>
      <w:r>
        <w:rPr>
          <w:rFonts w:hint="eastAsia" w:ascii="Times New Roman" w:hAnsi="Times New Roman"/>
          <w:sz w:val="20"/>
          <w:szCs w:val="20"/>
          <w:highlight w:val="none"/>
          <w:lang w:val="en-US" w:eastAsia="zh-CN"/>
        </w:rPr>
        <w:t>Unwanted emission level of CW</w:t>
      </w:r>
    </w:p>
    <w:p>
      <w:pPr>
        <w:numPr>
          <w:ilvl w:val="1"/>
          <w:numId w:val="13"/>
        </w:numPr>
        <w:spacing w:after="180"/>
        <w:ind w:left="1236" w:leftChars="0" w:hanging="360" w:firstLineChars="0"/>
        <w:jc w:val="left"/>
        <w:rPr>
          <w:rFonts w:ascii="Times New Roman" w:hAnsi="Times New Roman"/>
          <w:sz w:val="20"/>
          <w:szCs w:val="20"/>
          <w:highlight w:val="none"/>
        </w:rPr>
      </w:pPr>
      <w:r>
        <w:rPr>
          <w:rFonts w:hint="eastAsia" w:ascii="Times New Roman" w:hAnsi="Times New Roman"/>
          <w:sz w:val="20"/>
          <w:szCs w:val="20"/>
          <w:highlight w:val="none"/>
        </w:rPr>
        <w:t>In last meeting, RAN1 approved that CW using single tone or multiple tone waveform is high priority and OFDM based CW waveform is low priority. For single tone or multiple single tone, they are individual pulse in frequency domain. Even with certain frequency error/ RF impairment, CW signal</w:t>
      </w:r>
      <w:r>
        <w:rPr>
          <w:rFonts w:ascii="Times New Roman" w:hAnsi="Times New Roman"/>
          <w:sz w:val="20"/>
          <w:szCs w:val="20"/>
          <w:highlight w:val="none"/>
        </w:rPr>
        <w:t>’</w:t>
      </w:r>
      <w:r>
        <w:rPr>
          <w:rFonts w:hint="eastAsia" w:ascii="Times New Roman" w:hAnsi="Times New Roman"/>
          <w:sz w:val="20"/>
          <w:szCs w:val="20"/>
          <w:highlight w:val="none"/>
        </w:rPr>
        <w:t xml:space="preserve">s unwanted emission outside </w:t>
      </w:r>
      <w:r>
        <w:rPr>
          <w:rFonts w:hint="eastAsia" w:ascii="Times New Roman" w:hAnsi="Times New Roman"/>
          <w:sz w:val="20"/>
          <w:szCs w:val="20"/>
          <w:highlight w:val="none"/>
          <w:lang w:val="en-US" w:eastAsia="zh-CN"/>
        </w:rPr>
        <w:t xml:space="preserve">system </w:t>
      </w:r>
      <w:r>
        <w:rPr>
          <w:rFonts w:hint="eastAsia" w:ascii="Times New Roman" w:hAnsi="Times New Roman"/>
          <w:sz w:val="20"/>
          <w:szCs w:val="20"/>
          <w:highlight w:val="none"/>
        </w:rPr>
        <w:t>bandwidth</w:t>
      </w:r>
      <w:r>
        <w:rPr>
          <w:rFonts w:hint="eastAsia" w:ascii="Times New Roman" w:hAnsi="Times New Roman"/>
          <w:sz w:val="20"/>
          <w:szCs w:val="20"/>
          <w:highlight w:val="none"/>
          <w:lang w:val="en-US" w:eastAsia="zh-CN"/>
        </w:rPr>
        <w:t xml:space="preserve"> of A-IoT system</w:t>
      </w:r>
      <w:r>
        <w:rPr>
          <w:rFonts w:hint="eastAsia" w:ascii="Times New Roman" w:hAnsi="Times New Roman"/>
          <w:sz w:val="20"/>
          <w:szCs w:val="20"/>
          <w:highlight w:val="none"/>
        </w:rPr>
        <w:t xml:space="preserve"> e.g. 180KHz would be much perfect. Therefore, it seems there is no need to consider </w:t>
      </w:r>
      <w:r>
        <w:rPr>
          <w:rFonts w:hint="eastAsia" w:ascii="Times New Roman" w:hAnsi="Times New Roman"/>
          <w:sz w:val="20"/>
          <w:szCs w:val="20"/>
          <w:highlight w:val="none"/>
          <w:lang w:val="en-US" w:eastAsia="zh-CN"/>
        </w:rPr>
        <w:t xml:space="preserve">unwanted emission level of </w:t>
      </w:r>
      <w:r>
        <w:rPr>
          <w:rFonts w:hint="eastAsia" w:ascii="Times New Roman" w:hAnsi="Times New Roman"/>
          <w:sz w:val="20"/>
          <w:szCs w:val="20"/>
          <w:highlight w:val="none"/>
        </w:rPr>
        <w:t>CW interference in simulation.</w:t>
      </w:r>
    </w:p>
    <w:p>
      <w:pPr>
        <w:spacing w:after="18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rPr>
        <w:t xml:space="preserve">Proposal </w:t>
      </w:r>
      <w:r>
        <w:rPr>
          <w:rFonts w:hint="eastAsia" w:ascii="Times New Roman" w:hAnsi="Times New Roman"/>
          <w:b/>
          <w:bCs/>
          <w:sz w:val="20"/>
          <w:szCs w:val="20"/>
          <w:highlight w:val="none"/>
          <w:lang w:val="en-US" w:eastAsia="zh-CN"/>
        </w:rPr>
        <w:t>5</w:t>
      </w:r>
      <w:r>
        <w:rPr>
          <w:rFonts w:hint="eastAsia" w:ascii="Times New Roman" w:hAnsi="Times New Roman"/>
          <w:b/>
          <w:bCs/>
          <w:sz w:val="20"/>
          <w:szCs w:val="20"/>
          <w:highlight w:val="none"/>
        </w:rPr>
        <w:t>: during co-existence simulation, there is no need to consider CW unwanted interference due to its almost perfect unwanted emission performance outside the transmission bandwidth.</w:t>
      </w:r>
      <w:r>
        <w:rPr>
          <w:rFonts w:hint="eastAsia" w:ascii="Times New Roman" w:hAnsi="Times New Roman"/>
          <w:b/>
          <w:bCs/>
          <w:sz w:val="20"/>
          <w:szCs w:val="20"/>
          <w:highlight w:val="none"/>
          <w:lang w:val="en-US" w:eastAsia="zh-CN"/>
        </w:rPr>
        <w:t xml:space="preserve"> </w:t>
      </w:r>
    </w:p>
    <w:p>
      <w:pPr>
        <w:pStyle w:val="5"/>
        <w:numPr>
          <w:ilvl w:val="3"/>
          <w:numId w:val="0"/>
        </w:numPr>
        <w:bidi w:val="0"/>
        <w:ind w:leftChars="0"/>
        <w:rPr>
          <w:rFonts w:hint="default"/>
          <w:lang w:val="en-US" w:eastAsia="zh-CN"/>
        </w:rPr>
      </w:pPr>
      <w:r>
        <w:rPr>
          <w:rFonts w:hint="eastAsia"/>
          <w:lang w:val="en-US" w:eastAsia="zh-CN"/>
        </w:rPr>
        <w:t>2.1.4 SINR definition for R2D</w:t>
      </w:r>
    </w:p>
    <w:p>
      <w:pPr>
        <w:spacing w:after="180"/>
        <w:jc w:val="left"/>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Following list the agreements of SINR definition for D2R</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62" w:type="dxa"/>
          </w:tcPr>
          <w:p>
            <w:pPr>
              <w:spacing w:before="120" w:line="280" w:lineRule="atLeast"/>
              <w:rPr>
                <w:rFonts w:hint="default" w:ascii="Times New Roman" w:hAnsi="Times New Roman" w:cs="Times New Roman"/>
                <w:b/>
                <w:bCs/>
                <w:sz w:val="20"/>
                <w:szCs w:val="20"/>
                <w:highlight w:val="none"/>
                <w:lang w:val="en-US" w:eastAsia="zh-CN"/>
              </w:rPr>
            </w:pPr>
            <w:r>
              <w:rPr>
                <w:rFonts w:hint="default" w:ascii="Times New Roman" w:hAnsi="Times New Roman" w:cs="Times New Roman" w:eastAsiaTheme="minorEastAsia"/>
                <w:b/>
                <w:bCs/>
                <w:sz w:val="20"/>
                <w:szCs w:val="20"/>
                <w:highlight w:val="none"/>
                <w:lang w:val="en-US" w:eastAsia="zh-CN"/>
              </w:rPr>
              <w:t>Agreement in RAN4#111</w:t>
            </w:r>
            <w:r>
              <w:rPr>
                <w:rFonts w:hint="default" w:ascii="Times New Roman" w:hAnsi="Times New Roman" w:cs="Times New Roman"/>
                <w:b/>
                <w:bCs/>
                <w:sz w:val="20"/>
                <w:szCs w:val="20"/>
                <w:highlight w:val="none"/>
                <w:lang w:val="en-US" w:eastAsia="zh-CN"/>
              </w:rPr>
              <w:t>:</w:t>
            </w:r>
          </w:p>
          <w:p>
            <w:pPr>
              <w:spacing w:before="120" w:line="280" w:lineRule="atLeast"/>
              <w:rPr>
                <w:rFonts w:hint="default" w:ascii="Times New Roman" w:hAnsi="Times New Roman" w:cs="Times New Roman" w:eastAsiaTheme="minorEastAsia"/>
                <w:b/>
                <w:bCs/>
                <w:sz w:val="20"/>
                <w:szCs w:val="20"/>
                <w:highlight w:val="none"/>
                <w:lang w:val="en-US" w:eastAsia="zh-CN"/>
              </w:rPr>
            </w:pPr>
            <w:r>
              <w:rPr>
                <w:rFonts w:hint="default" w:ascii="Times New Roman" w:hAnsi="Times New Roman" w:cs="Times New Roman"/>
                <w:sz w:val="20"/>
                <w:szCs w:val="20"/>
                <w:highlight w:val="none"/>
                <w:lang w:val="en-US" w:eastAsia="zh-CN"/>
              </w:rPr>
              <w:t>SINR for R2D for calibration purposes</w:t>
            </w:r>
          </w:p>
          <w:p>
            <w:pPr>
              <w:pStyle w:val="26"/>
              <w:numPr>
                <w:ilvl w:val="0"/>
                <w:numId w:val="15"/>
              </w:numPr>
              <w:spacing w:before="120" w:after="120" w:afterLines="50" w:line="280" w:lineRule="atLeast"/>
              <w:ind w:firstLineChars="0"/>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signal power of device to the noise and interference within 1</w:t>
            </w:r>
            <w:r>
              <w:rPr>
                <w:rFonts w:hint="default" w:ascii="Times New Roman" w:hAnsi="Times New Roman" w:cs="Times New Roman" w:eastAsiaTheme="minorEastAsia"/>
                <w:sz w:val="20"/>
                <w:szCs w:val="20"/>
                <w:highlight w:val="none"/>
                <w:lang w:val="en-US" w:eastAsia="zh-CN"/>
              </w:rPr>
              <w:t>0</w:t>
            </w:r>
            <w:r>
              <w:rPr>
                <w:rFonts w:hint="default" w:ascii="Times New Roman" w:hAnsi="Times New Roman" w:cs="Times New Roman"/>
                <w:sz w:val="20"/>
                <w:szCs w:val="20"/>
                <w:highlight w:val="none"/>
                <w:lang w:val="en-US" w:eastAsia="zh-CN"/>
              </w:rPr>
              <w:t>MHz</w:t>
            </w:r>
          </w:p>
          <w:p>
            <w:pPr>
              <w:pStyle w:val="26"/>
              <w:numPr>
                <w:ilvl w:val="1"/>
                <w:numId w:val="15"/>
              </w:numPr>
              <w:spacing w:before="120" w:after="120" w:afterLines="50" w:line="280" w:lineRule="atLeast"/>
              <w:ind w:firstLineChars="0"/>
              <w:rPr>
                <w:rFonts w:hint="default" w:ascii="Times New Roman" w:hAnsi="Times New Roman" w:cs="Times New Roman"/>
                <w:sz w:val="20"/>
                <w:szCs w:val="20"/>
                <w:highlight w:val="none"/>
                <w:lang w:val="en-US" w:eastAsia="zh-CN"/>
              </w:rPr>
            </w:pPr>
            <w:r>
              <w:rPr>
                <w:rFonts w:hint="default" w:ascii="Times New Roman" w:hAnsi="Times New Roman" w:cs="Times New Roman" w:eastAsiaTheme="minorEastAsia"/>
                <w:sz w:val="20"/>
                <w:szCs w:val="20"/>
                <w:highlight w:val="none"/>
                <w:lang w:val="en-US" w:eastAsia="zh-CN"/>
              </w:rPr>
              <w:t>Assume interference NR BW is 10MHz</w:t>
            </w:r>
          </w:p>
          <w:p>
            <w:pPr>
              <w:pStyle w:val="26"/>
              <w:numPr>
                <w:ilvl w:val="0"/>
                <w:numId w:val="15"/>
              </w:numPr>
              <w:spacing w:before="120" w:after="120" w:afterLines="50" w:line="280" w:lineRule="atLeast"/>
              <w:ind w:firstLineChars="0"/>
              <w:rPr>
                <w:rFonts w:hint="default" w:ascii="Times New Roman" w:hAnsi="Times New Roman" w:cs="Times New Roman"/>
                <w:sz w:val="20"/>
                <w:szCs w:val="20"/>
                <w:highlight w:val="none"/>
                <w:vertAlign w:val="baseline"/>
                <w:lang w:val="en-US" w:eastAsia="zh-CN"/>
              </w:rPr>
            </w:pPr>
            <w:r>
              <w:rPr>
                <w:rFonts w:hint="default" w:ascii="Times New Roman" w:hAnsi="Times New Roman" w:cs="Times New Roman" w:eastAsiaTheme="minorEastAsia"/>
                <w:sz w:val="20"/>
                <w:szCs w:val="20"/>
                <w:highlight w:val="none"/>
                <w:lang w:val="en-US" w:eastAsia="zh-CN"/>
              </w:rPr>
              <w:t>FFS on BB LPF</w:t>
            </w:r>
          </w:p>
        </w:tc>
      </w:tr>
    </w:tbl>
    <w:p>
      <w:pPr>
        <w:spacing w:after="180"/>
        <w:jc w:val="left"/>
        <w:rPr>
          <w:rFonts w:hint="eastAsia" w:ascii="Times New Roman" w:hAnsi="Times New Roman"/>
          <w:b w:val="0"/>
          <w:bCs w:val="0"/>
          <w:sz w:val="20"/>
          <w:szCs w:val="20"/>
          <w:highlight w:val="none"/>
          <w:lang w:val="en-US" w:eastAsia="zh-CN"/>
        </w:rPr>
      </w:pPr>
    </w:p>
    <w:p>
      <w:pPr>
        <w:spacing w:after="18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For 900MHz spectrum, 10MHz is the typical bandwidth. At device side, narrower RF pass-bandwidth require much higher Q value of filter and may increase device cost and format. But according to initial simulation results, for current deployment scenario, the interference from NR system to device is negligible which means the NR bandwidth assumption is not that key, we can still use 10MHz for formal simulation. </w:t>
      </w:r>
    </w:p>
    <w:p>
      <w:pPr>
        <w:spacing w:after="18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Regarding the BB LPF, i</w:t>
      </w:r>
      <w:r>
        <w:rPr>
          <w:rFonts w:hint="eastAsia" w:ascii="Times New Roman" w:hAnsi="Times New Roman"/>
          <w:b w:val="0"/>
          <w:bCs w:val="0"/>
          <w:sz w:val="20"/>
          <w:szCs w:val="20"/>
          <w:highlight w:val="none"/>
        </w:rPr>
        <w:t>n last meeting, it</w:t>
      </w:r>
      <w:r>
        <w:rPr>
          <w:rFonts w:ascii="Times New Roman" w:hAnsi="Times New Roman"/>
          <w:b w:val="0"/>
          <w:bCs w:val="0"/>
          <w:sz w:val="20"/>
          <w:szCs w:val="20"/>
          <w:highlight w:val="none"/>
        </w:rPr>
        <w:t>’</w:t>
      </w:r>
      <w:r>
        <w:rPr>
          <w:rFonts w:hint="eastAsia" w:ascii="Times New Roman" w:hAnsi="Times New Roman"/>
          <w:b w:val="0"/>
          <w:bCs w:val="0"/>
          <w:sz w:val="20"/>
          <w:szCs w:val="20"/>
          <w:highlight w:val="none"/>
        </w:rPr>
        <w:t>s approved that RAN4 will prioritize device 1 and 2a, both of which will only support RF-ED architecture according to previous RAN1 agreements. There is no agreement of detailed RF-ED algorithm, but anyway the basic logic is that RF-ED will extract signal envelop including both the wanted signal and interference signal and transform them into low frequency</w:t>
      </w:r>
      <w:r>
        <w:rPr>
          <w:rFonts w:hint="eastAsia" w:ascii="Times New Roman" w:hAnsi="Times New Roman"/>
          <w:b w:val="0"/>
          <w:bCs w:val="0"/>
          <w:sz w:val="20"/>
          <w:szCs w:val="20"/>
          <w:highlight w:val="none"/>
          <w:lang w:val="en-US" w:eastAsia="zh-CN"/>
        </w:rPr>
        <w:t xml:space="preserve"> domain</w:t>
      </w:r>
      <w:r>
        <w:rPr>
          <w:rFonts w:hint="eastAsia" w:ascii="Times New Roman" w:hAnsi="Times New Roman"/>
          <w:b w:val="0"/>
          <w:bCs w:val="0"/>
          <w:sz w:val="20"/>
          <w:szCs w:val="20"/>
          <w:highlight w:val="none"/>
        </w:rPr>
        <w:t>.</w:t>
      </w:r>
      <w:r>
        <w:rPr>
          <w:rFonts w:hint="eastAsia" w:ascii="Times New Roman" w:hAnsi="Times New Roman"/>
          <w:b w:val="0"/>
          <w:bCs w:val="0"/>
          <w:sz w:val="20"/>
          <w:szCs w:val="20"/>
          <w:highlight w:val="none"/>
          <w:lang w:val="en-US" w:eastAsia="zh-CN"/>
        </w:rPr>
        <w:t xml:space="preserve"> Compared with transformed NR signal, the OOK signal after RF-ED transformation is more concentrated in the lower frequencies. In theory, t</w:t>
      </w:r>
      <w:r>
        <w:rPr>
          <w:rFonts w:hint="eastAsia" w:ascii="Times New Roman" w:hAnsi="Times New Roman"/>
          <w:b w:val="0"/>
          <w:bCs w:val="0"/>
          <w:sz w:val="20"/>
          <w:szCs w:val="20"/>
          <w:highlight w:val="none"/>
        </w:rPr>
        <w:t xml:space="preserve">he BB LPF </w:t>
      </w:r>
      <w:r>
        <w:rPr>
          <w:rFonts w:hint="eastAsia" w:ascii="Times New Roman" w:hAnsi="Times New Roman"/>
          <w:b w:val="0"/>
          <w:bCs w:val="0"/>
          <w:sz w:val="20"/>
          <w:szCs w:val="20"/>
          <w:highlight w:val="none"/>
          <w:lang w:val="en-US" w:eastAsia="zh-CN"/>
        </w:rPr>
        <w:t>would help to perform filter of the remained NR interference signal after RF-ED transformation but most NR interference energy has already fallen into LPF passband. That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 xml:space="preserve">s the reason why in calibration phase we assume there is no selectivity at device side. </w:t>
      </w:r>
    </w:p>
    <w:p>
      <w:pPr>
        <w:spacing w:after="18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But to be honest, the BB LPF would filter NR interference although the interference cancellation effect is much week. Previous assumption that RF-ED based device have no in-band selectivity is the worst assumption. Its suggested to reuse such assumption and conclude simulation results. If final co-existence simulation show there is certain interference, we can have more detailed analysis of device</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LPF performance and conclude certain Rx selectivity requirements for device.</w:t>
      </w:r>
    </w:p>
    <w:p>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Observation 5: in theory, t</w:t>
      </w:r>
      <w:r>
        <w:rPr>
          <w:rFonts w:hint="eastAsia" w:ascii="Times New Roman" w:hAnsi="Times New Roman"/>
          <w:b/>
          <w:bCs/>
          <w:sz w:val="20"/>
          <w:szCs w:val="20"/>
          <w:highlight w:val="none"/>
        </w:rPr>
        <w:t xml:space="preserve">he BB LPF </w:t>
      </w:r>
      <w:r>
        <w:rPr>
          <w:rFonts w:hint="eastAsia" w:ascii="Times New Roman" w:hAnsi="Times New Roman"/>
          <w:b/>
          <w:bCs/>
          <w:sz w:val="20"/>
          <w:szCs w:val="20"/>
          <w:highlight w:val="none"/>
          <w:lang w:val="en-US" w:eastAsia="zh-CN"/>
        </w:rPr>
        <w:t xml:space="preserve">would help to perform selectivity of the remained NR interference signal after RF-ED transformation but most NR interference energy has already fallen into LPF passband. </w:t>
      </w:r>
    </w:p>
    <w:p>
      <w:pPr>
        <w:spacing w:after="180"/>
        <w:jc w:val="left"/>
        <w:rPr>
          <w:rFonts w:hint="default" w:ascii="Times New Roman" w:hAnsi="Times New Roman"/>
          <w:b/>
          <w:bCs/>
          <w:sz w:val="20"/>
          <w:szCs w:val="20"/>
          <w:lang w:val="en-US" w:eastAsia="zh-CN"/>
        </w:rPr>
      </w:pPr>
      <w:r>
        <w:rPr>
          <w:rFonts w:hint="eastAsia" w:ascii="Times New Roman" w:hAnsi="Times New Roman"/>
          <w:b/>
          <w:bCs/>
          <w:sz w:val="20"/>
          <w:szCs w:val="20"/>
          <w:highlight w:val="none"/>
          <w:lang w:val="en-US" w:eastAsia="zh-CN"/>
        </w:rPr>
        <w:t>Proposal 6: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assume there is no in-band selectivity for RF-ED based device for formal simulation, which is the worst assumption. If final simulation show interference occurs, RAN4 can further focus on BB LPF performance analysis and conclude certain RF requirements if necessary to avoid interference.</w:t>
      </w:r>
      <w:r>
        <w:rPr>
          <w:rFonts w:hint="eastAsia" w:ascii="Times New Roman" w:hAnsi="Times New Roman"/>
          <w:b/>
          <w:bCs/>
          <w:sz w:val="20"/>
          <w:szCs w:val="20"/>
          <w:highlight w:val="none"/>
        </w:rPr>
        <w:t xml:space="preserve"> </w:t>
      </w:r>
      <w:r>
        <w:rPr>
          <w:rFonts w:hint="default" w:ascii="Times New Roman" w:hAnsi="Times New Roman"/>
          <w:b/>
          <w:bCs/>
          <w:sz w:val="20"/>
          <w:szCs w:val="20"/>
          <w:lang w:val="en-US" w:eastAsia="zh-CN"/>
        </w:rPr>
        <w:br w:type="page"/>
      </w:r>
    </w:p>
    <w:p>
      <w:pPr>
        <w:pStyle w:val="4"/>
        <w:numPr>
          <w:ilvl w:val="2"/>
          <w:numId w:val="0"/>
        </w:numPr>
        <w:spacing w:before="156" w:after="156"/>
        <w:ind w:leftChars="0"/>
        <w:rPr>
          <w:rFonts w:hint="eastAsia"/>
          <w:lang w:val="en-US" w:eastAsia="zh-CN"/>
        </w:rPr>
      </w:pPr>
      <w:r>
        <w:rPr>
          <w:rFonts w:hint="eastAsia"/>
        </w:rPr>
        <w:t>2.</w:t>
      </w:r>
      <w:r>
        <w:rPr>
          <w:rFonts w:hint="eastAsia"/>
          <w:lang w:val="en-US" w:eastAsia="zh-CN"/>
        </w:rPr>
        <w:t>2 evaluation case</w:t>
      </w:r>
    </w:p>
    <w:p>
      <w:pPr>
        <w:spacing w:after="180"/>
        <w:jc w:val="left"/>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One issue proposed during offline discussion is whether to consider other reflection link at device side except for the reflection of CW signal. there is no need for such consideration, because interference of reflection will be much less than corresponding direct link.</w:t>
      </w:r>
    </w:p>
    <w:p>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Observation 6: there is no need to consider other reflection link at device side except for the reflection of CW signal, because interference of reflection will be much less than corresponding direct link.</w:t>
      </w:r>
    </w:p>
    <w:p>
      <w:pPr>
        <w:spacing w:after="180"/>
        <w:jc w:val="left"/>
        <w:rPr>
          <w:rFonts w:hint="eastAsia"/>
          <w:b w:val="0"/>
          <w:bCs w:val="0"/>
          <w:lang w:val="en-US" w:eastAsia="zh-CN"/>
        </w:rPr>
      </w:pPr>
      <w:r>
        <w:rPr>
          <w:rFonts w:hint="eastAsia" w:ascii="Times New Roman" w:hAnsi="Times New Roman"/>
          <w:b w:val="0"/>
          <w:bCs w:val="0"/>
          <w:sz w:val="20"/>
          <w:szCs w:val="20"/>
          <w:highlight w:val="none"/>
          <w:lang w:val="en-US" w:eastAsia="zh-CN"/>
        </w:rPr>
        <w:t>The detailed evaluation cases are listed as below which has been captured into template of calibration.</w:t>
      </w:r>
    </w:p>
    <w:tbl>
      <w:tblPr>
        <w:tblStyle w:val="17"/>
        <w:tblW w:w="4998"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332"/>
        <w:gridCol w:w="1466"/>
        <w:gridCol w:w="1057"/>
        <w:gridCol w:w="1626"/>
        <w:gridCol w:w="3034"/>
        <w:gridCol w:w="1833"/>
        <w:gridCol w:w="6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704" w:type="pct"/>
            <w:gridSpan w:val="2"/>
            <w:vMerge w:val="restart"/>
            <w:tcBorders>
              <w:top w:val="single" w:color="000000" w:sz="8"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deployment scenario and topology</w:t>
            </w:r>
          </w:p>
        </w:tc>
        <w:tc>
          <w:tcPr>
            <w:tcW w:w="352" w:type="pct"/>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Evaluation case No.</w:t>
            </w:r>
          </w:p>
        </w:tc>
        <w:tc>
          <w:tcPr>
            <w:tcW w:w="911" w:type="pct"/>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(Aggressor -&gt; Victim)</w:t>
            </w:r>
          </w:p>
        </w:tc>
        <w:tc>
          <w:tcPr>
            <w:tcW w:w="1618" w:type="pct"/>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spectrum</w:t>
            </w:r>
          </w:p>
        </w:tc>
        <w:tc>
          <w:tcPr>
            <w:tcW w:w="1015" w:type="pct"/>
            <w:vMerge w:val="restart"/>
            <w:tcBorders>
              <w:top w:val="single" w:color="000000" w:sz="8"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Priority</w:t>
            </w:r>
          </w:p>
        </w:tc>
        <w:tc>
          <w:tcPr>
            <w:tcW w:w="397" w:type="pct"/>
            <w:vMerge w:val="restart"/>
            <w:tcBorders>
              <w:top w:val="single" w:color="000000" w:sz="8"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note</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60" w:hRule="atLeast"/>
        </w:trPr>
        <w:tc>
          <w:tcPr>
            <w:tcW w:w="704" w:type="pct"/>
            <w:gridSpan w:val="2"/>
            <w:vMerge w:val="continue"/>
            <w:tcBorders>
              <w:top w:val="single" w:color="000000" w:sz="8" w:space="0"/>
              <w:left w:val="single" w:color="000000" w:sz="8"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911" w:type="pct"/>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1618" w:type="pct"/>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1015" w:type="pct"/>
            <w:vMerge w:val="continue"/>
            <w:tcBorders>
              <w:top w:val="single" w:color="000000" w:sz="8"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97" w:type="pct"/>
            <w:vMerge w:val="continue"/>
            <w:tcBorders>
              <w:top w:val="single" w:color="000000" w:sz="8" w:space="0"/>
              <w:left w:val="single" w:color="000000" w:sz="4" w:space="0"/>
              <w:bottom w:val="single" w:color="000000" w:sz="4" w:space="0"/>
              <w:right w:val="single" w:color="000000" w:sz="8"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1</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D1T1-A2-legacy UE only outdoor</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1</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device -&gt; NR UL</w:t>
            </w:r>
          </w:p>
        </w:tc>
        <w:tc>
          <w:tcPr>
            <w:tcW w:w="161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 DL</w:t>
            </w:r>
            <w:r>
              <w:rPr>
                <w:rFonts w:hint="default" w:ascii="Times New Roman" w:hAnsi="Times New Roman" w:eastAsia="等线" w:cs="Times New Roman"/>
                <w:i w:val="0"/>
                <w:iCs w:val="0"/>
                <w:color w:val="000000"/>
                <w:kern w:val="0"/>
                <w:sz w:val="18"/>
                <w:szCs w:val="18"/>
                <w:u w:val="none"/>
                <w:lang w:val="en-US" w:eastAsia="zh-CN" w:bidi="ar"/>
              </w:rPr>
              <w:br w:type="textWrapping"/>
            </w:r>
            <w:r>
              <w:rPr>
                <w:rFonts w:hint="default" w:ascii="Times New Roman" w:hAnsi="Times New Roman" w:eastAsia="等线" w:cs="Times New Roman"/>
                <w:i w:val="0"/>
                <w:iCs w:val="0"/>
                <w:color w:val="000000"/>
                <w:kern w:val="0"/>
                <w:sz w:val="18"/>
                <w:szCs w:val="18"/>
                <w:u w:val="none"/>
                <w:lang w:val="en-US" w:eastAsia="zh-CN" w:bidi="ar"/>
              </w:rPr>
              <w:t>CW2D and D2R: UL</w:t>
            </w:r>
          </w:p>
        </w:tc>
        <w:tc>
          <w:tcPr>
            <w:tcW w:w="101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High</w:t>
            </w: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2</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NR UL -&gt; reader</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3</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reader -&gt; NR DL</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4</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NR DL -&gt; device</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5</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device -&gt; NR DL</w:t>
            </w:r>
          </w:p>
        </w:tc>
        <w:tc>
          <w:tcPr>
            <w:tcW w:w="161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 DL</w:t>
            </w:r>
            <w:r>
              <w:rPr>
                <w:rFonts w:hint="default" w:ascii="Times New Roman" w:hAnsi="Times New Roman" w:eastAsia="等线" w:cs="Times New Roman"/>
                <w:i w:val="0"/>
                <w:iCs w:val="0"/>
                <w:color w:val="000000"/>
                <w:kern w:val="0"/>
                <w:sz w:val="18"/>
                <w:szCs w:val="18"/>
                <w:u w:val="none"/>
                <w:lang w:val="en-US" w:eastAsia="zh-CN" w:bidi="ar"/>
              </w:rPr>
              <w:br w:type="textWrapping"/>
            </w:r>
            <w:r>
              <w:rPr>
                <w:rFonts w:hint="default" w:ascii="Times New Roman" w:hAnsi="Times New Roman" w:eastAsia="等线" w:cs="Times New Roman"/>
                <w:i w:val="0"/>
                <w:iCs w:val="0"/>
                <w:color w:val="000000"/>
                <w:kern w:val="0"/>
                <w:sz w:val="18"/>
                <w:szCs w:val="18"/>
                <w:u w:val="none"/>
                <w:lang w:val="en-US" w:eastAsia="zh-CN" w:bidi="ar"/>
              </w:rPr>
              <w:t>CW2D and D2R: DL</w:t>
            </w: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6</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NR DL -&gt; reader</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2</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D1T1-A2-legacy UE indoor</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7</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device -&gt; NR UL</w:t>
            </w:r>
          </w:p>
        </w:tc>
        <w:tc>
          <w:tcPr>
            <w:tcW w:w="161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 DL</w:t>
            </w:r>
            <w:r>
              <w:rPr>
                <w:rFonts w:hint="default" w:ascii="Times New Roman" w:hAnsi="Times New Roman" w:eastAsia="等线" w:cs="Times New Roman"/>
                <w:i w:val="0"/>
                <w:iCs w:val="0"/>
                <w:color w:val="000000"/>
                <w:kern w:val="0"/>
                <w:sz w:val="18"/>
                <w:szCs w:val="18"/>
                <w:u w:val="none"/>
                <w:lang w:val="en-US" w:eastAsia="zh-CN" w:bidi="ar"/>
              </w:rPr>
              <w:br w:type="textWrapping"/>
            </w:r>
            <w:r>
              <w:rPr>
                <w:rFonts w:hint="default" w:ascii="Times New Roman" w:hAnsi="Times New Roman" w:eastAsia="等线" w:cs="Times New Roman"/>
                <w:i w:val="0"/>
                <w:iCs w:val="0"/>
                <w:color w:val="000000"/>
                <w:kern w:val="0"/>
                <w:sz w:val="18"/>
                <w:szCs w:val="18"/>
                <w:u w:val="none"/>
                <w:lang w:val="en-US" w:eastAsia="zh-CN" w:bidi="ar"/>
              </w:rPr>
              <w:t>CW2D and D2R: UL</w:t>
            </w:r>
          </w:p>
        </w:tc>
        <w:tc>
          <w:tcPr>
            <w:tcW w:w="101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High</w:t>
            </w: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8</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NR UL -&gt; reader</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0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9</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reader -&gt; NR DL</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10</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NR DL -&gt; device</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11</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device -&gt; NR DL</w:t>
            </w:r>
          </w:p>
        </w:tc>
        <w:tc>
          <w:tcPr>
            <w:tcW w:w="161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 DL</w:t>
            </w:r>
            <w:r>
              <w:rPr>
                <w:rFonts w:hint="default" w:ascii="Times New Roman" w:hAnsi="Times New Roman" w:eastAsia="等线" w:cs="Times New Roman"/>
                <w:i w:val="0"/>
                <w:iCs w:val="0"/>
                <w:color w:val="000000"/>
                <w:kern w:val="0"/>
                <w:sz w:val="18"/>
                <w:szCs w:val="18"/>
                <w:u w:val="none"/>
                <w:lang w:val="en-US" w:eastAsia="zh-CN" w:bidi="ar"/>
              </w:rPr>
              <w:br w:type="textWrapping"/>
            </w:r>
            <w:r>
              <w:rPr>
                <w:rFonts w:hint="default" w:ascii="Times New Roman" w:hAnsi="Times New Roman" w:eastAsia="等线" w:cs="Times New Roman"/>
                <w:i w:val="0"/>
                <w:iCs w:val="0"/>
                <w:color w:val="000000"/>
                <w:kern w:val="0"/>
                <w:sz w:val="18"/>
                <w:szCs w:val="18"/>
                <w:u w:val="none"/>
                <w:lang w:val="en-US" w:eastAsia="zh-CN" w:bidi="ar"/>
              </w:rPr>
              <w:t>CW2D and D2R: DL</w:t>
            </w: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12</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NR DL -&gt; reader</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3</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D2T2-A2-legacy UE only outdoor</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13</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device -&gt; NR UL</w:t>
            </w:r>
          </w:p>
        </w:tc>
        <w:tc>
          <w:tcPr>
            <w:tcW w:w="161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 UL</w:t>
            </w:r>
            <w:r>
              <w:rPr>
                <w:rFonts w:hint="default" w:ascii="Times New Roman" w:hAnsi="Times New Roman" w:eastAsia="等线" w:cs="Times New Roman"/>
                <w:i w:val="0"/>
                <w:iCs w:val="0"/>
                <w:color w:val="000000"/>
                <w:kern w:val="0"/>
                <w:sz w:val="18"/>
                <w:szCs w:val="18"/>
                <w:u w:val="none"/>
                <w:lang w:val="en-US" w:eastAsia="zh-CN" w:bidi="ar"/>
              </w:rPr>
              <w:br w:type="textWrapping"/>
            </w:r>
            <w:r>
              <w:rPr>
                <w:rFonts w:hint="default" w:ascii="Times New Roman" w:hAnsi="Times New Roman" w:eastAsia="等线" w:cs="Times New Roman"/>
                <w:i w:val="0"/>
                <w:iCs w:val="0"/>
                <w:color w:val="000000"/>
                <w:kern w:val="0"/>
                <w:sz w:val="18"/>
                <w:szCs w:val="18"/>
                <w:u w:val="none"/>
                <w:lang w:val="en-US" w:eastAsia="zh-CN" w:bidi="ar"/>
              </w:rPr>
              <w:t>CW2D and D2R: UL</w:t>
            </w:r>
          </w:p>
        </w:tc>
        <w:tc>
          <w:tcPr>
            <w:tcW w:w="101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High</w:t>
            </w: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14</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NR UL -&gt; reader</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15</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reader -&gt; NR UL</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16</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NR UL -&gt; device</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5" w:hRule="atLeast"/>
        </w:trPr>
        <w:tc>
          <w:tcPr>
            <w:tcW w:w="130" w:type="pct"/>
            <w:vMerge w:val="restart"/>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等线" w:hAnsi="等线" w:eastAsia="等线" w:cs="等线"/>
                <w:i w:val="0"/>
                <w:iCs w:val="0"/>
                <w:color w:val="000000"/>
                <w:sz w:val="22"/>
                <w:szCs w:val="22"/>
                <w:u w:val="none"/>
              </w:rPr>
            </w:pPr>
            <w:r>
              <w:rPr>
                <w:rFonts w:hint="eastAsia" w:ascii="等线" w:hAnsi="等线" w:eastAsia="等线" w:cs="等线"/>
                <w:i w:val="0"/>
                <w:iCs w:val="0"/>
                <w:color w:val="000000"/>
                <w:kern w:val="0"/>
                <w:sz w:val="22"/>
                <w:szCs w:val="22"/>
                <w:u w:val="none"/>
                <w:lang w:val="en-US" w:eastAsia="zh-CN" w:bidi="ar"/>
              </w:rPr>
              <w:t>4</w:t>
            </w:r>
          </w:p>
        </w:tc>
        <w:tc>
          <w:tcPr>
            <w:tcW w:w="574" w:type="pct"/>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b/>
                <w:bCs/>
                <w:i w:val="0"/>
                <w:iCs w:val="0"/>
                <w:color w:val="000000"/>
                <w:sz w:val="18"/>
                <w:szCs w:val="18"/>
                <w:u w:val="none"/>
              </w:rPr>
            </w:pPr>
            <w:r>
              <w:rPr>
                <w:rFonts w:hint="default" w:ascii="Times New Roman" w:hAnsi="Times New Roman" w:eastAsia="等线" w:cs="Times New Roman"/>
                <w:b/>
                <w:bCs/>
                <w:i w:val="0"/>
                <w:iCs w:val="0"/>
                <w:color w:val="000000"/>
                <w:kern w:val="0"/>
                <w:sz w:val="18"/>
                <w:szCs w:val="18"/>
                <w:u w:val="none"/>
                <w:lang w:val="en-US" w:eastAsia="zh-CN" w:bidi="ar"/>
              </w:rPr>
              <w:t>D2T2-A2-legacy UE indoor</w:t>
            </w: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17</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device -&gt; NR UL</w:t>
            </w:r>
          </w:p>
        </w:tc>
        <w:tc>
          <w:tcPr>
            <w:tcW w:w="1618"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 UL</w:t>
            </w:r>
            <w:r>
              <w:rPr>
                <w:rFonts w:hint="default" w:ascii="Times New Roman" w:hAnsi="Times New Roman" w:eastAsia="等线" w:cs="Times New Roman"/>
                <w:i w:val="0"/>
                <w:iCs w:val="0"/>
                <w:color w:val="000000"/>
                <w:kern w:val="0"/>
                <w:sz w:val="18"/>
                <w:szCs w:val="18"/>
                <w:u w:val="none"/>
                <w:lang w:val="en-US" w:eastAsia="zh-CN" w:bidi="ar"/>
              </w:rPr>
              <w:br w:type="textWrapping"/>
            </w:r>
            <w:r>
              <w:rPr>
                <w:rFonts w:hint="default" w:ascii="Times New Roman" w:hAnsi="Times New Roman" w:eastAsia="等线" w:cs="Times New Roman"/>
                <w:i w:val="0"/>
                <w:iCs w:val="0"/>
                <w:color w:val="000000"/>
                <w:kern w:val="0"/>
                <w:sz w:val="18"/>
                <w:szCs w:val="18"/>
                <w:u w:val="none"/>
                <w:lang w:val="en-US" w:eastAsia="zh-CN" w:bidi="ar"/>
              </w:rPr>
              <w:t>CW2D and D2R: UL</w:t>
            </w:r>
          </w:p>
        </w:tc>
        <w:tc>
          <w:tcPr>
            <w:tcW w:w="1015" w:type="pct"/>
            <w:vMerge w:val="restar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High</w:t>
            </w: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18</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NR UL -&gt; reader</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D2R</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19</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reader -&gt; NR UL</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130" w:type="pct"/>
            <w:vMerge w:val="continue"/>
            <w:tcBorders>
              <w:top w:val="single" w:color="000000" w:sz="4" w:space="0"/>
              <w:left w:val="single" w:color="000000" w:sz="8" w:space="0"/>
              <w:bottom w:val="single" w:color="000000" w:sz="4" w:space="0"/>
              <w:right w:val="single" w:color="000000" w:sz="4" w:space="0"/>
            </w:tcBorders>
            <w:shd w:val="clear" w:color="auto" w:fill="auto"/>
            <w:noWrap/>
            <w:vAlign w:val="center"/>
          </w:tcPr>
          <w:p>
            <w:pPr>
              <w:jc w:val="center"/>
              <w:rPr>
                <w:rFonts w:hint="eastAsia" w:ascii="等线" w:hAnsi="等线" w:eastAsia="等线" w:cs="等线"/>
                <w:i w:val="0"/>
                <w:iCs w:val="0"/>
                <w:color w:val="000000"/>
                <w:sz w:val="22"/>
                <w:szCs w:val="22"/>
                <w:u w:val="none"/>
              </w:rPr>
            </w:pPr>
          </w:p>
        </w:tc>
        <w:tc>
          <w:tcPr>
            <w:tcW w:w="574" w:type="pct"/>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default" w:ascii="Times New Roman" w:hAnsi="Times New Roman" w:eastAsia="等线" w:cs="Times New Roman"/>
                <w:b/>
                <w:bCs/>
                <w:i w:val="0"/>
                <w:iCs w:val="0"/>
                <w:color w:val="000000"/>
                <w:sz w:val="18"/>
                <w:szCs w:val="18"/>
                <w:u w:val="none"/>
              </w:rPr>
            </w:pPr>
          </w:p>
        </w:tc>
        <w:tc>
          <w:tcPr>
            <w:tcW w:w="352" w:type="pc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20</w:t>
            </w:r>
          </w:p>
        </w:tc>
        <w:tc>
          <w:tcPr>
            <w:tcW w:w="911" w:type="pct"/>
            <w:tcBorders>
              <w:top w:val="single" w:color="000000" w:sz="4" w:space="0"/>
              <w:left w:val="single" w:color="000000" w:sz="4" w:space="0"/>
              <w:bottom w:val="single" w:color="000000" w:sz="4" w:space="0"/>
              <w:right w:val="single" w:color="000000" w:sz="4" w:space="0"/>
            </w:tcBorders>
            <w:shd w:val="clear" w:color="auto" w:fill="FFFFFF"/>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NR UL -&gt; device</w:t>
            </w:r>
          </w:p>
        </w:tc>
        <w:tc>
          <w:tcPr>
            <w:tcW w:w="1618"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1015" w:type="pct"/>
            <w:vMerge w:val="continue"/>
            <w:tcBorders>
              <w:top w:val="single" w:color="000000" w:sz="4" w:space="0"/>
              <w:left w:val="single" w:color="000000" w:sz="4" w:space="0"/>
              <w:bottom w:val="single" w:color="000000" w:sz="4" w:space="0"/>
              <w:right w:val="single" w:color="000000" w:sz="4" w:space="0"/>
            </w:tcBorders>
            <w:shd w:val="clear" w:color="auto" w:fill="FFFFFF"/>
            <w:vAlign w:val="center"/>
          </w:tcPr>
          <w:p>
            <w:pPr>
              <w:jc w:val="center"/>
              <w:rPr>
                <w:rFonts w:hint="default" w:ascii="Times New Roman" w:hAnsi="Times New Roman" w:eastAsia="等线" w:cs="Times New Roman"/>
                <w:i w:val="0"/>
                <w:iCs w:val="0"/>
                <w:color w:val="000000"/>
                <w:sz w:val="18"/>
                <w:szCs w:val="18"/>
                <w:u w:val="none"/>
              </w:rPr>
            </w:pPr>
          </w:p>
        </w:tc>
        <w:tc>
          <w:tcPr>
            <w:tcW w:w="397" w:type="pct"/>
            <w:tcBorders>
              <w:top w:val="single" w:color="000000" w:sz="4" w:space="0"/>
              <w:left w:val="single" w:color="000000" w:sz="4" w:space="0"/>
              <w:bottom w:val="single" w:color="000000" w:sz="4" w:space="0"/>
              <w:right w:val="single" w:color="000000" w:sz="8" w:space="0"/>
            </w:tcBorders>
            <w:shd w:val="clear" w:color="auto" w:fill="auto"/>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R2D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585" w:hRule="atLeast"/>
        </w:trPr>
        <w:tc>
          <w:tcPr>
            <w:tcW w:w="5000" w:type="pct"/>
            <w:gridSpan w:val="7"/>
            <w:tcBorders>
              <w:top w:val="single" w:color="000000" w:sz="4" w:space="0"/>
              <w:left w:val="single" w:color="000000" w:sz="8"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等线" w:cs="Times New Roman"/>
                <w:i w:val="0"/>
                <w:iCs w:val="0"/>
                <w:color w:val="000000"/>
                <w:sz w:val="18"/>
                <w:szCs w:val="18"/>
                <w:u w:val="none"/>
              </w:rPr>
            </w:pPr>
            <w:r>
              <w:rPr>
                <w:rStyle w:val="63"/>
                <w:rFonts w:eastAsia="等线"/>
                <w:lang w:val="en-US" w:eastAsia="zh-CN" w:bidi="ar"/>
              </w:rPr>
              <w:t xml:space="preserve">Note 1: Consider only adjacent RB/channel co-existence evaluation for </w:t>
            </w:r>
            <w:r>
              <w:rPr>
                <w:rStyle w:val="64"/>
                <w:rFonts w:eastAsia="等线"/>
                <w:lang w:val="en-US" w:eastAsia="zh-CN" w:bidi="ar"/>
              </w:rPr>
              <w:t>in-band deployment scenario for NR and AIOT.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780" w:hRule="atLeast"/>
        </w:trPr>
        <w:tc>
          <w:tcPr>
            <w:tcW w:w="5000" w:type="pct"/>
            <w:gridSpan w:val="7"/>
            <w:tcBorders>
              <w:top w:val="single" w:color="000000" w:sz="4" w:space="0"/>
              <w:left w:val="single" w:color="000000" w:sz="8" w:space="0"/>
              <w:bottom w:val="single" w:color="000000" w:sz="8" w:space="0"/>
              <w:right w:val="single" w:color="000000" w:sz="4" w:space="0"/>
            </w:tcBorders>
            <w:shd w:val="clear" w:color="auto" w:fill="auto"/>
            <w:vAlign w:val="center"/>
          </w:tcPr>
          <w:p>
            <w:pPr>
              <w:keepNext w:val="0"/>
              <w:keepLines w:val="0"/>
              <w:widowControl/>
              <w:suppressLineNumbers w:val="0"/>
              <w:jc w:val="left"/>
              <w:textAlignment w:val="center"/>
              <w:rPr>
                <w:rFonts w:hint="default" w:ascii="Times New Roman" w:hAnsi="Times New Roman" w:eastAsia="等线" w:cs="Times New Roman"/>
                <w:i w:val="0"/>
                <w:iCs w:val="0"/>
                <w:color w:val="000000"/>
                <w:sz w:val="18"/>
                <w:szCs w:val="18"/>
                <w:u w:val="none"/>
              </w:rPr>
            </w:pPr>
            <w:r>
              <w:rPr>
                <w:rFonts w:hint="default" w:ascii="Times New Roman" w:hAnsi="Times New Roman" w:eastAsia="等线" w:cs="Times New Roman"/>
                <w:i w:val="0"/>
                <w:iCs w:val="0"/>
                <w:color w:val="000000"/>
                <w:kern w:val="0"/>
                <w:sz w:val="18"/>
                <w:szCs w:val="18"/>
                <w:u w:val="none"/>
                <w:lang w:val="en-US" w:eastAsia="zh-CN" w:bidi="ar"/>
              </w:rPr>
              <w:t>Note 2: detailed evaluation parameters are listed in R4-2410567</w:t>
            </w:r>
          </w:p>
        </w:tc>
      </w:tr>
    </w:tbl>
    <w:p>
      <w:pPr>
        <w:rPr>
          <w:rFonts w:hint="default"/>
          <w:lang w:val="en-US" w:eastAsia="zh-CN"/>
        </w:rPr>
      </w:pPr>
    </w:p>
    <w:p>
      <w:pPr>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Detailed illustration of each evaluation case is also listed as below.</w:t>
      </w:r>
    </w:p>
    <w:tbl>
      <w:tblPr>
        <w:tblStyle w:val="17"/>
        <w:tblW w:w="7753" w:type="dxa"/>
        <w:tblInd w:w="9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2794"/>
        <w:gridCol w:w="495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0" w:type="auto"/>
            <w:tcBorders>
              <w:top w:val="single" w:color="000000" w:sz="4" w:space="0"/>
              <w:left w:val="single" w:color="000000" w:sz="8"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Sheet title</w:t>
            </w:r>
          </w:p>
        </w:tc>
        <w:tc>
          <w:tcPr>
            <w:tcW w:w="0" w:type="auto"/>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Explanation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1</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NR UL</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AIoT system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A-IoT device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2</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AIoT reader</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NR system interference, no CW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NR UL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3</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NR DL</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AIoT system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AIoT reader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4</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AIoT device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NR system interference, signal power of device to the noise and interference within 10MHz</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NR DL interference, signal power of device to the noise and interference within 10MHz</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5</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NR DL</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AIoT system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AIoT device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6</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AIoT reader</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NR system interference, no CW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NR DL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7</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NR UL</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AIoT system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A-IoT device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8</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AIoT reader</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NR system interference, no CW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NR UL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9</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NR DL</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AIoT system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AIoT reader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10</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AIoT device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NR system interference, signal power of device to the noise and interference within 10MHz</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NR DL interference, signal power of device to the noise and interference within 10MHz</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11</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NR DL</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Sbaseline SINR</w:t>
            </w:r>
            <w:r>
              <w:rPr>
                <w:rStyle w:val="65"/>
                <w:rFonts w:hint="default" w:ascii="Times New Roman" w:hAnsi="Times New Roman" w:cs="Times New Roman"/>
                <w:sz w:val="20"/>
                <w:szCs w:val="20"/>
                <w:lang w:val="en-US" w:eastAsia="zh-CN" w:bidi="ar"/>
              </w:rPr>
              <w:t>: No AIoT system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AIoT device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12</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AIoT reader</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NR system interference, no CW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NR DL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13</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 xml:space="preserve">Victim: </w:t>
            </w:r>
            <w:r>
              <w:rPr>
                <w:rStyle w:val="65"/>
                <w:rFonts w:hint="default" w:ascii="Times New Roman" w:hAnsi="Times New Roman" w:cs="Times New Roman"/>
                <w:sz w:val="20"/>
                <w:szCs w:val="20"/>
                <w:lang w:val="en-US" w:eastAsia="zh-CN" w:bidi="ar"/>
              </w:rPr>
              <w:t>NR UL</w:t>
            </w:r>
            <w:r>
              <w:rPr>
                <w:rFonts w:hint="default" w:ascii="Times New Roman" w:hAnsi="Times New Roman" w:eastAsia="等线" w:cs="Times New Roman"/>
                <w:b/>
                <w:bCs/>
                <w:i w:val="0"/>
                <w:iCs w:val="0"/>
                <w:color w:val="000000"/>
                <w:kern w:val="0"/>
                <w:sz w:val="20"/>
                <w:szCs w:val="20"/>
                <w:u w:val="none"/>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 xml:space="preserve">baseline SINR: </w:t>
            </w:r>
            <w:r>
              <w:rPr>
                <w:rStyle w:val="65"/>
                <w:rFonts w:hint="default" w:ascii="Times New Roman" w:hAnsi="Times New Roman" w:cs="Times New Roman"/>
                <w:sz w:val="20"/>
                <w:szCs w:val="20"/>
                <w:lang w:val="en-US" w:eastAsia="zh-CN" w:bidi="ar"/>
              </w:rPr>
              <w:t>No AIoT system interference</w:t>
            </w:r>
            <w:r>
              <w:rPr>
                <w:rFonts w:hint="default" w:ascii="Times New Roman" w:hAnsi="Times New Roman" w:eastAsia="等线" w:cs="Times New Roman"/>
                <w:b/>
                <w:bCs/>
                <w:i w:val="0"/>
                <w:iCs w:val="0"/>
                <w:color w:val="000000"/>
                <w:kern w:val="0"/>
                <w:sz w:val="20"/>
                <w:szCs w:val="20"/>
                <w:u w:val="none"/>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 xml:space="preserve">SINR with inter-system interference: </w:t>
            </w:r>
            <w:r>
              <w:rPr>
                <w:rStyle w:val="65"/>
                <w:rFonts w:hint="default" w:ascii="Times New Roman" w:hAnsi="Times New Roman" w:cs="Times New Roman"/>
                <w:sz w:val="20"/>
                <w:szCs w:val="20"/>
                <w:lang w:val="en-US" w:eastAsia="zh-CN" w:bidi="ar"/>
              </w:rPr>
              <w:t>A-IoT device interference</w:t>
            </w:r>
            <w:r>
              <w:rPr>
                <w:rFonts w:hint="default" w:ascii="Times New Roman" w:hAnsi="Times New Roman" w:eastAsia="等线" w:cs="Times New Roman"/>
                <w:b/>
                <w:bCs/>
                <w:i w:val="0"/>
                <w:iCs w:val="0"/>
                <w:color w:val="000000"/>
                <w:kern w:val="0"/>
                <w:sz w:val="20"/>
                <w:szCs w:val="20"/>
                <w:u w:val="none"/>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 xml:space="preserve">Priority: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14</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 xml:space="preserve">Victim: </w:t>
            </w:r>
            <w:r>
              <w:rPr>
                <w:rStyle w:val="65"/>
                <w:rFonts w:hint="default" w:ascii="Times New Roman" w:hAnsi="Times New Roman" w:cs="Times New Roman"/>
                <w:sz w:val="20"/>
                <w:szCs w:val="20"/>
                <w:lang w:val="en-US" w:eastAsia="zh-CN" w:bidi="ar"/>
              </w:rPr>
              <w:t>AIoT reader</w:t>
            </w:r>
            <w:r>
              <w:rPr>
                <w:rFonts w:hint="default" w:ascii="Times New Roman" w:hAnsi="Times New Roman" w:eastAsia="等线" w:cs="Times New Roman"/>
                <w:b/>
                <w:bCs/>
                <w:i w:val="0"/>
                <w:iCs w:val="0"/>
                <w:color w:val="000000"/>
                <w:kern w:val="0"/>
                <w:sz w:val="20"/>
                <w:szCs w:val="20"/>
                <w:u w:val="none"/>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 xml:space="preserve">baseline SINR: </w:t>
            </w:r>
            <w:r>
              <w:rPr>
                <w:rStyle w:val="65"/>
                <w:rFonts w:hint="default" w:ascii="Times New Roman" w:hAnsi="Times New Roman" w:cs="Times New Roman"/>
                <w:sz w:val="20"/>
                <w:szCs w:val="20"/>
                <w:lang w:val="en-US" w:eastAsia="zh-CN" w:bidi="ar"/>
              </w:rPr>
              <w:t>No NR system interference, no CW interference</w:t>
            </w:r>
            <w:r>
              <w:rPr>
                <w:rFonts w:hint="default" w:ascii="Times New Roman" w:hAnsi="Times New Roman" w:eastAsia="等线" w:cs="Times New Roman"/>
                <w:b/>
                <w:bCs/>
                <w:i w:val="0"/>
                <w:iCs w:val="0"/>
                <w:color w:val="000000"/>
                <w:kern w:val="0"/>
                <w:sz w:val="20"/>
                <w:szCs w:val="20"/>
                <w:u w:val="none"/>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 xml:space="preserve">SINR with inter-system interference: </w:t>
            </w:r>
            <w:r>
              <w:rPr>
                <w:rStyle w:val="65"/>
                <w:rFonts w:hint="default" w:ascii="Times New Roman" w:hAnsi="Times New Roman" w:cs="Times New Roman"/>
                <w:sz w:val="20"/>
                <w:szCs w:val="20"/>
                <w:lang w:val="en-US" w:eastAsia="zh-CN" w:bidi="ar"/>
              </w:rPr>
              <w:t>NR UL interference</w:t>
            </w:r>
            <w:r>
              <w:rPr>
                <w:rFonts w:hint="default" w:ascii="Times New Roman" w:hAnsi="Times New Roman" w:eastAsia="等线" w:cs="Times New Roman"/>
                <w:b/>
                <w:bCs/>
                <w:i w:val="0"/>
                <w:iCs w:val="0"/>
                <w:color w:val="000000"/>
                <w:kern w:val="0"/>
                <w:sz w:val="20"/>
                <w:szCs w:val="20"/>
                <w:u w:val="none"/>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 xml:space="preserve">Priority: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15</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NR UL</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AIoT system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AIoT reader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4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16</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AIoT device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NR system interference, signal power of device to the noise and interference within 10MHz</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NR UL interference, signal power of device to the noise and interference within 10MHz</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40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17</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 xml:space="preserve">Victim: </w:t>
            </w:r>
            <w:r>
              <w:rPr>
                <w:rStyle w:val="65"/>
                <w:rFonts w:hint="default" w:ascii="Times New Roman" w:hAnsi="Times New Roman" w:cs="Times New Roman"/>
                <w:sz w:val="20"/>
                <w:szCs w:val="20"/>
                <w:lang w:val="en-US" w:eastAsia="zh-CN" w:bidi="ar"/>
              </w:rPr>
              <w:t>NR UL</w:t>
            </w:r>
            <w:r>
              <w:rPr>
                <w:rFonts w:hint="default" w:ascii="Times New Roman" w:hAnsi="Times New Roman" w:eastAsia="等线" w:cs="Times New Roman"/>
                <w:b/>
                <w:bCs/>
                <w:i w:val="0"/>
                <w:iCs w:val="0"/>
                <w:color w:val="000000"/>
                <w:kern w:val="0"/>
                <w:sz w:val="20"/>
                <w:szCs w:val="20"/>
                <w:u w:val="none"/>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 xml:space="preserve">baseline SINR: </w:t>
            </w:r>
            <w:r>
              <w:rPr>
                <w:rStyle w:val="65"/>
                <w:rFonts w:hint="default" w:ascii="Times New Roman" w:hAnsi="Times New Roman" w:cs="Times New Roman"/>
                <w:sz w:val="20"/>
                <w:szCs w:val="20"/>
                <w:lang w:val="en-US" w:eastAsia="zh-CN" w:bidi="ar"/>
              </w:rPr>
              <w:t>No AIoT system interference</w:t>
            </w:r>
            <w:r>
              <w:rPr>
                <w:rFonts w:hint="default" w:ascii="Times New Roman" w:hAnsi="Times New Roman" w:eastAsia="等线" w:cs="Times New Roman"/>
                <w:b/>
                <w:bCs/>
                <w:i w:val="0"/>
                <w:iCs w:val="0"/>
                <w:color w:val="000000"/>
                <w:kern w:val="0"/>
                <w:sz w:val="20"/>
                <w:szCs w:val="20"/>
                <w:u w:val="none"/>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 xml:space="preserve">SINR with inter-system interference: </w:t>
            </w:r>
            <w:r>
              <w:rPr>
                <w:rStyle w:val="65"/>
                <w:rFonts w:hint="default" w:ascii="Times New Roman" w:hAnsi="Times New Roman" w:cs="Times New Roman"/>
                <w:sz w:val="20"/>
                <w:szCs w:val="20"/>
                <w:lang w:val="en-US" w:eastAsia="zh-CN" w:bidi="ar"/>
              </w:rPr>
              <w:t>A-IoT device interference</w:t>
            </w:r>
            <w:r>
              <w:rPr>
                <w:rFonts w:hint="default" w:ascii="Times New Roman" w:hAnsi="Times New Roman" w:eastAsia="等线" w:cs="Times New Roman"/>
                <w:b/>
                <w:bCs/>
                <w:i w:val="0"/>
                <w:iCs w:val="0"/>
                <w:color w:val="000000"/>
                <w:kern w:val="0"/>
                <w:sz w:val="20"/>
                <w:szCs w:val="20"/>
                <w:u w:val="none"/>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6"/>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68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18</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 xml:space="preserve">Victim: </w:t>
            </w:r>
            <w:r>
              <w:rPr>
                <w:rStyle w:val="65"/>
                <w:rFonts w:hint="default" w:ascii="Times New Roman" w:hAnsi="Times New Roman" w:cs="Times New Roman"/>
                <w:sz w:val="20"/>
                <w:szCs w:val="20"/>
                <w:lang w:val="en-US" w:eastAsia="zh-CN" w:bidi="ar"/>
              </w:rPr>
              <w:t>AIoT reader</w:t>
            </w:r>
            <w:r>
              <w:rPr>
                <w:rFonts w:hint="default" w:ascii="Times New Roman" w:hAnsi="Times New Roman" w:eastAsia="等线" w:cs="Times New Roman"/>
                <w:b/>
                <w:bCs/>
                <w:i w:val="0"/>
                <w:iCs w:val="0"/>
                <w:color w:val="000000"/>
                <w:kern w:val="0"/>
                <w:sz w:val="20"/>
                <w:szCs w:val="20"/>
                <w:u w:val="none"/>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 xml:space="preserve">baseline SINR: </w:t>
            </w:r>
            <w:r>
              <w:rPr>
                <w:rStyle w:val="65"/>
                <w:rFonts w:hint="default" w:ascii="Times New Roman" w:hAnsi="Times New Roman" w:cs="Times New Roman"/>
                <w:sz w:val="20"/>
                <w:szCs w:val="20"/>
                <w:lang w:val="en-US" w:eastAsia="zh-CN" w:bidi="ar"/>
              </w:rPr>
              <w:t>No NR system interference, no CW interference</w:t>
            </w:r>
            <w:r>
              <w:rPr>
                <w:rFonts w:hint="default" w:ascii="Times New Roman" w:hAnsi="Times New Roman" w:eastAsia="等线" w:cs="Times New Roman"/>
                <w:b/>
                <w:bCs/>
                <w:i w:val="0"/>
                <w:iCs w:val="0"/>
                <w:color w:val="000000"/>
                <w:kern w:val="0"/>
                <w:sz w:val="20"/>
                <w:szCs w:val="20"/>
                <w:u w:val="none"/>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 xml:space="preserve">SINR with inter-system interference: </w:t>
            </w:r>
            <w:r>
              <w:rPr>
                <w:rStyle w:val="65"/>
                <w:rFonts w:hint="default" w:ascii="Times New Roman" w:hAnsi="Times New Roman" w:cs="Times New Roman"/>
                <w:sz w:val="20"/>
                <w:szCs w:val="20"/>
                <w:lang w:val="en-US" w:eastAsia="zh-CN" w:bidi="ar"/>
              </w:rPr>
              <w:t>NR UL interference</w:t>
            </w:r>
            <w:r>
              <w:rPr>
                <w:rFonts w:hint="default" w:ascii="Times New Roman" w:hAnsi="Times New Roman" w:eastAsia="等线" w:cs="Times New Roman"/>
                <w:b/>
                <w:bCs/>
                <w:i w:val="0"/>
                <w:iCs w:val="0"/>
                <w:color w:val="000000"/>
                <w:kern w:val="0"/>
                <w:sz w:val="20"/>
                <w:szCs w:val="20"/>
                <w:u w:val="none"/>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 xml:space="preserve">Priority: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40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19</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NR UL</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AIoT system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AIoT reader interference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240" w:hRule="atLeast"/>
        </w:trPr>
        <w:tc>
          <w:tcPr>
            <w:tcW w:w="2794" w:type="dxa"/>
            <w:tcBorders>
              <w:top w:val="single" w:color="000000" w:sz="4" w:space="0"/>
              <w:left w:val="single" w:color="000000" w:sz="8" w:space="0"/>
              <w:bottom w:val="single" w:color="000000" w:sz="4" w:space="0"/>
              <w:right w:val="single" w:color="000000" w:sz="4" w:space="0"/>
            </w:tcBorders>
            <w:shd w:val="clear" w:color="auto" w:fill="auto"/>
            <w:vAlign w:val="top"/>
          </w:tcPr>
          <w:p>
            <w:pPr>
              <w:keepNext w:val="0"/>
              <w:keepLines w:val="0"/>
              <w:widowControl/>
              <w:suppressLineNumbers w:val="0"/>
              <w:jc w:val="center"/>
              <w:textAlignment w:val="top"/>
              <w:rPr>
                <w:rFonts w:hint="default" w:ascii="Times New Roman" w:hAnsi="Times New Roman" w:eastAsia="等线" w:cs="Times New Roman"/>
                <w:i w:val="0"/>
                <w:iCs w:val="0"/>
                <w:color w:val="000000"/>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Evaluation case 20</w:t>
            </w:r>
          </w:p>
        </w:tc>
        <w:tc>
          <w:tcPr>
            <w:tcW w:w="4959" w:type="dxa"/>
            <w:tcBorders>
              <w:top w:val="single" w:color="000000" w:sz="4" w:space="0"/>
              <w:left w:val="single" w:color="000000" w:sz="4" w:space="0"/>
              <w:bottom w:val="single" w:color="000000" w:sz="4" w:space="0"/>
              <w:right w:val="single" w:color="000000" w:sz="4" w:space="0"/>
            </w:tcBorders>
            <w:shd w:val="clear" w:color="auto" w:fill="auto"/>
            <w:vAlign w:val="top"/>
          </w:tcPr>
          <w:p>
            <w:pPr>
              <w:keepNext w:val="0"/>
              <w:keepLines w:val="0"/>
              <w:widowControl/>
              <w:suppressLineNumbers w:val="0"/>
              <w:jc w:val="left"/>
              <w:textAlignment w:val="top"/>
              <w:rPr>
                <w:rFonts w:hint="default" w:ascii="Times New Roman" w:hAnsi="Times New Roman" w:eastAsia="等线" w:cs="Times New Roman"/>
                <w:b/>
                <w:bCs/>
                <w:i w:val="0"/>
                <w:iCs w:val="0"/>
                <w:color w:val="000000"/>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Victim</w:t>
            </w:r>
            <w:r>
              <w:rPr>
                <w:rStyle w:val="65"/>
                <w:rFonts w:hint="default" w:ascii="Times New Roman" w:hAnsi="Times New Roman" w:cs="Times New Roman"/>
                <w:sz w:val="20"/>
                <w:szCs w:val="20"/>
                <w:lang w:val="en-US" w:eastAsia="zh-CN" w:bidi="ar"/>
              </w:rPr>
              <w:t>: AIoT device</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baseline SINR</w:t>
            </w:r>
            <w:r>
              <w:rPr>
                <w:rStyle w:val="65"/>
                <w:rFonts w:hint="default" w:ascii="Times New Roman" w:hAnsi="Times New Roman" w:cs="Times New Roman"/>
                <w:sz w:val="20"/>
                <w:szCs w:val="20"/>
                <w:lang w:val="en-US" w:eastAsia="zh-CN" w:bidi="ar"/>
              </w:rPr>
              <w:t>: No NR system interference, signal power of device to the noise and interference within 10MHz</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SINR with inter-system interference</w:t>
            </w:r>
            <w:r>
              <w:rPr>
                <w:rStyle w:val="65"/>
                <w:rFonts w:hint="default" w:ascii="Times New Roman" w:hAnsi="Times New Roman" w:cs="Times New Roman"/>
                <w:sz w:val="20"/>
                <w:szCs w:val="20"/>
                <w:lang w:val="en-US" w:eastAsia="zh-CN" w:bidi="ar"/>
              </w:rPr>
              <w:t>: NR UL interference, signal power of device to the noise and interference within 10MHz</w:t>
            </w:r>
            <w:r>
              <w:rPr>
                <w:rStyle w:val="65"/>
                <w:rFonts w:hint="default" w:ascii="Times New Roman" w:hAnsi="Times New Roman" w:cs="Times New Roman"/>
                <w:sz w:val="20"/>
                <w:szCs w:val="20"/>
                <w:lang w:val="en-US" w:eastAsia="zh-CN" w:bidi="ar"/>
              </w:rPr>
              <w:br w:type="textWrapping"/>
            </w:r>
            <w:r>
              <w:rPr>
                <w:rFonts w:hint="default" w:ascii="Times New Roman" w:hAnsi="Times New Roman" w:eastAsia="等线" w:cs="Times New Roman"/>
                <w:b/>
                <w:bCs/>
                <w:i w:val="0"/>
                <w:iCs w:val="0"/>
                <w:color w:val="000000"/>
                <w:kern w:val="0"/>
                <w:sz w:val="20"/>
                <w:szCs w:val="20"/>
                <w:u w:val="none"/>
                <w:lang w:val="en-US" w:eastAsia="zh-CN" w:bidi="ar"/>
              </w:rPr>
              <w:t>Priority</w:t>
            </w:r>
            <w:r>
              <w:rPr>
                <w:rStyle w:val="65"/>
                <w:rFonts w:hint="default" w:ascii="Times New Roman" w:hAnsi="Times New Roman" w:cs="Times New Roman"/>
                <w:sz w:val="20"/>
                <w:szCs w:val="20"/>
                <w:lang w:val="en-US" w:eastAsia="zh-CN" w:bidi="ar"/>
              </w:rPr>
              <w:t xml:space="preserve">: </w:t>
            </w:r>
            <w:r>
              <w:rPr>
                <w:rFonts w:hint="default" w:ascii="Times New Roman" w:hAnsi="Times New Roman" w:eastAsia="等线" w:cs="Times New Roman"/>
                <w:b/>
                <w:bCs/>
                <w:i w:val="0"/>
                <w:iCs w:val="0"/>
                <w:color w:val="70AD47"/>
                <w:kern w:val="0"/>
                <w:sz w:val="20"/>
                <w:szCs w:val="20"/>
                <w:u w:val="none"/>
                <w:lang w:val="en-US" w:eastAsia="zh-CN" w:bidi="ar"/>
              </w:rPr>
              <w:t>High</w:t>
            </w:r>
          </w:p>
        </w:tc>
      </w:tr>
    </w:tbl>
    <w:p>
      <w:pPr>
        <w:rPr>
          <w:rFonts w:hint="default"/>
          <w:lang w:val="en-US" w:eastAsia="zh-CN"/>
        </w:rPr>
      </w:pPr>
    </w:p>
    <w:p>
      <w:pP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7: detailed evaluation cases and corresponding explanation are listed as above tables.</w:t>
      </w:r>
    </w:p>
    <w:p>
      <w:pPr>
        <w:pStyle w:val="4"/>
        <w:numPr>
          <w:ilvl w:val="2"/>
          <w:numId w:val="0"/>
        </w:numPr>
        <w:spacing w:before="156" w:after="156"/>
        <w:ind w:leftChars="0"/>
        <w:rPr>
          <w:rFonts w:hint="default" w:eastAsia="Arial Unicode MS"/>
          <w:lang w:val="en-US" w:eastAsia="zh-CN"/>
        </w:rPr>
      </w:pPr>
      <w:r>
        <w:rPr>
          <w:rFonts w:hint="eastAsia"/>
        </w:rPr>
        <w:t>2.</w:t>
      </w:r>
      <w:r>
        <w:rPr>
          <w:rFonts w:hint="eastAsia"/>
          <w:lang w:val="en-US" w:eastAsia="zh-CN"/>
        </w:rPr>
        <w:t>3 evaluation parameter</w:t>
      </w:r>
    </w:p>
    <w:p>
      <w:pPr>
        <w:pStyle w:val="5"/>
        <w:numPr>
          <w:ilvl w:val="3"/>
          <w:numId w:val="0"/>
        </w:numPr>
        <w:bidi w:val="0"/>
        <w:ind w:leftChars="0"/>
        <w:rPr>
          <w:rFonts w:hint="eastAsia"/>
          <w:lang w:val="en-US" w:eastAsia="zh-CN"/>
        </w:rPr>
      </w:pPr>
      <w:r>
        <w:rPr>
          <w:rFonts w:hint="eastAsia"/>
          <w:lang w:val="en-US" w:eastAsia="zh-CN"/>
        </w:rPr>
        <w:t>2.3.1 adjacent RB Tx leakage and Rx selectivity characteristics</w:t>
      </w:r>
    </w:p>
    <w:p>
      <w:pPr>
        <w:rPr>
          <w:rFonts w:hint="default"/>
          <w:lang w:val="en-US" w:eastAsia="zh-CN"/>
        </w:rPr>
      </w:pPr>
    </w:p>
    <w:p>
      <w:pPr>
        <w:spacing w:after="156" w:afterLines="50"/>
        <w:rPr>
          <w:rFonts w:hint="eastAsia" w:ascii="Times New Roman" w:hAnsi="Times New Roman"/>
          <w:sz w:val="20"/>
          <w:szCs w:val="20"/>
          <w:lang w:val="en-US" w:eastAsia="zh-CN"/>
        </w:rPr>
      </w:pPr>
      <w:r>
        <w:rPr>
          <w:rFonts w:hint="eastAsia" w:ascii="Times New Roman" w:hAnsi="Times New Roman"/>
          <w:sz w:val="20"/>
          <w:szCs w:val="20"/>
          <w:lang w:val="en-US" w:eastAsia="zh-CN"/>
        </w:rPr>
        <w:t xml:space="preserve">For A-IoT reader and NR system, following list last meeting agreements. </w:t>
      </w:r>
    </w:p>
    <w:tbl>
      <w:tblPr>
        <w:tblStyle w:val="18"/>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35"/>
        <w:gridCol w:w="2070"/>
        <w:gridCol w:w="2847"/>
        <w:gridCol w:w="31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 w:type="pct"/>
            <w:vMerge w:val="restart"/>
            <w:shd w:val="clear" w:color="auto" w:fill="D7D7D7"/>
          </w:tcPr>
          <w:p>
            <w:pPr>
              <w:widowControl/>
              <w:overflowPunct w:val="0"/>
              <w:autoSpaceDE w:val="0"/>
              <w:autoSpaceDN w:val="0"/>
              <w:adjustRightInd w:val="0"/>
              <w:spacing w:before="120" w:after="120" w:afterLines="50" w:line="280" w:lineRule="atLeast"/>
              <w:jc w:val="left"/>
              <w:textAlignment w:val="baseline"/>
              <w:rPr>
                <w:rFonts w:ascii="Times New Roman" w:hAnsi="Times New Roman" w:eastAsia="Yu Mincho" w:cs="Times New Roman"/>
                <w:kern w:val="0"/>
                <w:sz w:val="20"/>
                <w:szCs w:val="20"/>
                <w:lang w:val="en-GB" w:eastAsia="en-US"/>
              </w:rPr>
            </w:pPr>
          </w:p>
        </w:tc>
        <w:tc>
          <w:tcPr>
            <w:tcW w:w="1039" w:type="pct"/>
            <w:shd w:val="clear" w:color="auto" w:fill="D7D7D7"/>
            <w:vAlign w:val="center"/>
          </w:tcPr>
          <w:p>
            <w:pPr>
              <w:widowControl/>
              <w:overflowPunct w:val="0"/>
              <w:autoSpaceDE w:val="0"/>
              <w:autoSpaceDN w:val="0"/>
              <w:adjustRightInd w:val="0"/>
              <w:spacing w:before="120" w:after="120" w:afterLines="50" w:line="280" w:lineRule="atLeast"/>
              <w:jc w:val="center"/>
              <w:textAlignment w:val="baseline"/>
              <w:rPr>
                <w:rFonts w:ascii="Times New Roman" w:hAnsi="Times New Roman" w:eastAsia="Yu Mincho" w:cs="Times New Roman"/>
                <w:kern w:val="0"/>
                <w:sz w:val="20"/>
                <w:szCs w:val="20"/>
                <w:lang w:val="en-GB" w:eastAsia="en-US"/>
              </w:rPr>
            </w:pPr>
          </w:p>
        </w:tc>
        <w:tc>
          <w:tcPr>
            <w:tcW w:w="2988" w:type="pct"/>
            <w:gridSpan w:val="2"/>
            <w:shd w:val="clear" w:color="auto" w:fill="D7D7D7"/>
            <w:vAlign w:val="center"/>
          </w:tcPr>
          <w:p>
            <w:pPr>
              <w:widowControl/>
              <w:overflowPunct w:val="0"/>
              <w:autoSpaceDE w:val="0"/>
              <w:autoSpaceDN w:val="0"/>
              <w:adjustRightInd w:val="0"/>
              <w:spacing w:before="120" w:after="120" w:afterLines="50" w:line="280" w:lineRule="atLeast"/>
              <w:jc w:val="center"/>
              <w:textAlignment w:val="baseline"/>
              <w:rPr>
                <w:rFonts w:ascii="Times New Roman" w:hAnsi="Times New Roman" w:eastAsia="Yu Mincho" w:cs="Times New Roman"/>
                <w:kern w:val="0"/>
                <w:sz w:val="20"/>
                <w:szCs w:val="20"/>
                <w:lang w:val="en-GB" w:eastAsia="en-US"/>
              </w:rPr>
            </w:pPr>
            <w:r>
              <w:rPr>
                <w:rFonts w:hint="eastAsia" w:ascii="Times New Roman" w:hAnsi="Times New Roman" w:eastAsia="Yu Mincho" w:cs="Times New Roman"/>
                <w:kern w:val="0"/>
                <w:sz w:val="20"/>
                <w:szCs w:val="20"/>
                <w:lang w:val="en-GB" w:eastAsia="en-GB"/>
              </w:rPr>
              <w:t>In-band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 w:type="pct"/>
            <w:vMerge w:val="continue"/>
            <w:shd w:val="clear" w:color="auto" w:fill="D7D7D7"/>
          </w:tcPr>
          <w:p>
            <w:pPr>
              <w:widowControl/>
              <w:overflowPunct w:val="0"/>
              <w:autoSpaceDE w:val="0"/>
              <w:autoSpaceDN w:val="0"/>
              <w:adjustRightInd w:val="0"/>
              <w:spacing w:before="120" w:after="120" w:afterLines="50" w:line="280" w:lineRule="atLeast"/>
              <w:jc w:val="left"/>
              <w:textAlignment w:val="baseline"/>
              <w:rPr>
                <w:rFonts w:ascii="Times New Roman" w:hAnsi="Times New Roman" w:eastAsia="Yu Mincho" w:cs="Times New Roman"/>
                <w:kern w:val="0"/>
                <w:sz w:val="20"/>
                <w:szCs w:val="20"/>
                <w:lang w:val="en-GB" w:eastAsia="en-US"/>
              </w:rPr>
            </w:pPr>
          </w:p>
        </w:tc>
        <w:tc>
          <w:tcPr>
            <w:tcW w:w="1039" w:type="pct"/>
            <w:shd w:val="clear" w:color="auto" w:fill="D7D7D7"/>
            <w:vAlign w:val="center"/>
          </w:tcPr>
          <w:p>
            <w:pPr>
              <w:widowControl/>
              <w:overflowPunct w:val="0"/>
              <w:autoSpaceDE w:val="0"/>
              <w:autoSpaceDN w:val="0"/>
              <w:adjustRightInd w:val="0"/>
              <w:spacing w:before="120" w:after="120" w:afterLines="50" w:line="280" w:lineRule="atLeast"/>
              <w:jc w:val="center"/>
              <w:textAlignment w:val="baseline"/>
              <w:rPr>
                <w:rFonts w:ascii="Times New Roman" w:hAnsi="Times New Roman" w:eastAsia="Yu Mincho" w:cs="Times New Roman"/>
                <w:kern w:val="0"/>
                <w:sz w:val="20"/>
                <w:szCs w:val="20"/>
                <w:lang w:val="en-GB" w:eastAsia="en-US"/>
              </w:rPr>
            </w:pPr>
          </w:p>
        </w:tc>
        <w:tc>
          <w:tcPr>
            <w:tcW w:w="1429" w:type="pct"/>
            <w:shd w:val="clear" w:color="auto" w:fill="D7D7D7"/>
            <w:vAlign w:val="center"/>
          </w:tcPr>
          <w:p>
            <w:pPr>
              <w:widowControl/>
              <w:overflowPunct w:val="0"/>
              <w:autoSpaceDE w:val="0"/>
              <w:autoSpaceDN w:val="0"/>
              <w:adjustRightInd w:val="0"/>
              <w:spacing w:before="120" w:after="120" w:afterLines="50" w:line="280" w:lineRule="atLeast"/>
              <w:jc w:val="center"/>
              <w:textAlignment w:val="baseline"/>
              <w:rPr>
                <w:rFonts w:ascii="Times New Roman" w:hAnsi="Times New Roman" w:eastAsia="Yu Mincho" w:cs="Times New Roman"/>
                <w:kern w:val="0"/>
                <w:sz w:val="20"/>
                <w:szCs w:val="20"/>
                <w:lang w:val="en-GB" w:eastAsia="en-US"/>
              </w:rPr>
            </w:pPr>
            <w:r>
              <w:rPr>
                <w:rFonts w:hint="eastAsia" w:ascii="Times New Roman" w:hAnsi="Times New Roman" w:eastAsia="Yu Mincho" w:cs="Times New Roman"/>
                <w:kern w:val="0"/>
                <w:sz w:val="20"/>
                <w:szCs w:val="20"/>
                <w:lang w:val="en-GB" w:eastAsia="en-GB"/>
              </w:rPr>
              <w:t>Tx</w:t>
            </w:r>
          </w:p>
        </w:tc>
        <w:tc>
          <w:tcPr>
            <w:tcW w:w="1559" w:type="pct"/>
            <w:shd w:val="clear" w:color="auto" w:fill="D7D7D7"/>
            <w:vAlign w:val="center"/>
          </w:tcPr>
          <w:p>
            <w:pPr>
              <w:widowControl/>
              <w:overflowPunct w:val="0"/>
              <w:autoSpaceDE w:val="0"/>
              <w:autoSpaceDN w:val="0"/>
              <w:adjustRightInd w:val="0"/>
              <w:spacing w:before="120" w:after="120" w:afterLines="50" w:line="280" w:lineRule="atLeast"/>
              <w:jc w:val="center"/>
              <w:textAlignment w:val="baseline"/>
              <w:rPr>
                <w:rFonts w:ascii="Times New Roman" w:hAnsi="Times New Roman" w:eastAsia="Yu Mincho" w:cs="Times New Roman"/>
                <w:kern w:val="0"/>
                <w:sz w:val="20"/>
                <w:szCs w:val="20"/>
                <w:lang w:val="en-GB" w:eastAsia="en-US"/>
              </w:rPr>
            </w:pPr>
            <w:r>
              <w:rPr>
                <w:rFonts w:hint="eastAsia" w:ascii="Times New Roman" w:hAnsi="Times New Roman" w:eastAsia="Yu Mincho" w:cs="Times New Roman"/>
                <w:kern w:val="0"/>
                <w:sz w:val="20"/>
                <w:szCs w:val="20"/>
                <w:lang w:val="en-GB" w:eastAsia="en-GB"/>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 w:type="pct"/>
            <w:shd w:val="clear" w:color="auto" w:fill="D7D7D7"/>
            <w:vAlign w:val="center"/>
          </w:tcPr>
          <w:p>
            <w:pPr>
              <w:widowControl/>
              <w:overflowPunct w:val="0"/>
              <w:autoSpaceDE w:val="0"/>
              <w:autoSpaceDN w:val="0"/>
              <w:adjustRightInd w:val="0"/>
              <w:spacing w:before="120" w:after="120" w:afterLines="50" w:line="280" w:lineRule="atLeast"/>
              <w:jc w:val="left"/>
              <w:textAlignment w:val="baseline"/>
              <w:rPr>
                <w:rFonts w:ascii="Times New Roman" w:hAnsi="Times New Roman" w:eastAsia="Yu Mincho" w:cs="Times New Roman"/>
                <w:kern w:val="0"/>
                <w:sz w:val="20"/>
                <w:szCs w:val="20"/>
                <w:lang w:val="en-GB" w:eastAsia="en-US"/>
              </w:rPr>
            </w:pPr>
            <w:r>
              <w:rPr>
                <w:rFonts w:hint="eastAsia" w:ascii="Times New Roman" w:hAnsi="Times New Roman" w:eastAsia="等线" w:cs="Times New Roman"/>
                <w:kern w:val="0"/>
                <w:sz w:val="20"/>
                <w:szCs w:val="20"/>
                <w:lang w:val="en-GB" w:eastAsia="zh-CN"/>
              </w:rPr>
              <w:t>NR</w:t>
            </w:r>
            <w:r>
              <w:rPr>
                <w:rFonts w:hint="eastAsia" w:ascii="Times New Roman" w:hAnsi="Times New Roman" w:eastAsia="Yu Mincho" w:cs="Times New Roman"/>
                <w:kern w:val="0"/>
                <w:sz w:val="20"/>
                <w:szCs w:val="20"/>
                <w:lang w:val="en-GB" w:eastAsia="en-GB"/>
              </w:rPr>
              <w:t xml:space="preserve"> UE/</w:t>
            </w:r>
            <w:r>
              <w:rPr>
                <w:rFonts w:hint="eastAsia" w:ascii="Times New Roman" w:hAnsi="Times New Roman" w:eastAsia="等线" w:cs="Times New Roman"/>
                <w:kern w:val="0"/>
                <w:sz w:val="20"/>
                <w:szCs w:val="20"/>
                <w:lang w:val="en-GB" w:eastAsia="zh-CN"/>
              </w:rPr>
              <w:t xml:space="preserve">A-IOT </w:t>
            </w:r>
            <w:r>
              <w:rPr>
                <w:rFonts w:hint="eastAsia" w:ascii="Times New Roman" w:hAnsi="Times New Roman" w:eastAsia="Yu Mincho" w:cs="Times New Roman"/>
                <w:kern w:val="0"/>
                <w:sz w:val="20"/>
                <w:szCs w:val="20"/>
                <w:lang w:val="en-GB" w:eastAsia="en-GB"/>
              </w:rPr>
              <w:t>Intermediate UE</w:t>
            </w:r>
          </w:p>
        </w:tc>
        <w:tc>
          <w:tcPr>
            <w:tcW w:w="1039" w:type="pct"/>
            <w:shd w:val="clear" w:color="auto" w:fill="D7D7D7"/>
            <w:vAlign w:val="center"/>
          </w:tcPr>
          <w:p>
            <w:pPr>
              <w:widowControl/>
              <w:overflowPunct w:val="0"/>
              <w:autoSpaceDE w:val="0"/>
              <w:autoSpaceDN w:val="0"/>
              <w:adjustRightInd w:val="0"/>
              <w:spacing w:before="120" w:after="120" w:afterLines="50" w:line="280" w:lineRule="atLeast"/>
              <w:jc w:val="left"/>
              <w:textAlignment w:val="baseline"/>
              <w:rPr>
                <w:rFonts w:ascii="Times New Roman" w:hAnsi="Times New Roman" w:eastAsia="Yu Mincho" w:cs="Times New Roman"/>
                <w:kern w:val="0"/>
                <w:sz w:val="20"/>
                <w:szCs w:val="20"/>
                <w:lang w:val="en-GB" w:eastAsia="en-US"/>
              </w:rPr>
            </w:pPr>
            <w:r>
              <w:rPr>
                <w:rFonts w:hint="eastAsia" w:ascii="Times New Roman" w:hAnsi="Times New Roman" w:eastAsia="Yu Mincho" w:cs="Times New Roman"/>
                <w:kern w:val="0"/>
                <w:sz w:val="20"/>
                <w:szCs w:val="20"/>
                <w:lang w:val="en-GB" w:eastAsia="en-GB"/>
              </w:rPr>
              <w:t>For calibration purpose</w:t>
            </w:r>
          </w:p>
        </w:tc>
        <w:tc>
          <w:tcPr>
            <w:tcW w:w="1429" w:type="pct"/>
            <w:vAlign w:val="center"/>
          </w:tcPr>
          <w:p>
            <w:pPr>
              <w:widowControl/>
              <w:overflowPunct w:val="0"/>
              <w:autoSpaceDE w:val="0"/>
              <w:autoSpaceDN w:val="0"/>
              <w:adjustRightInd w:val="0"/>
              <w:spacing w:before="120" w:after="120" w:afterLines="50" w:line="280" w:lineRule="atLeast"/>
              <w:jc w:val="left"/>
              <w:textAlignment w:val="baseline"/>
              <w:rPr>
                <w:rFonts w:hint="eastAsia" w:ascii="Times New Roman" w:hAnsi="Times New Roman" w:eastAsia="宋体" w:cs="Times New Roman"/>
                <w:kern w:val="0"/>
                <w:sz w:val="20"/>
                <w:szCs w:val="20"/>
                <w:lang w:val="en-GB" w:eastAsia="zh-CN"/>
              </w:rPr>
            </w:pPr>
            <w:r>
              <w:rPr>
                <w:rFonts w:hint="eastAsia" w:ascii="Times New Roman" w:hAnsi="Times New Roman" w:eastAsia="Yu Mincho" w:cs="Times New Roman"/>
                <w:kern w:val="0"/>
                <w:sz w:val="20"/>
                <w:szCs w:val="20"/>
                <w:highlight w:val="none"/>
                <w:lang w:val="en-GB" w:eastAsia="en-GB"/>
              </w:rPr>
              <w:t>Legacy UE IBE</w:t>
            </w:r>
          </w:p>
        </w:tc>
        <w:tc>
          <w:tcPr>
            <w:tcW w:w="1559" w:type="pct"/>
            <w:vAlign w:val="center"/>
          </w:tcPr>
          <w:p>
            <w:pPr>
              <w:widowControl/>
              <w:overflowPunct w:val="0"/>
              <w:autoSpaceDE w:val="0"/>
              <w:autoSpaceDN w:val="0"/>
              <w:adjustRightInd w:val="0"/>
              <w:spacing w:before="120" w:after="120" w:afterLines="50" w:line="280" w:lineRule="atLeast"/>
              <w:jc w:val="left"/>
              <w:textAlignment w:val="baseline"/>
              <w:rPr>
                <w:rFonts w:ascii="Times New Roman" w:hAnsi="Times New Roman" w:eastAsia="Yu Mincho" w:cs="Times New Roman"/>
                <w:kern w:val="0"/>
                <w:sz w:val="20"/>
                <w:szCs w:val="20"/>
                <w:lang w:val="en-GB" w:eastAsia="en-US"/>
              </w:rPr>
            </w:pPr>
            <w:r>
              <w:rPr>
                <w:rFonts w:hint="eastAsia" w:ascii="Times New Roman" w:hAnsi="Times New Roman" w:eastAsia="Yu Mincho" w:cs="Times New Roman"/>
                <w:kern w:val="0"/>
                <w:sz w:val="20"/>
                <w:szCs w:val="20"/>
                <w:lang w:val="en-GB" w:eastAsia="en-GB"/>
              </w:rPr>
              <w:t>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 w:type="pct"/>
            <w:shd w:val="clear" w:color="auto" w:fill="D7D7D7"/>
            <w:vAlign w:val="center"/>
          </w:tcPr>
          <w:p>
            <w:pPr>
              <w:widowControl/>
              <w:overflowPunct w:val="0"/>
              <w:autoSpaceDE w:val="0"/>
              <w:autoSpaceDN w:val="0"/>
              <w:adjustRightInd w:val="0"/>
              <w:spacing w:before="120" w:after="120" w:afterLines="50" w:line="280" w:lineRule="atLeast"/>
              <w:jc w:val="left"/>
              <w:textAlignment w:val="baseline"/>
              <w:rPr>
                <w:rFonts w:ascii="Times New Roman" w:hAnsi="Times New Roman" w:eastAsia="等线" w:cs="Times New Roman"/>
                <w:kern w:val="0"/>
                <w:sz w:val="20"/>
                <w:szCs w:val="20"/>
                <w:lang w:val="en-GB" w:eastAsia="zh-CN"/>
              </w:rPr>
            </w:pPr>
            <w:r>
              <w:rPr>
                <w:rFonts w:hint="eastAsia" w:ascii="Times New Roman" w:hAnsi="Times New Roman" w:eastAsia="等线" w:cs="Times New Roman"/>
                <w:kern w:val="0"/>
                <w:sz w:val="20"/>
                <w:szCs w:val="20"/>
                <w:lang w:val="en-GB" w:eastAsia="zh-CN"/>
              </w:rPr>
              <w:t>NR BS</w:t>
            </w:r>
          </w:p>
        </w:tc>
        <w:tc>
          <w:tcPr>
            <w:tcW w:w="1039" w:type="pct"/>
            <w:shd w:val="clear" w:color="auto" w:fill="D7D7D7"/>
            <w:vAlign w:val="center"/>
          </w:tcPr>
          <w:p>
            <w:pPr>
              <w:widowControl/>
              <w:overflowPunct w:val="0"/>
              <w:autoSpaceDE w:val="0"/>
              <w:autoSpaceDN w:val="0"/>
              <w:adjustRightInd w:val="0"/>
              <w:spacing w:before="120" w:after="120" w:afterLines="50" w:line="280" w:lineRule="atLeast"/>
              <w:jc w:val="left"/>
              <w:textAlignment w:val="baseline"/>
              <w:rPr>
                <w:rFonts w:ascii="Times New Roman" w:hAnsi="Times New Roman" w:eastAsia="Yu Mincho" w:cs="Times New Roman"/>
                <w:kern w:val="0"/>
                <w:sz w:val="20"/>
                <w:szCs w:val="20"/>
                <w:lang w:val="en-GB" w:eastAsia="en-US"/>
              </w:rPr>
            </w:pPr>
            <w:r>
              <w:rPr>
                <w:rFonts w:hint="eastAsia" w:ascii="Times New Roman" w:hAnsi="Times New Roman" w:eastAsia="Yu Mincho" w:cs="Times New Roman"/>
                <w:kern w:val="0"/>
                <w:sz w:val="20"/>
                <w:szCs w:val="20"/>
                <w:lang w:val="en-GB" w:eastAsia="en-GB"/>
              </w:rPr>
              <w:t>For calibration purpose</w:t>
            </w:r>
          </w:p>
        </w:tc>
        <w:tc>
          <w:tcPr>
            <w:tcW w:w="1429" w:type="pct"/>
            <w:vAlign w:val="center"/>
          </w:tcPr>
          <w:p>
            <w:pPr>
              <w:widowControl/>
              <w:overflowPunct w:val="0"/>
              <w:autoSpaceDE w:val="0"/>
              <w:autoSpaceDN w:val="0"/>
              <w:adjustRightInd w:val="0"/>
              <w:spacing w:before="120" w:after="120" w:afterLines="50" w:line="280" w:lineRule="atLeast"/>
              <w:jc w:val="left"/>
              <w:textAlignment w:val="baseline"/>
              <w:rPr>
                <w:rFonts w:ascii="Times New Roman" w:hAnsi="Times New Roman" w:eastAsia="等线" w:cs="Times New Roman"/>
                <w:kern w:val="0"/>
                <w:sz w:val="20"/>
                <w:szCs w:val="20"/>
                <w:lang w:val="en-GB" w:eastAsia="zh-CN"/>
              </w:rPr>
            </w:pPr>
            <w:r>
              <w:rPr>
                <w:rFonts w:hint="eastAsia" w:ascii="Times New Roman" w:hAnsi="Times New Roman" w:eastAsia="Yu Mincho" w:cs="Times New Roman"/>
                <w:kern w:val="0"/>
                <w:sz w:val="20"/>
                <w:szCs w:val="20"/>
                <w:lang w:val="en-GB" w:eastAsia="en-GB"/>
              </w:rPr>
              <w:t>ACLR of legacy gNB</w:t>
            </w:r>
          </w:p>
        </w:tc>
        <w:tc>
          <w:tcPr>
            <w:tcW w:w="1559" w:type="pct"/>
            <w:vAlign w:val="center"/>
          </w:tcPr>
          <w:p>
            <w:pPr>
              <w:widowControl/>
              <w:overflowPunct w:val="0"/>
              <w:autoSpaceDE w:val="0"/>
              <w:autoSpaceDN w:val="0"/>
              <w:adjustRightInd w:val="0"/>
              <w:spacing w:before="120" w:after="120" w:afterLines="50" w:line="280" w:lineRule="atLeast"/>
              <w:jc w:val="left"/>
              <w:textAlignment w:val="baseline"/>
              <w:rPr>
                <w:rFonts w:ascii="Times New Roman" w:hAnsi="Times New Roman" w:eastAsia="Yu Mincho" w:cs="Times New Roman"/>
                <w:kern w:val="0"/>
                <w:sz w:val="20"/>
                <w:szCs w:val="20"/>
                <w:lang w:val="en-GB" w:eastAsia="en-US"/>
              </w:rPr>
            </w:pPr>
            <w:r>
              <w:rPr>
                <w:rFonts w:hint="eastAsia" w:ascii="Times New Roman" w:hAnsi="Times New Roman" w:eastAsia="Yu Mincho" w:cs="Times New Roman"/>
                <w:kern w:val="0"/>
                <w:sz w:val="20"/>
                <w:szCs w:val="20"/>
                <w:lang w:val="en-GB" w:eastAsia="en-GB"/>
              </w:rPr>
              <w:t>ACS of legacy gNB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72" w:type="pct"/>
            <w:shd w:val="clear" w:color="auto" w:fill="D7D7D7"/>
          </w:tcPr>
          <w:p>
            <w:pPr>
              <w:widowControl/>
              <w:overflowPunct w:val="0"/>
              <w:autoSpaceDE w:val="0"/>
              <w:autoSpaceDN w:val="0"/>
              <w:adjustRightInd w:val="0"/>
              <w:spacing w:before="120" w:after="120" w:afterLines="50" w:line="280" w:lineRule="atLeast"/>
              <w:jc w:val="left"/>
              <w:textAlignment w:val="baseline"/>
              <w:rPr>
                <w:rFonts w:ascii="Times New Roman" w:hAnsi="Times New Roman" w:eastAsia="等线" w:cs="Times New Roman"/>
                <w:kern w:val="0"/>
                <w:sz w:val="20"/>
                <w:szCs w:val="20"/>
                <w:lang w:val="en-GB" w:eastAsia="zh-CN"/>
              </w:rPr>
            </w:pPr>
            <w:r>
              <w:rPr>
                <w:rFonts w:hint="eastAsia" w:ascii="Times New Roman" w:hAnsi="Times New Roman" w:eastAsia="等线" w:cs="Times New Roman"/>
                <w:kern w:val="0"/>
                <w:sz w:val="20"/>
                <w:szCs w:val="20"/>
                <w:lang w:val="en-GB" w:eastAsia="zh-CN"/>
              </w:rPr>
              <w:t>A-IOT BS</w:t>
            </w:r>
          </w:p>
        </w:tc>
        <w:tc>
          <w:tcPr>
            <w:tcW w:w="1039" w:type="pct"/>
            <w:shd w:val="clear" w:color="auto" w:fill="D7D7D7"/>
            <w:vAlign w:val="center"/>
          </w:tcPr>
          <w:p>
            <w:pPr>
              <w:widowControl/>
              <w:overflowPunct w:val="0"/>
              <w:autoSpaceDE w:val="0"/>
              <w:autoSpaceDN w:val="0"/>
              <w:adjustRightInd w:val="0"/>
              <w:spacing w:before="120" w:after="120" w:afterLines="50" w:line="280" w:lineRule="atLeast"/>
              <w:jc w:val="left"/>
              <w:textAlignment w:val="baseline"/>
              <w:rPr>
                <w:rFonts w:ascii="Times New Roman" w:hAnsi="Times New Roman" w:eastAsia="等线" w:cs="Times New Roman"/>
                <w:kern w:val="0"/>
                <w:sz w:val="20"/>
                <w:szCs w:val="20"/>
                <w:lang w:val="en-GB" w:eastAsia="zh-CN"/>
              </w:rPr>
            </w:pPr>
            <w:r>
              <w:rPr>
                <w:rFonts w:hint="eastAsia" w:ascii="Times New Roman" w:hAnsi="Times New Roman" w:eastAsia="Yu Mincho" w:cs="Times New Roman"/>
                <w:kern w:val="0"/>
                <w:sz w:val="20"/>
                <w:szCs w:val="20"/>
                <w:lang w:val="en-GB" w:eastAsia="en-GB"/>
              </w:rPr>
              <w:t>For calibration purpose</w:t>
            </w:r>
          </w:p>
        </w:tc>
        <w:tc>
          <w:tcPr>
            <w:tcW w:w="1429" w:type="pct"/>
            <w:vAlign w:val="center"/>
          </w:tcPr>
          <w:p>
            <w:pPr>
              <w:widowControl/>
              <w:overflowPunct w:val="0"/>
              <w:autoSpaceDE w:val="0"/>
              <w:autoSpaceDN w:val="0"/>
              <w:adjustRightInd w:val="0"/>
              <w:spacing w:before="120" w:after="120" w:afterLines="50" w:line="280" w:lineRule="atLeast"/>
              <w:jc w:val="left"/>
              <w:textAlignment w:val="baseline"/>
              <w:rPr>
                <w:rFonts w:ascii="Times New Roman" w:hAnsi="Times New Roman" w:eastAsia="Yu Mincho" w:cs="Times New Roman"/>
                <w:kern w:val="0"/>
                <w:sz w:val="20"/>
                <w:szCs w:val="20"/>
                <w:lang w:val="en-GB" w:eastAsia="en-GB"/>
              </w:rPr>
            </w:pPr>
            <w:r>
              <w:rPr>
                <w:rFonts w:hint="eastAsia" w:ascii="Times New Roman" w:hAnsi="Times New Roman" w:eastAsia="Yu Mincho" w:cs="Times New Roman"/>
                <w:kern w:val="0"/>
                <w:sz w:val="20"/>
                <w:szCs w:val="20"/>
                <w:lang w:val="en-GB" w:eastAsia="en-GB"/>
              </w:rPr>
              <w:t>ACLR of legacy gNB</w:t>
            </w:r>
            <w:r>
              <w:rPr>
                <w:rFonts w:hint="eastAsia" w:ascii="Times New Roman" w:hAnsi="Times New Roman" w:eastAsia="等线" w:cs="Times New Roman"/>
                <w:kern w:val="0"/>
                <w:sz w:val="20"/>
                <w:szCs w:val="20"/>
                <w:lang w:val="en-GB" w:eastAsia="zh-CN"/>
              </w:rPr>
              <w:t xml:space="preserve"> (i.e. 45)</w:t>
            </w:r>
          </w:p>
        </w:tc>
        <w:tc>
          <w:tcPr>
            <w:tcW w:w="1559" w:type="pct"/>
            <w:vAlign w:val="center"/>
          </w:tcPr>
          <w:p>
            <w:pPr>
              <w:widowControl/>
              <w:overflowPunct w:val="0"/>
              <w:autoSpaceDE w:val="0"/>
              <w:autoSpaceDN w:val="0"/>
              <w:adjustRightInd w:val="0"/>
              <w:spacing w:before="120" w:after="120" w:afterLines="50" w:line="280" w:lineRule="atLeast"/>
              <w:jc w:val="left"/>
              <w:textAlignment w:val="baseline"/>
              <w:rPr>
                <w:rFonts w:ascii="Times New Roman" w:hAnsi="Times New Roman" w:eastAsia="Yu Mincho" w:cs="Times New Roman"/>
                <w:kern w:val="0"/>
                <w:sz w:val="20"/>
                <w:szCs w:val="20"/>
                <w:lang w:val="en-GB" w:eastAsia="en-GB"/>
              </w:rPr>
            </w:pPr>
            <w:r>
              <w:rPr>
                <w:rFonts w:hint="eastAsia" w:ascii="Times New Roman" w:hAnsi="Times New Roman" w:eastAsia="Yu Mincho" w:cs="Times New Roman"/>
                <w:kern w:val="0"/>
                <w:sz w:val="20"/>
                <w:szCs w:val="20"/>
                <w:lang w:val="en-GB" w:eastAsia="en-GB"/>
              </w:rPr>
              <w:t>ACS of legacy gNB</w:t>
            </w:r>
          </w:p>
        </w:tc>
      </w:tr>
    </w:tbl>
    <w:p>
      <w:pPr>
        <w:spacing w:after="156" w:afterLines="50"/>
        <w:rPr>
          <w:rFonts w:hint="eastAsia" w:ascii="Times New Roman" w:hAnsi="Times New Roman"/>
          <w:sz w:val="20"/>
          <w:szCs w:val="20"/>
          <w:lang w:val="en-US" w:eastAsia="zh-CN"/>
        </w:rPr>
      </w:pPr>
    </w:p>
    <w:p>
      <w:pPr>
        <w:spacing w:after="156" w:afterLines="50"/>
        <w:rPr>
          <w:rFonts w:hint="eastAsia" w:ascii="Times New Roman" w:hAnsi="Times New Roman"/>
          <w:sz w:val="20"/>
          <w:szCs w:val="20"/>
          <w:lang w:val="en-US" w:eastAsia="zh-CN"/>
        </w:rPr>
      </w:pPr>
      <w:r>
        <w:rPr>
          <w:rFonts w:hint="eastAsia" w:ascii="Times New Roman" w:hAnsi="Times New Roman"/>
          <w:sz w:val="20"/>
          <w:szCs w:val="20"/>
          <w:lang w:val="en-US" w:eastAsia="zh-CN"/>
        </w:rPr>
        <w:t>IBE is related to allocated RB location, RB number, EVM and the transmit power. During calibration, we have following offline consensus.</w:t>
      </w:r>
    </w:p>
    <w:p>
      <w:pPr>
        <w:spacing w:after="156" w:afterLines="50"/>
        <w:rPr>
          <w:rFonts w:hint="eastAsia" w:ascii="Times New Roman" w:hAnsi="Times New Roman"/>
          <w:sz w:val="20"/>
          <w:szCs w:val="20"/>
          <w:lang w:val="en-US" w:eastAsia="zh-CN"/>
        </w:rPr>
      </w:pPr>
      <w:r>
        <w:rPr>
          <w:rFonts w:hint="eastAsia" w:ascii="Times New Roman" w:hAnsi="Times New Roman"/>
          <w:sz w:val="20"/>
          <w:szCs w:val="20"/>
          <w:lang w:val="en-US" w:eastAsia="zh-CN"/>
        </w:rPr>
        <w:t>For RB allocation, each UE is scheduled with 17PRB and A-IoT using 1PRB is located between the most two UEs. Detailed illustration is listed as below:</w:t>
      </w:r>
    </w:p>
    <w:p>
      <w:pPr>
        <w:spacing w:after="156" w:afterLines="50"/>
        <w:jc w:val="center"/>
        <w:rPr>
          <w:rFonts w:hint="default" w:ascii="Times New Roman" w:hAnsi="Times New Roman"/>
          <w:sz w:val="20"/>
          <w:szCs w:val="20"/>
          <w:lang w:val="en-US" w:eastAsia="zh-CN"/>
        </w:rPr>
      </w:pPr>
      <w:r>
        <w:rPr>
          <w:rFonts w:hint="default" w:ascii="Times New Roman" w:hAnsi="Times New Roman"/>
          <w:sz w:val="20"/>
          <w:szCs w:val="20"/>
          <w:lang w:val="en-US" w:eastAsia="zh-CN"/>
        </w:rPr>
        <w:drawing>
          <wp:inline distT="0" distB="0" distL="114300" distR="114300">
            <wp:extent cx="4503420" cy="1681480"/>
            <wp:effectExtent l="0" t="0" r="5080" b="7620"/>
            <wp:docPr id="21" name="图片 21" descr="1722940738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21" descr="1722940738153"/>
                    <pic:cNvPicPr>
                      <a:picLocks noChangeAspect="1"/>
                    </pic:cNvPicPr>
                  </pic:nvPicPr>
                  <pic:blipFill>
                    <a:blip r:embed="rId5"/>
                    <a:stretch>
                      <a:fillRect/>
                    </a:stretch>
                  </pic:blipFill>
                  <pic:spPr>
                    <a:xfrm>
                      <a:off x="0" y="0"/>
                      <a:ext cx="4503420" cy="1681480"/>
                    </a:xfrm>
                    <a:prstGeom prst="rect">
                      <a:avLst/>
                    </a:prstGeom>
                  </pic:spPr>
                </pic:pic>
              </a:graphicData>
            </a:graphic>
          </wp:inline>
        </w:drawing>
      </w:r>
    </w:p>
    <w:p>
      <w:pPr>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8: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use above UE RB allocation for both calibration and formal simulation.</w:t>
      </w:r>
    </w:p>
    <w:p>
      <w:pPr>
        <w:spacing w:after="156" w:afterLines="50"/>
        <w:rPr>
          <w:rFonts w:hint="default"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For other Tx leakage and Rx selectivity performance, it</w:t>
      </w:r>
      <w:r>
        <w:rPr>
          <w:rFonts w:hint="default" w:ascii="Times New Roman" w:hAnsi="Times New Roman"/>
          <w:b w:val="0"/>
          <w:bCs w:val="0"/>
          <w:sz w:val="20"/>
          <w:szCs w:val="20"/>
          <w:lang w:val="en-US" w:eastAsia="zh-CN"/>
        </w:rPr>
        <w:t>’</w:t>
      </w:r>
      <w:r>
        <w:rPr>
          <w:rFonts w:hint="eastAsia" w:ascii="Times New Roman" w:hAnsi="Times New Roman"/>
          <w:b w:val="0"/>
          <w:bCs w:val="0"/>
          <w:sz w:val="20"/>
          <w:szCs w:val="20"/>
          <w:lang w:val="en-US" w:eastAsia="zh-CN"/>
        </w:rPr>
        <w:t>s suggested to use following assumption for formal simulation.</w:t>
      </w:r>
    </w:p>
    <w:p>
      <w:pPr>
        <w:spacing w:after="156" w:afterLines="50"/>
        <w:rPr>
          <w:rFonts w:ascii="Times New Roman" w:hAnsi="Times New Roman"/>
          <w:sz w:val="20"/>
          <w:szCs w:val="20"/>
        </w:rPr>
      </w:pPr>
      <w:r>
        <w:rPr>
          <w:rFonts w:hint="eastAsia" w:ascii="Times New Roman" w:hAnsi="Times New Roman"/>
          <w:sz w:val="20"/>
          <w:szCs w:val="20"/>
        </w:rPr>
        <w:t>Following table list our suggestion for adjacent RB/carrier Tx leakage and Rx suppression characteristics.</w:t>
      </w:r>
    </w:p>
    <w:tbl>
      <w:tblPr>
        <w:tblStyle w:val="18"/>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97"/>
        <w:gridCol w:w="2006"/>
        <w:gridCol w:w="2848"/>
        <w:gridCol w:w="22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restart"/>
            <w:shd w:val="clear" w:color="auto" w:fill="D7D7D7" w:themeFill="background1" w:themeFillShade="D8"/>
          </w:tcPr>
          <w:p>
            <w:pPr>
              <w:spacing w:before="120" w:after="156" w:afterLines="50" w:line="280" w:lineRule="atLeast"/>
              <w:rPr>
                <w:rFonts w:ascii="Times New Roman" w:hAnsi="Times New Roman"/>
                <w:sz w:val="20"/>
                <w:szCs w:val="20"/>
                <w:lang w:val="en-GB" w:eastAsia="en-GB"/>
              </w:rPr>
            </w:pP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p>
        </w:tc>
        <w:tc>
          <w:tcPr>
            <w:tcW w:w="2537" w:type="pct"/>
            <w:gridSpan w:val="2"/>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In-band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vMerge w:val="continue"/>
            <w:shd w:val="clear" w:color="auto" w:fill="D7D7D7" w:themeFill="background1" w:themeFillShade="D8"/>
          </w:tcPr>
          <w:p>
            <w:pPr>
              <w:spacing w:before="120" w:after="156" w:afterLines="50" w:line="280" w:lineRule="atLeast"/>
              <w:rPr>
                <w:rFonts w:ascii="Times New Roman" w:hAnsi="Times New Roman"/>
                <w:sz w:val="20"/>
                <w:szCs w:val="20"/>
                <w:lang w:val="en-GB" w:eastAsia="en-GB"/>
              </w:rPr>
            </w:pP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p>
        </w:tc>
        <w:tc>
          <w:tcPr>
            <w:tcW w:w="1430"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Tx</w:t>
            </w:r>
          </w:p>
        </w:tc>
        <w:tc>
          <w:tcPr>
            <w:tcW w:w="11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Rx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Existing UE/Intermediate UE</w:t>
            </w: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For formal simulation</w:t>
            </w:r>
          </w:p>
        </w:tc>
        <w:tc>
          <w:tcPr>
            <w:tcW w:w="1430"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Legacy UE IBE requirement</w:t>
            </w:r>
          </w:p>
        </w:tc>
        <w:tc>
          <w:tcPr>
            <w:tcW w:w="1107" w:type="pct"/>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ICS=ACS value</w:t>
            </w:r>
          </w:p>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According to SBFD analysis, ICS could be equals to ACS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5"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Existing gNB/reader of topology 1</w:t>
            </w:r>
          </w:p>
        </w:tc>
        <w:tc>
          <w:tcPr>
            <w:tcW w:w="1007" w:type="pct"/>
            <w:shd w:val="clear" w:color="auto" w:fill="D7D7D7" w:themeFill="background1" w:themeFillShade="D8"/>
            <w:vAlign w:val="center"/>
          </w:tcPr>
          <w:p>
            <w:pPr>
              <w:spacing w:before="120" w:after="156" w:afterLines="50" w:line="280" w:lineRule="atLeast"/>
              <w:jc w:val="center"/>
              <w:rPr>
                <w:rFonts w:ascii="Times New Roman" w:hAnsi="Times New Roman"/>
                <w:sz w:val="20"/>
                <w:szCs w:val="20"/>
                <w:lang w:val="en-GB" w:eastAsia="en-GB"/>
              </w:rPr>
            </w:pPr>
            <w:r>
              <w:rPr>
                <w:rFonts w:hint="eastAsia" w:ascii="Times New Roman" w:hAnsi="Times New Roman"/>
                <w:sz w:val="20"/>
                <w:szCs w:val="20"/>
                <w:lang w:val="en-GB" w:eastAsia="en-GB"/>
              </w:rPr>
              <w:t>For formal simulation</w:t>
            </w:r>
          </w:p>
        </w:tc>
        <w:tc>
          <w:tcPr>
            <w:tcW w:w="1430" w:type="pct"/>
            <w:vAlign w:val="center"/>
          </w:tcPr>
          <w:p>
            <w:pPr>
              <w:spacing w:before="120" w:after="156" w:afterLines="50" w:line="280" w:lineRule="atLeast"/>
              <w:jc w:val="center"/>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ACLR of NB-IoT gNB</w:t>
            </w:r>
          </w:p>
        </w:tc>
        <w:tc>
          <w:tcPr>
            <w:tcW w:w="1107" w:type="pct"/>
            <w:vAlign w:val="center"/>
          </w:tcPr>
          <w:p>
            <w:pPr>
              <w:spacing w:before="120" w:after="156" w:afterLines="50" w:line="280" w:lineRule="atLeast"/>
              <w:jc w:val="center"/>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ACS of NB-IoT gNB</w:t>
            </w:r>
          </w:p>
        </w:tc>
      </w:tr>
    </w:tbl>
    <w:p>
      <w:pPr>
        <w:spacing w:after="156" w:afterLines="50"/>
        <w:rPr>
          <w:rFonts w:ascii="Times New Roman" w:hAnsi="Times New Roman"/>
          <w:b/>
          <w:bCs/>
          <w:sz w:val="20"/>
          <w:szCs w:val="20"/>
        </w:rPr>
      </w:pPr>
    </w:p>
    <w:p>
      <w:pPr>
        <w:spacing w:after="156" w:afterLines="50"/>
        <w:rPr>
          <w:rFonts w:hint="default" w:ascii="Times New Roman" w:hAnsi="Times New Roman" w:eastAsia="宋体"/>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9</w:t>
      </w:r>
      <w:r>
        <w:rPr>
          <w:rFonts w:hint="eastAsia" w:ascii="Times New Roman" w:hAnsi="Times New Roman"/>
          <w:b/>
          <w:bCs/>
          <w:sz w:val="20"/>
          <w:szCs w:val="20"/>
        </w:rPr>
        <w:t xml:space="preserve">: for existing UE/intermediate UE/ existing gNB/ reader of topology 1, the suggested value for adjacent RB Tx leakage and Rx selectivity is listed </w:t>
      </w:r>
      <w:r>
        <w:rPr>
          <w:rFonts w:hint="eastAsia" w:ascii="Times New Roman" w:hAnsi="Times New Roman"/>
          <w:b/>
          <w:bCs/>
          <w:sz w:val="20"/>
          <w:szCs w:val="20"/>
          <w:lang w:val="en-US" w:eastAsia="zh-CN"/>
        </w:rPr>
        <w:t xml:space="preserve">as </w:t>
      </w:r>
      <w:r>
        <w:rPr>
          <w:rFonts w:hint="eastAsia" w:ascii="Times New Roman" w:hAnsi="Times New Roman"/>
          <w:b/>
          <w:bCs/>
          <w:sz w:val="20"/>
          <w:szCs w:val="20"/>
        </w:rPr>
        <w:t xml:space="preserve">in above table. </w:t>
      </w:r>
      <w:r>
        <w:rPr>
          <w:rFonts w:hint="eastAsia" w:ascii="Times New Roman" w:hAnsi="Times New Roman"/>
          <w:b/>
          <w:bCs/>
          <w:sz w:val="20"/>
          <w:szCs w:val="20"/>
          <w:lang w:val="en-US" w:eastAsia="zh-CN"/>
        </w:rPr>
        <w:t>gNB vendors are encouraged to further check gNB performance.</w:t>
      </w:r>
    </w:p>
    <w:p>
      <w:pPr>
        <w:spacing w:after="156" w:afterLines="50"/>
        <w:rPr>
          <w:rFonts w:ascii="Times New Roman" w:hAnsi="Times New Roman"/>
          <w:sz w:val="20"/>
          <w:szCs w:val="20"/>
          <w:highlight w:val="none"/>
        </w:rPr>
      </w:pPr>
      <w:r>
        <w:rPr>
          <w:rFonts w:hint="eastAsia" w:ascii="Times New Roman" w:hAnsi="Times New Roman"/>
          <w:sz w:val="20"/>
          <w:szCs w:val="20"/>
          <w:highlight w:val="none"/>
        </w:rPr>
        <w:t xml:space="preserve">For device 1 and 2a, as discussed above the ICS is assumed as 0dB since there is no in-band selectivity. For Tx leakage requirement, it is related to following several factors. </w:t>
      </w:r>
    </w:p>
    <w:p>
      <w:pPr>
        <w:numPr>
          <w:ilvl w:val="0"/>
          <w:numId w:val="16"/>
        </w:numPr>
        <w:spacing w:after="156" w:afterLines="50"/>
        <w:rPr>
          <w:rFonts w:ascii="Times New Roman" w:hAnsi="Times New Roman"/>
          <w:sz w:val="20"/>
          <w:szCs w:val="20"/>
          <w:highlight w:val="none"/>
        </w:rPr>
      </w:pPr>
      <w:r>
        <w:rPr>
          <w:rFonts w:hint="eastAsia" w:ascii="Times New Roman" w:hAnsi="Times New Roman"/>
          <w:sz w:val="20"/>
          <w:szCs w:val="20"/>
          <w:highlight w:val="none"/>
        </w:rPr>
        <w:t>D2R Data rate</w:t>
      </w:r>
    </w:p>
    <w:p>
      <w:pPr>
        <w:numPr>
          <w:ilvl w:val="0"/>
          <w:numId w:val="16"/>
        </w:numPr>
        <w:spacing w:after="156" w:afterLines="50"/>
        <w:rPr>
          <w:rFonts w:ascii="Times New Roman" w:hAnsi="Times New Roman"/>
          <w:sz w:val="20"/>
          <w:szCs w:val="20"/>
          <w:highlight w:val="none"/>
        </w:rPr>
      </w:pPr>
      <w:r>
        <w:rPr>
          <w:rFonts w:hint="eastAsia" w:ascii="Times New Roman" w:hAnsi="Times New Roman"/>
          <w:sz w:val="20"/>
          <w:szCs w:val="20"/>
          <w:highlight w:val="none"/>
        </w:rPr>
        <w:t>Coding, i.e. FEC + line coding</w:t>
      </w:r>
    </w:p>
    <w:p>
      <w:pPr>
        <w:numPr>
          <w:ilvl w:val="0"/>
          <w:numId w:val="16"/>
        </w:numPr>
        <w:spacing w:after="156" w:afterLines="50"/>
        <w:rPr>
          <w:rFonts w:ascii="Times New Roman" w:hAnsi="Times New Roman"/>
          <w:sz w:val="20"/>
          <w:szCs w:val="20"/>
          <w:highlight w:val="none"/>
        </w:rPr>
      </w:pPr>
      <w:r>
        <w:rPr>
          <w:rFonts w:hint="eastAsia" w:ascii="Times New Roman" w:hAnsi="Times New Roman"/>
          <w:sz w:val="20"/>
          <w:szCs w:val="20"/>
          <w:highlight w:val="none"/>
        </w:rPr>
        <w:t>Modulation scheme</w:t>
      </w:r>
    </w:p>
    <w:p>
      <w:pPr>
        <w:numPr>
          <w:ilvl w:val="1"/>
          <w:numId w:val="16"/>
        </w:numPr>
        <w:spacing w:after="156" w:afterLines="50"/>
        <w:rPr>
          <w:rFonts w:ascii="Times New Roman" w:hAnsi="Times New Roman"/>
          <w:sz w:val="20"/>
          <w:szCs w:val="20"/>
          <w:highlight w:val="none"/>
        </w:rPr>
      </w:pPr>
      <w:r>
        <w:rPr>
          <w:rFonts w:hint="eastAsia" w:ascii="Times New Roman" w:hAnsi="Times New Roman"/>
          <w:sz w:val="20"/>
          <w:szCs w:val="20"/>
          <w:highlight w:val="none"/>
        </w:rPr>
        <w:t>Since there is no agreement in RAN1 about small frequency shit</w:t>
      </w:r>
      <w:r>
        <w:rPr>
          <w:rFonts w:hint="eastAsia" w:ascii="Times New Roman" w:hAnsi="Times New Roman"/>
          <w:sz w:val="20"/>
          <w:szCs w:val="20"/>
          <w:highlight w:val="none"/>
          <w:lang w:val="en-US" w:eastAsia="zh-CN"/>
        </w:rPr>
        <w:t>, e.g. sub-carrier modulated miller code</w:t>
      </w:r>
      <w:r>
        <w:rPr>
          <w:rFonts w:hint="eastAsia" w:ascii="Times New Roman" w:hAnsi="Times New Roman"/>
          <w:sz w:val="20"/>
          <w:szCs w:val="20"/>
          <w:highlight w:val="none"/>
        </w:rPr>
        <w:t>, it</w:t>
      </w:r>
      <w:r>
        <w:rPr>
          <w:rFonts w:ascii="Times New Roman" w:hAnsi="Times New Roman"/>
          <w:sz w:val="20"/>
          <w:szCs w:val="20"/>
          <w:highlight w:val="none"/>
        </w:rPr>
        <w:t>’</w:t>
      </w:r>
      <w:r>
        <w:rPr>
          <w:rFonts w:hint="eastAsia" w:ascii="Times New Roman" w:hAnsi="Times New Roman"/>
          <w:sz w:val="20"/>
          <w:szCs w:val="20"/>
          <w:highlight w:val="none"/>
        </w:rPr>
        <w:t>s suggested to only considering chip modulation, e.g. OOK/BPSK</w:t>
      </w:r>
    </w:p>
    <w:p>
      <w:pPr>
        <w:spacing w:after="156" w:afterLines="50"/>
        <w:rPr>
          <w:rFonts w:ascii="Times New Roman" w:hAnsi="Times New Roman"/>
          <w:sz w:val="20"/>
          <w:szCs w:val="20"/>
          <w:highlight w:val="none"/>
        </w:rPr>
      </w:pPr>
      <w:r>
        <w:rPr>
          <w:rFonts w:hint="eastAsia" w:ascii="Times New Roman" w:hAnsi="Times New Roman"/>
          <w:sz w:val="20"/>
          <w:szCs w:val="20"/>
          <w:highlight w:val="none"/>
        </w:rPr>
        <w:t>Following list our initial simulation for the IBE performance with following parameters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52"/>
        <w:gridCol w:w="85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452" w:type="dxa"/>
          </w:tcPr>
          <w:p>
            <w:pPr>
              <w:spacing w:before="120" w:after="156" w:afterLines="50" w:line="280" w:lineRule="atLeast"/>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parameter</w:t>
            </w:r>
          </w:p>
        </w:tc>
        <w:tc>
          <w:tcPr>
            <w:tcW w:w="8510" w:type="dxa"/>
          </w:tcPr>
          <w:p>
            <w:pPr>
              <w:spacing w:before="120" w:after="156" w:afterLines="50" w:line="280" w:lineRule="atLeast"/>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spacing w:before="120" w:after="156" w:afterLines="50" w:line="280" w:lineRule="atLeast"/>
              <w:rPr>
                <w:rFonts w:hint="default" w:ascii="Times New Roman" w:hAnsi="Times New Roman" w:eastAsia="宋体"/>
                <w:sz w:val="20"/>
                <w:szCs w:val="20"/>
                <w:highlight w:val="none"/>
                <w:lang w:val="en-US" w:eastAsia="zh-CN"/>
              </w:rPr>
            </w:pPr>
            <w:r>
              <w:rPr>
                <w:rFonts w:hint="eastAsia" w:ascii="Times New Roman" w:hAnsi="Times New Roman"/>
                <w:sz w:val="20"/>
                <w:szCs w:val="20"/>
                <w:highlight w:val="none"/>
                <w:lang w:val="en-GB" w:eastAsia="en-GB"/>
              </w:rPr>
              <w:t>Data rate</w:t>
            </w:r>
          </w:p>
        </w:tc>
        <w:tc>
          <w:tcPr>
            <w:tcW w:w="8510" w:type="dxa"/>
          </w:tcPr>
          <w:p>
            <w:pPr>
              <w:spacing w:before="120" w:after="156" w:afterLines="50" w:line="280" w:lineRule="atLeast"/>
              <w:rPr>
                <w:rFonts w:hint="eastAsia"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 xml:space="preserve">We consider </w:t>
            </w:r>
            <w:r>
              <w:rPr>
                <w:rFonts w:hint="eastAsia" w:ascii="Times New Roman" w:hAnsi="Times New Roman"/>
                <w:sz w:val="20"/>
                <w:szCs w:val="20"/>
                <w:highlight w:val="none"/>
                <w:lang w:val="en-US" w:eastAsia="zh-CN"/>
              </w:rPr>
              <w:t>7</w:t>
            </w:r>
            <w:r>
              <w:rPr>
                <w:rFonts w:hint="eastAsia" w:ascii="Times New Roman" w:hAnsi="Times New Roman"/>
                <w:sz w:val="20"/>
                <w:szCs w:val="20"/>
                <w:highlight w:val="none"/>
                <w:lang w:val="en-GB" w:eastAsia="en-GB"/>
              </w:rPr>
              <w:t>kbps.</w:t>
            </w:r>
          </w:p>
          <w:p>
            <w:pPr>
              <w:spacing w:before="120" w:after="156" w:afterLines="50" w:line="280" w:lineRule="atLeast"/>
              <w:rPr>
                <w:rFonts w:hint="default" w:ascii="Times New Roman" w:hAnsi="Times New Roman" w:eastAsia="宋体"/>
                <w:sz w:val="20"/>
                <w:szCs w:val="20"/>
                <w:highlight w:val="none"/>
                <w:lang w:val="en-US" w:eastAsia="zh-CN"/>
              </w:rPr>
            </w:pPr>
            <w:r>
              <w:rPr>
                <w:rFonts w:hint="eastAsia" w:ascii="Times New Roman" w:hAnsi="Times New Roman"/>
                <w:sz w:val="20"/>
                <w:szCs w:val="20"/>
                <w:highlight w:val="none"/>
                <w:lang w:val="en-US" w:eastAsia="zh-CN"/>
              </w:rPr>
              <w:t>Larger data rate</w:t>
            </w:r>
            <w:r>
              <w:rPr>
                <w:rFonts w:hint="eastAsia" w:ascii="Times New Roman" w:hAnsi="Times New Roman"/>
                <w:sz w:val="20"/>
                <w:szCs w:val="20"/>
                <w:highlight w:val="none"/>
                <w:lang w:val="en-GB" w:eastAsia="en-GB"/>
              </w:rPr>
              <w:t xml:space="preserve"> is the worst case, it</w:t>
            </w:r>
            <w:r>
              <w:rPr>
                <w:rFonts w:ascii="Times New Roman" w:hAnsi="Times New Roman"/>
                <w:sz w:val="20"/>
                <w:szCs w:val="20"/>
                <w:highlight w:val="none"/>
                <w:lang w:val="en-GB" w:eastAsia="en-GB"/>
              </w:rPr>
              <w:t>’</w:t>
            </w:r>
            <w:r>
              <w:rPr>
                <w:rFonts w:hint="eastAsia" w:ascii="Times New Roman" w:hAnsi="Times New Roman"/>
                <w:sz w:val="20"/>
                <w:szCs w:val="20"/>
                <w:highlight w:val="none"/>
                <w:lang w:val="en-GB" w:eastAsia="en-GB"/>
              </w:rPr>
              <w:t xml:space="preserve">s suggested to use </w:t>
            </w:r>
            <w:r>
              <w:rPr>
                <w:rFonts w:hint="eastAsia" w:ascii="Times New Roman" w:hAnsi="Times New Roman"/>
                <w:sz w:val="20"/>
                <w:szCs w:val="20"/>
                <w:highlight w:val="none"/>
                <w:lang w:val="en-US" w:eastAsia="zh-CN"/>
              </w:rPr>
              <w:t>7</w:t>
            </w:r>
            <w:r>
              <w:rPr>
                <w:rFonts w:hint="eastAsia" w:ascii="Times New Roman" w:hAnsi="Times New Roman"/>
                <w:sz w:val="20"/>
                <w:szCs w:val="20"/>
                <w:highlight w:val="none"/>
                <w:lang w:val="en-GB" w:eastAsia="en-GB"/>
              </w:rPr>
              <w:t>kbps</w:t>
            </w:r>
            <w:r>
              <w:rPr>
                <w:rFonts w:hint="eastAsia" w:ascii="Times New Roman" w:hAnsi="Times New Roman"/>
                <w:sz w:val="20"/>
                <w:szCs w:val="20"/>
                <w:highlight w:val="none"/>
                <w:lang w:val="en-US" w:eastAsia="zh-CN"/>
              </w:rPr>
              <w:t xml:space="preserve"> based on RAN1 agreements.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spacing w:before="120" w:after="156" w:afterLines="50" w:line="280" w:lineRule="atLeast"/>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coding</w:t>
            </w:r>
          </w:p>
        </w:tc>
        <w:tc>
          <w:tcPr>
            <w:tcW w:w="8510" w:type="dxa"/>
          </w:tcPr>
          <w:p>
            <w:pPr>
              <w:spacing w:before="120" w:after="156" w:afterLines="50" w:line="280" w:lineRule="atLeast"/>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The FEC impact for final spectrum performance is tiny.</w:t>
            </w:r>
            <w:r>
              <w:rPr>
                <w:rFonts w:hint="eastAsia" w:ascii="Times New Roman" w:hAnsi="Times New Roman"/>
                <w:sz w:val="20"/>
                <w:szCs w:val="20"/>
                <w:highlight w:val="none"/>
                <w:lang w:val="en-US" w:eastAsia="zh-CN"/>
              </w:rPr>
              <w:t xml:space="preserve"> But this will impact finally chip rate, we use 1/3code rate convolution code.</w:t>
            </w:r>
            <w:r>
              <w:rPr>
                <w:rFonts w:hint="eastAsia" w:ascii="Times New Roman" w:hAnsi="Times New Roman"/>
                <w:sz w:val="20"/>
                <w:szCs w:val="20"/>
                <w:highlight w:val="none"/>
                <w:lang w:val="en-GB" w:eastAsia="en-GB"/>
              </w:rPr>
              <w:t xml:space="preserve"> Compared with miller code, Manchester code has wider spectrum characteristics, it</w:t>
            </w:r>
            <w:r>
              <w:rPr>
                <w:rFonts w:ascii="Times New Roman" w:hAnsi="Times New Roman"/>
                <w:sz w:val="20"/>
                <w:szCs w:val="20"/>
                <w:highlight w:val="none"/>
                <w:lang w:val="en-GB" w:eastAsia="en-GB"/>
              </w:rPr>
              <w:t>’</w:t>
            </w:r>
            <w:r>
              <w:rPr>
                <w:rFonts w:hint="eastAsia" w:ascii="Times New Roman" w:hAnsi="Times New Roman"/>
                <w:sz w:val="20"/>
                <w:szCs w:val="20"/>
                <w:highlight w:val="none"/>
                <w:lang w:val="en-GB" w:eastAsia="en-GB"/>
              </w:rPr>
              <w:t>s suggested to use Manchester code.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52" w:type="dxa"/>
          </w:tcPr>
          <w:p>
            <w:pPr>
              <w:spacing w:before="120" w:after="156" w:afterLines="50" w:line="280" w:lineRule="atLeast"/>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Modulation scheme</w:t>
            </w:r>
          </w:p>
        </w:tc>
        <w:tc>
          <w:tcPr>
            <w:tcW w:w="8510" w:type="dxa"/>
          </w:tcPr>
          <w:p>
            <w:pPr>
              <w:spacing w:before="120" w:after="156" w:afterLines="50" w:line="280" w:lineRule="atLeast"/>
              <w:rPr>
                <w:rFonts w:ascii="Times New Roman" w:hAnsi="Times New Roman"/>
                <w:sz w:val="20"/>
                <w:szCs w:val="20"/>
                <w:highlight w:val="none"/>
                <w:lang w:val="en-GB" w:eastAsia="en-GB"/>
              </w:rPr>
            </w:pPr>
            <w:r>
              <w:rPr>
                <w:rFonts w:hint="eastAsia" w:ascii="Times New Roman" w:hAnsi="Times New Roman"/>
                <w:sz w:val="20"/>
                <w:szCs w:val="20"/>
                <w:highlight w:val="none"/>
                <w:lang w:val="en-GB" w:eastAsia="en-GB"/>
              </w:rPr>
              <w:t>The spectrum characteristics of OOK modulation will much concentrate on center but BPSK will have wider spectrum bandwidth, we can use BPSK.</w:t>
            </w:r>
          </w:p>
        </w:tc>
      </w:tr>
    </w:tbl>
    <w:p>
      <w:pPr>
        <w:spacing w:after="156" w:afterLines="50"/>
        <w:rPr>
          <w:rFonts w:ascii="Times New Roman" w:hAnsi="Times New Roman"/>
          <w:sz w:val="20"/>
          <w:szCs w:val="20"/>
          <w:highlight w:val="none"/>
        </w:rPr>
      </w:pPr>
      <w:r>
        <w:rPr>
          <w:rFonts w:hint="eastAsia" w:ascii="Times New Roman" w:hAnsi="Times New Roman"/>
          <w:sz w:val="20"/>
          <w:szCs w:val="20"/>
          <w:highlight w:val="none"/>
        </w:rPr>
        <w:t xml:space="preserve">Following fig show the spectrum characteristics based on above parameters. </w:t>
      </w:r>
    </w:p>
    <w:p>
      <w:pPr>
        <w:spacing w:after="156" w:afterLines="50"/>
        <w:rPr>
          <w:rFonts w:hint="eastAsia" w:ascii="Times New Roman" w:hAnsi="Times New Roman" w:eastAsia="宋体"/>
          <w:sz w:val="20"/>
          <w:szCs w:val="20"/>
          <w:highlight w:val="none"/>
          <w:lang w:eastAsia="zh-CN"/>
        </w:rPr>
      </w:pPr>
      <w:r>
        <w:rPr>
          <w:rFonts w:hint="eastAsia" w:ascii="Times New Roman" w:hAnsi="Times New Roman" w:eastAsia="宋体"/>
          <w:sz w:val="20"/>
          <w:szCs w:val="20"/>
          <w:highlight w:val="none"/>
          <w:lang w:eastAsia="zh-CN"/>
        </w:rPr>
        <w:drawing>
          <wp:inline distT="0" distB="0" distL="114300" distR="114300">
            <wp:extent cx="6169660" cy="3331845"/>
            <wp:effectExtent l="0" t="0" r="2540" b="8255"/>
            <wp:docPr id="4" name="图片 4" descr="38b2f704b6689dd34d8a3e7ebffb3b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38b2f704b6689dd34d8a3e7ebffb3bb"/>
                    <pic:cNvPicPr>
                      <a:picLocks noChangeAspect="1"/>
                    </pic:cNvPicPr>
                  </pic:nvPicPr>
                  <pic:blipFill>
                    <a:blip r:embed="rId6"/>
                    <a:stretch>
                      <a:fillRect/>
                    </a:stretch>
                  </pic:blipFill>
                  <pic:spPr>
                    <a:xfrm>
                      <a:off x="0" y="0"/>
                      <a:ext cx="6169660" cy="3331845"/>
                    </a:xfrm>
                    <a:prstGeom prst="rect">
                      <a:avLst/>
                    </a:prstGeom>
                  </pic:spPr>
                </pic:pic>
              </a:graphicData>
            </a:graphic>
          </wp:inline>
        </w:drawing>
      </w:r>
    </w:p>
    <w:p>
      <w:pPr>
        <w:spacing w:after="156" w:afterLines="50"/>
        <w:rPr>
          <w:rFonts w:hint="eastAsia" w:ascii="Times New Roman" w:hAnsi="Times New Roman" w:eastAsia="宋体"/>
          <w:sz w:val="20"/>
          <w:szCs w:val="20"/>
          <w:highlight w:val="none"/>
          <w:lang w:eastAsia="zh-CN"/>
        </w:rPr>
      </w:pPr>
      <w:r>
        <w:rPr>
          <w:rFonts w:hint="eastAsia" w:ascii="Times New Roman" w:hAnsi="Times New Roman" w:eastAsia="宋体"/>
          <w:sz w:val="20"/>
          <w:szCs w:val="20"/>
          <w:highlight w:val="none"/>
          <w:lang w:eastAsia="zh-CN"/>
        </w:rPr>
        <w:drawing>
          <wp:inline distT="0" distB="0" distL="114300" distR="114300">
            <wp:extent cx="6169660" cy="3331845"/>
            <wp:effectExtent l="0" t="0" r="2540" b="8255"/>
            <wp:docPr id="1" name="图片 1" descr="439eefad28c889bdb3052947dcd8b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39eefad28c889bdb3052947dcd8bc0"/>
                    <pic:cNvPicPr>
                      <a:picLocks noChangeAspect="1"/>
                    </pic:cNvPicPr>
                  </pic:nvPicPr>
                  <pic:blipFill>
                    <a:blip r:embed="rId7"/>
                    <a:stretch>
                      <a:fillRect/>
                    </a:stretch>
                  </pic:blipFill>
                  <pic:spPr>
                    <a:xfrm>
                      <a:off x="0" y="0"/>
                      <a:ext cx="6169660" cy="3331845"/>
                    </a:xfrm>
                    <a:prstGeom prst="rect">
                      <a:avLst/>
                    </a:prstGeom>
                  </pic:spPr>
                </pic:pic>
              </a:graphicData>
            </a:graphic>
          </wp:inline>
        </w:drawing>
      </w:r>
    </w:p>
    <w:p>
      <w:pPr>
        <w:spacing w:after="156" w:afterLines="50"/>
        <w:rPr>
          <w:rFonts w:hint="default" w:ascii="Times New Roman" w:hAnsi="Times New Roman" w:eastAsia="宋体"/>
          <w:b/>
          <w:bCs/>
          <w:sz w:val="20"/>
          <w:szCs w:val="20"/>
          <w:highlight w:val="none"/>
          <w:lang w:val="en-US" w:eastAsia="zh-CN"/>
        </w:rPr>
      </w:pPr>
      <w:r>
        <w:rPr>
          <w:rFonts w:hint="eastAsia" w:ascii="Times New Roman" w:hAnsi="Times New Roman"/>
          <w:b/>
          <w:bCs/>
          <w:sz w:val="20"/>
          <w:szCs w:val="20"/>
          <w:highlight w:val="none"/>
          <w:lang w:val="en-US" w:eastAsia="zh-CN"/>
        </w:rPr>
        <w:t>Observation 7: OOK spectrum will much concentrate in the center frequency compared with BPSK. Besides, larger chip rate, the larger spectrum bandwidth and worse leakage performance. Compared with miller code, manchester code have worst leakage performance.</w:t>
      </w:r>
    </w:p>
    <w:p>
      <w:pPr>
        <w:spacing w:after="156" w:afterLines="50"/>
        <w:rPr>
          <w:rFonts w:hint="default" w:ascii="Times New Roman" w:hAnsi="Times New Roman" w:eastAsia="宋体"/>
          <w:sz w:val="20"/>
          <w:szCs w:val="20"/>
          <w:highlight w:val="none"/>
          <w:lang w:val="en-US" w:eastAsia="zh-CN"/>
        </w:rPr>
      </w:pPr>
      <w:r>
        <w:rPr>
          <w:rFonts w:hint="eastAsia" w:ascii="Times New Roman" w:hAnsi="Times New Roman"/>
          <w:sz w:val="20"/>
          <w:szCs w:val="20"/>
          <w:highlight w:val="none"/>
        </w:rPr>
        <w:t xml:space="preserve">When assuming D2R transmit at the frequency center, The Tx leakage is </w:t>
      </w:r>
      <w:r>
        <w:rPr>
          <w:rFonts w:hint="eastAsia" w:ascii="Times New Roman" w:hAnsi="Times New Roman"/>
          <w:sz w:val="20"/>
          <w:szCs w:val="20"/>
          <w:highlight w:val="none"/>
          <w:lang w:val="en-US" w:eastAsia="zh-CN"/>
        </w:rPr>
        <w:t>16</w:t>
      </w:r>
      <w:r>
        <w:rPr>
          <w:rFonts w:hint="eastAsia" w:ascii="Times New Roman" w:hAnsi="Times New Roman"/>
          <w:sz w:val="20"/>
          <w:szCs w:val="20"/>
          <w:highlight w:val="none"/>
        </w:rPr>
        <w:t>dBc at the 90kHz offset from center, 3</w:t>
      </w:r>
      <w:r>
        <w:rPr>
          <w:rFonts w:hint="eastAsia" w:ascii="Times New Roman" w:hAnsi="Times New Roman"/>
          <w:sz w:val="20"/>
          <w:szCs w:val="20"/>
          <w:highlight w:val="none"/>
          <w:lang w:val="en-US" w:eastAsia="zh-CN"/>
        </w:rPr>
        <w:t>1</w:t>
      </w:r>
      <w:r>
        <w:rPr>
          <w:rFonts w:hint="eastAsia" w:ascii="Times New Roman" w:hAnsi="Times New Roman"/>
          <w:sz w:val="20"/>
          <w:szCs w:val="20"/>
          <w:highlight w:val="none"/>
        </w:rPr>
        <w:t>dBc at the 270kHz offset from center, i.e. 1 guard RB away from center PRB. It</w:t>
      </w:r>
      <w:r>
        <w:rPr>
          <w:rFonts w:ascii="Times New Roman" w:hAnsi="Times New Roman"/>
          <w:sz w:val="20"/>
          <w:szCs w:val="20"/>
          <w:highlight w:val="none"/>
        </w:rPr>
        <w:t>’</w:t>
      </w:r>
      <w:r>
        <w:rPr>
          <w:rFonts w:hint="eastAsia" w:ascii="Times New Roman" w:hAnsi="Times New Roman"/>
          <w:sz w:val="20"/>
          <w:szCs w:val="20"/>
          <w:highlight w:val="none"/>
        </w:rPr>
        <w:t>s suggested to use above Tx leakage for device 1 and 2a.</w:t>
      </w:r>
      <w:r>
        <w:rPr>
          <w:rFonts w:hint="eastAsia" w:ascii="Times New Roman" w:hAnsi="Times New Roman"/>
          <w:sz w:val="20"/>
          <w:szCs w:val="20"/>
          <w:highlight w:val="none"/>
          <w:lang w:val="en-US" w:eastAsia="zh-CN"/>
        </w:rPr>
        <w:t xml:space="preserve"> if other companies have different leakage performance based on different parameter. RAN4 could finally choose two sets of parameters for final simulation.</w:t>
      </w:r>
    </w:p>
    <w:p>
      <w:pPr>
        <w:spacing w:after="156" w:afterLines="50"/>
        <w:rPr>
          <w:rFonts w:ascii="Times New Roman" w:hAnsi="Times New Roman"/>
          <w:b/>
          <w:bCs/>
          <w:sz w:val="20"/>
          <w:szCs w:val="20"/>
          <w:highlight w:val="none"/>
        </w:rPr>
      </w:pPr>
      <w:r>
        <w:rPr>
          <w:rFonts w:hint="eastAsia" w:ascii="Times New Roman" w:hAnsi="Times New Roman"/>
          <w:b/>
          <w:bCs/>
          <w:sz w:val="20"/>
          <w:szCs w:val="20"/>
          <w:highlight w:val="none"/>
        </w:rPr>
        <w:t>Proposal 1</w:t>
      </w:r>
      <w:r>
        <w:rPr>
          <w:rFonts w:hint="eastAsia" w:ascii="Times New Roman" w:hAnsi="Times New Roman"/>
          <w:b/>
          <w:bCs/>
          <w:sz w:val="20"/>
          <w:szCs w:val="20"/>
          <w:highlight w:val="none"/>
          <w:lang w:val="en-US" w:eastAsia="zh-CN"/>
        </w:rPr>
        <w:t>0</w:t>
      </w:r>
      <w:r>
        <w:rPr>
          <w:rFonts w:hint="eastAsia" w:ascii="Times New Roman" w:hAnsi="Times New Roman"/>
          <w:b/>
          <w:bCs/>
          <w:sz w:val="20"/>
          <w:szCs w:val="20"/>
          <w:highlight w:val="none"/>
        </w:rPr>
        <w:t>: for device 1 and 2a, it</w:t>
      </w:r>
      <w:r>
        <w:rPr>
          <w:rFonts w:ascii="Times New Roman" w:hAnsi="Times New Roman"/>
          <w:b/>
          <w:bCs/>
          <w:sz w:val="20"/>
          <w:szCs w:val="20"/>
          <w:highlight w:val="none"/>
        </w:rPr>
        <w:t>’</w:t>
      </w:r>
      <w:r>
        <w:rPr>
          <w:rFonts w:hint="eastAsia" w:ascii="Times New Roman" w:hAnsi="Times New Roman"/>
          <w:b/>
          <w:bCs/>
          <w:sz w:val="20"/>
          <w:szCs w:val="20"/>
          <w:highlight w:val="none"/>
        </w:rPr>
        <w:t xml:space="preserve">s suggested to use following value for IBE with assuming </w:t>
      </w:r>
      <w:r>
        <w:rPr>
          <w:rFonts w:hint="eastAsia" w:ascii="Times New Roman" w:hAnsi="Times New Roman"/>
          <w:b/>
          <w:bCs/>
          <w:sz w:val="20"/>
          <w:szCs w:val="20"/>
          <w:highlight w:val="none"/>
          <w:lang w:val="en-US" w:eastAsia="zh-CN"/>
        </w:rPr>
        <w:t>7</w:t>
      </w:r>
      <w:r>
        <w:rPr>
          <w:rFonts w:hint="eastAsia" w:ascii="Times New Roman" w:hAnsi="Times New Roman"/>
          <w:b/>
          <w:bCs/>
          <w:sz w:val="20"/>
          <w:szCs w:val="20"/>
          <w:highlight w:val="none"/>
        </w:rPr>
        <w:t xml:space="preserve">kbps D2R date rate, Manchester code, </w:t>
      </w:r>
      <w:r>
        <w:rPr>
          <w:rFonts w:hint="eastAsia" w:ascii="Times New Roman" w:hAnsi="Times New Roman"/>
          <w:b/>
          <w:bCs/>
          <w:sz w:val="20"/>
          <w:szCs w:val="20"/>
          <w:highlight w:val="none"/>
          <w:lang w:val="en-US" w:eastAsia="zh-CN"/>
        </w:rPr>
        <w:t xml:space="preserve">1/3 code rate convolution code, </w:t>
      </w:r>
      <w:r>
        <w:rPr>
          <w:rFonts w:hint="eastAsia" w:ascii="Times New Roman" w:hAnsi="Times New Roman"/>
          <w:b/>
          <w:bCs/>
          <w:sz w:val="20"/>
          <w:szCs w:val="20"/>
          <w:highlight w:val="none"/>
        </w:rPr>
        <w:t>BPSK modulation scheme. Following assume</w:t>
      </w:r>
      <w:r>
        <w:rPr>
          <w:rFonts w:hint="eastAsia" w:ascii="Times New Roman" w:hAnsi="Times New Roman"/>
          <w:b/>
          <w:bCs/>
          <w:sz w:val="20"/>
          <w:szCs w:val="20"/>
          <w:highlight w:val="none"/>
          <w:lang w:val="en-US" w:eastAsia="zh-CN"/>
        </w:rPr>
        <w:t>s that</w:t>
      </w:r>
      <w:r>
        <w:rPr>
          <w:rFonts w:hint="eastAsia" w:ascii="Times New Roman" w:hAnsi="Times New Roman"/>
          <w:b/>
          <w:bCs/>
          <w:sz w:val="20"/>
          <w:szCs w:val="20"/>
          <w:highlight w:val="none"/>
        </w:rPr>
        <w:t xml:space="preserve"> Tx signal is at frequency center</w:t>
      </w:r>
    </w:p>
    <w:p>
      <w:pPr>
        <w:numPr>
          <w:ilvl w:val="0"/>
          <w:numId w:val="16"/>
        </w:numPr>
        <w:spacing w:after="156" w:afterLines="50"/>
        <w:rPr>
          <w:rFonts w:ascii="Times New Roman" w:hAnsi="Times New Roman"/>
          <w:b/>
          <w:bCs/>
          <w:sz w:val="20"/>
          <w:szCs w:val="20"/>
          <w:highlight w:val="none"/>
        </w:rPr>
      </w:pPr>
      <w:r>
        <w:rPr>
          <w:rFonts w:hint="eastAsia" w:ascii="Times New Roman" w:hAnsi="Times New Roman"/>
          <w:b/>
          <w:bCs/>
          <w:sz w:val="20"/>
          <w:szCs w:val="20"/>
          <w:highlight w:val="none"/>
          <w:lang w:val="en-US" w:eastAsia="zh-CN"/>
        </w:rPr>
        <w:t>16</w:t>
      </w:r>
      <w:r>
        <w:rPr>
          <w:rFonts w:hint="eastAsia" w:ascii="Times New Roman" w:hAnsi="Times New Roman"/>
          <w:b/>
          <w:bCs/>
          <w:sz w:val="20"/>
          <w:szCs w:val="20"/>
          <w:highlight w:val="none"/>
        </w:rPr>
        <w:t>dBc at the edge of center 1PRB, i.e. 90kHz offset from frequency center</w:t>
      </w:r>
    </w:p>
    <w:p>
      <w:pPr>
        <w:numPr>
          <w:ilvl w:val="0"/>
          <w:numId w:val="0"/>
        </w:numPr>
        <w:spacing w:after="156" w:afterLines="50"/>
        <w:rPr>
          <w:rFonts w:hint="default" w:ascii="Times New Roman" w:hAnsi="Times New Roman" w:eastAsia="宋体"/>
          <w:b/>
          <w:bCs/>
          <w:sz w:val="20"/>
          <w:szCs w:val="20"/>
          <w:highlight w:val="none"/>
          <w:lang w:val="en-US" w:eastAsia="zh-CN"/>
        </w:rPr>
      </w:pPr>
      <w:r>
        <w:rPr>
          <w:rFonts w:hint="eastAsia" w:ascii="Times New Roman" w:hAnsi="Times New Roman"/>
          <w:b/>
          <w:bCs/>
          <w:sz w:val="20"/>
          <w:szCs w:val="20"/>
          <w:highlight w:val="none"/>
          <w:lang w:val="en-US" w:eastAsia="zh-CN"/>
        </w:rPr>
        <w:t>Proposal 11: if other companies have different device leakage performance based on different parameter, RAN4 could finally assume two sets of assumptions for final simulation.</w:t>
      </w:r>
    </w:p>
    <w:p>
      <w:pPr>
        <w:pStyle w:val="5"/>
        <w:numPr>
          <w:ilvl w:val="3"/>
          <w:numId w:val="0"/>
        </w:numPr>
        <w:bidi w:val="0"/>
        <w:ind w:leftChars="0"/>
        <w:rPr>
          <w:rFonts w:hint="default"/>
          <w:lang w:val="en-US" w:eastAsia="zh-CN"/>
        </w:rPr>
      </w:pPr>
      <w:r>
        <w:rPr>
          <w:rFonts w:hint="eastAsia"/>
          <w:lang w:val="en-US" w:eastAsia="zh-CN"/>
        </w:rPr>
        <w:t>2.3.2 general parameters and layout</w:t>
      </w:r>
    </w:p>
    <w:p>
      <w:pPr>
        <w:spacing w:after="156" w:afterLines="50"/>
        <w:rPr>
          <w:rFonts w:hint="default" w:ascii="Times New Roman" w:hAnsi="Times New Roman" w:eastAsia="宋体"/>
          <w:b w:val="0"/>
          <w:bCs w:val="0"/>
          <w:sz w:val="20"/>
          <w:szCs w:val="20"/>
          <w:highlight w:val="none"/>
          <w:lang w:val="en-US" w:eastAsia="zh-CN"/>
        </w:rPr>
      </w:pPr>
      <w:r>
        <w:rPr>
          <w:rFonts w:hint="eastAsia" w:ascii="Times New Roman" w:hAnsi="Times New Roman"/>
          <w:b w:val="0"/>
          <w:bCs w:val="0"/>
          <w:sz w:val="20"/>
          <w:szCs w:val="20"/>
          <w:highlight w:val="none"/>
          <w:lang w:val="en-US" w:eastAsia="zh-CN"/>
        </w:rPr>
        <w:t>In last meeting, we almost conclude all simulation parameters for calibration purpose which takes lots of efforts. For the formal simulation, 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suggested to reuse as much assumption as in calibration unless some parameters that are regarded as not reasonable based on initial results from calibration.</w:t>
      </w:r>
    </w:p>
    <w:p>
      <w:pPr>
        <w:spacing w:after="156" w:afterLines="50"/>
        <w:rPr>
          <w:rFonts w:hint="eastAsia" w:ascii="Times New Roman" w:hAnsi="Times New Roman"/>
          <w:b/>
          <w:bCs/>
          <w:sz w:val="20"/>
          <w:szCs w:val="20"/>
          <w:highlight w:val="none"/>
        </w:rPr>
      </w:pPr>
      <w:r>
        <w:rPr>
          <w:rFonts w:hint="eastAsia" w:ascii="Times New Roman" w:hAnsi="Times New Roman"/>
          <w:b/>
          <w:bCs/>
          <w:sz w:val="20"/>
          <w:szCs w:val="20"/>
          <w:highlight w:val="none"/>
        </w:rPr>
        <w:t xml:space="preserve">Proposal </w:t>
      </w:r>
      <w:r>
        <w:rPr>
          <w:rFonts w:hint="eastAsia" w:ascii="Times New Roman" w:hAnsi="Times New Roman"/>
          <w:b/>
          <w:bCs/>
          <w:sz w:val="20"/>
          <w:szCs w:val="20"/>
          <w:highlight w:val="none"/>
          <w:lang w:val="en-US" w:eastAsia="zh-CN"/>
        </w:rPr>
        <w:t>12</w:t>
      </w:r>
      <w:r>
        <w:rPr>
          <w:rFonts w:hint="eastAsia" w:ascii="Times New Roman" w:hAnsi="Times New Roman"/>
          <w:b/>
          <w:bCs/>
          <w:sz w:val="20"/>
          <w:szCs w:val="20"/>
          <w:highlight w:val="none"/>
        </w:rPr>
        <w:t>: it</w:t>
      </w:r>
      <w:r>
        <w:rPr>
          <w:rFonts w:ascii="Times New Roman" w:hAnsi="Times New Roman"/>
          <w:b/>
          <w:bCs/>
          <w:sz w:val="20"/>
          <w:szCs w:val="20"/>
          <w:highlight w:val="none"/>
        </w:rPr>
        <w:t>’</w:t>
      </w:r>
      <w:r>
        <w:rPr>
          <w:rFonts w:hint="eastAsia" w:ascii="Times New Roman" w:hAnsi="Times New Roman"/>
          <w:b/>
          <w:bCs/>
          <w:sz w:val="20"/>
          <w:szCs w:val="20"/>
          <w:highlight w:val="none"/>
        </w:rPr>
        <w:t xml:space="preserve">s suggested to use </w:t>
      </w:r>
      <w:r>
        <w:rPr>
          <w:rFonts w:hint="eastAsia" w:ascii="Times New Roman" w:hAnsi="Times New Roman"/>
          <w:b/>
          <w:bCs/>
          <w:sz w:val="20"/>
          <w:szCs w:val="20"/>
          <w:highlight w:val="none"/>
          <w:lang w:val="en-US" w:eastAsia="zh-CN"/>
        </w:rPr>
        <w:t>as much assumption in calibration phase as possible unless some parameters that are regarded as not reasonable based on initial results from calibration</w:t>
      </w:r>
      <w:r>
        <w:rPr>
          <w:rFonts w:hint="eastAsia" w:ascii="Times New Roman" w:hAnsi="Times New Roman"/>
          <w:b/>
          <w:bCs/>
          <w:sz w:val="20"/>
          <w:szCs w:val="20"/>
          <w:highlight w:val="none"/>
        </w:rPr>
        <w:t>.</w:t>
      </w:r>
    </w:p>
    <w:p>
      <w:pPr>
        <w:spacing w:after="156" w:afterLines="50"/>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Following we just list the parameters that we think need to be updated based on calibration results. For other parameters, 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suggested to reuse calibration assumptions.</w:t>
      </w:r>
    </w:p>
    <w:p>
      <w:pPr>
        <w:spacing w:after="156" w:afterLines="50"/>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For general parameters, 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suggested to use the parameters in following table for calibration and formal simulations. 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noted the main reason of the difference assumption between calibration and formal simulation is because RAN1 conclude coding, scheme related assumption after we have finish discussion of calibration parameters.</w:t>
      </w:r>
    </w:p>
    <w:p>
      <w:pPr>
        <w:tabs>
          <w:tab w:val="left" w:pos="720"/>
        </w:tabs>
        <w:spacing w:after="156" w:afterLines="50"/>
        <w:rPr>
          <w:rFonts w:ascii="Times New Roman" w:hAnsi="Times New Roman"/>
          <w:sz w:val="20"/>
          <w:szCs w:val="20"/>
        </w:rPr>
      </w:pPr>
      <w:r>
        <w:rPr>
          <w:rFonts w:hint="eastAsia" w:ascii="Times New Roman" w:hAnsi="Times New Roman"/>
          <w:sz w:val="20"/>
          <w:szCs w:val="20"/>
        </w:rPr>
        <w:t>It</w:t>
      </w:r>
      <w:r>
        <w:rPr>
          <w:rFonts w:ascii="Times New Roman" w:hAnsi="Times New Roman"/>
          <w:sz w:val="20"/>
          <w:szCs w:val="20"/>
        </w:rPr>
        <w:t>’</w:t>
      </w:r>
      <w:r>
        <w:rPr>
          <w:rFonts w:hint="eastAsia" w:ascii="Times New Roman" w:hAnsi="Times New Roman"/>
          <w:sz w:val="20"/>
          <w:szCs w:val="20"/>
        </w:rPr>
        <w:t>s suggested to use the parameters in above table.</w:t>
      </w:r>
    </w:p>
    <w:tbl>
      <w:tblPr>
        <w:tblStyle w:val="45"/>
        <w:tblW w:w="996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63"/>
        <w:gridCol w:w="3599"/>
        <w:gridCol w:w="359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5" w:hRule="atLeast"/>
        </w:trPr>
        <w:tc>
          <w:tcPr>
            <w:tcW w:w="2763" w:type="dxa"/>
          </w:tcPr>
          <w:p>
            <w:pPr>
              <w:overflowPunct w:val="0"/>
              <w:autoSpaceDE w:val="0"/>
              <w:autoSpaceDN w:val="0"/>
              <w:adjustRightInd w:val="0"/>
              <w:textAlignment w:val="baseline"/>
              <w:rPr>
                <w:rFonts w:ascii="Times New Roman" w:hAnsi="Times New Roman" w:eastAsia="Yu Mincho"/>
                <w:b/>
                <w:bCs/>
                <w:sz w:val="20"/>
                <w:szCs w:val="20"/>
              </w:rPr>
            </w:pPr>
            <w:r>
              <w:rPr>
                <w:rFonts w:ascii="Times New Roman" w:hAnsi="Times New Roman" w:eastAsia="Yu Mincho"/>
                <w:b/>
                <w:bCs/>
                <w:sz w:val="20"/>
                <w:szCs w:val="20"/>
              </w:rPr>
              <w:t>General Parameter</w:t>
            </w:r>
          </w:p>
        </w:tc>
        <w:tc>
          <w:tcPr>
            <w:tcW w:w="3599" w:type="dxa"/>
          </w:tcPr>
          <w:p>
            <w:pPr>
              <w:overflowPunct w:val="0"/>
              <w:autoSpaceDE w:val="0"/>
              <w:autoSpaceDN w:val="0"/>
              <w:adjustRightInd w:val="0"/>
              <w:textAlignment w:val="baseline"/>
              <w:rPr>
                <w:rFonts w:hint="default"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Calibration purpose</w:t>
            </w:r>
          </w:p>
        </w:tc>
        <w:tc>
          <w:tcPr>
            <w:tcW w:w="3599" w:type="dxa"/>
          </w:tcPr>
          <w:p>
            <w:pPr>
              <w:overflowPunct w:val="0"/>
              <w:autoSpaceDE w:val="0"/>
              <w:autoSpaceDN w:val="0"/>
              <w:adjustRightInd w:val="0"/>
              <w:textAlignment w:val="baseline"/>
              <w:rPr>
                <w:rFonts w:hint="default" w:ascii="Times New Roman" w:hAnsi="Times New Roman" w:eastAsia="宋体"/>
                <w:b/>
                <w:bCs/>
                <w:sz w:val="20"/>
                <w:szCs w:val="20"/>
                <w:lang w:val="en-US" w:eastAsia="zh-CN"/>
              </w:rPr>
            </w:pPr>
            <w:r>
              <w:rPr>
                <w:rFonts w:hint="eastAsia" w:ascii="Times New Roman" w:hAnsi="Times New Roman" w:eastAsia="宋体"/>
                <w:b/>
                <w:bCs/>
                <w:sz w:val="20"/>
                <w:szCs w:val="20"/>
                <w:lang w:val="en-US" w:eastAsia="zh-CN"/>
              </w:rPr>
              <w:t>Formal simulation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6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Carrier frequency</w:t>
            </w:r>
          </w:p>
        </w:tc>
        <w:tc>
          <w:tcPr>
            <w:tcW w:w="359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900 MHz</w:t>
            </w:r>
            <w:r>
              <w:rPr>
                <w:rFonts w:hint="eastAsia" w:ascii="Times New Roman" w:hAnsi="Times New Roman" w:eastAsia="Yu Mincho"/>
                <w:sz w:val="20"/>
                <w:szCs w:val="20"/>
              </w:rPr>
              <w:t xml:space="preserve"> as baseline</w:t>
            </w:r>
          </w:p>
        </w:tc>
        <w:tc>
          <w:tcPr>
            <w:tcW w:w="3599" w:type="dxa"/>
          </w:tcPr>
          <w:p>
            <w:pPr>
              <w:overflowPunct w:val="0"/>
              <w:autoSpaceDE w:val="0"/>
              <w:autoSpaceDN w:val="0"/>
              <w:adjustRightInd w:val="0"/>
              <w:textAlignment w:val="baseline"/>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900MHz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trPr>
        <w:tc>
          <w:tcPr>
            <w:tcW w:w="276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Channel BW for NR</w:t>
            </w:r>
          </w:p>
        </w:tc>
        <w:tc>
          <w:tcPr>
            <w:tcW w:w="359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10MHz</w:t>
            </w:r>
            <w:r>
              <w:rPr>
                <w:rFonts w:ascii="Times New Roman" w:hAnsi="Times New Roman" w:eastAsiaTheme="minorEastAsia"/>
                <w:sz w:val="20"/>
                <w:szCs w:val="20"/>
              </w:rPr>
              <w:t xml:space="preserve"> </w:t>
            </w:r>
            <w:r>
              <w:rPr>
                <w:rFonts w:ascii="Times New Roman" w:hAnsi="Times New Roman" w:eastAsia="Yu Mincho"/>
                <w:sz w:val="20"/>
                <w:szCs w:val="20"/>
              </w:rPr>
              <w:t>with 15KHz SCS</w:t>
            </w:r>
            <w:r>
              <w:rPr>
                <w:rFonts w:hint="eastAsia" w:ascii="Times New Roman" w:hAnsi="Times New Roman" w:eastAsia="Yu Mincho"/>
                <w:sz w:val="20"/>
                <w:szCs w:val="20"/>
              </w:rPr>
              <w:t xml:space="preserve"> (M)</w:t>
            </w:r>
          </w:p>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Theme="minorEastAsia"/>
                <w:sz w:val="20"/>
                <w:szCs w:val="20"/>
              </w:rPr>
              <w:t>20MHz</w:t>
            </w:r>
            <w:r>
              <w:rPr>
                <w:rFonts w:ascii="Times New Roman" w:hAnsi="Times New Roman" w:eastAsia="Yu Mincho"/>
                <w:sz w:val="20"/>
                <w:szCs w:val="20"/>
              </w:rPr>
              <w:t xml:space="preserve"> with 15KHz SCS</w:t>
            </w:r>
            <w:r>
              <w:rPr>
                <w:rFonts w:hint="eastAsia" w:ascii="Times New Roman" w:hAnsi="Times New Roman" w:eastAsia="Yu Mincho"/>
                <w:sz w:val="20"/>
                <w:szCs w:val="20"/>
              </w:rPr>
              <w:t xml:space="preserve"> (O)</w:t>
            </w:r>
          </w:p>
        </w:tc>
        <w:tc>
          <w:tcPr>
            <w:tcW w:w="359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10MHz</w:t>
            </w:r>
            <w:r>
              <w:rPr>
                <w:rFonts w:ascii="Times New Roman" w:hAnsi="Times New Roman" w:eastAsiaTheme="minorEastAsia"/>
                <w:sz w:val="20"/>
                <w:szCs w:val="20"/>
              </w:rPr>
              <w:t xml:space="preserve"> </w:t>
            </w:r>
            <w:r>
              <w:rPr>
                <w:rFonts w:ascii="Times New Roman" w:hAnsi="Times New Roman" w:eastAsia="Yu Mincho"/>
                <w:sz w:val="20"/>
                <w:szCs w:val="20"/>
              </w:rPr>
              <w:t>with 15KHz SCS</w:t>
            </w:r>
            <w:r>
              <w:rPr>
                <w:rFonts w:hint="eastAsia" w:ascii="Times New Roman" w:hAnsi="Times New Roman" w:eastAsia="Yu Mincho"/>
                <w:sz w:val="20"/>
                <w:szCs w:val="20"/>
              </w:rPr>
              <w:t xml:space="preserve"> (M)</w:t>
            </w:r>
          </w:p>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Theme="minorEastAsia"/>
                <w:sz w:val="20"/>
                <w:szCs w:val="20"/>
              </w:rPr>
              <w:t>20MHz</w:t>
            </w:r>
            <w:r>
              <w:rPr>
                <w:rFonts w:ascii="Times New Roman" w:hAnsi="Times New Roman" w:eastAsia="Yu Mincho"/>
                <w:sz w:val="20"/>
                <w:szCs w:val="20"/>
              </w:rPr>
              <w:t xml:space="preserve"> with 15KHz SCS</w:t>
            </w:r>
            <w:r>
              <w:rPr>
                <w:rFonts w:hint="eastAsia" w:ascii="Times New Roman" w:hAnsi="Times New Roman" w:eastAsia="Yu Mincho"/>
                <w:sz w:val="20"/>
                <w:szCs w:val="20"/>
              </w:rPr>
              <w:t xml:space="preserve"> (O)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276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Channel BW for AIOT</w:t>
            </w:r>
          </w:p>
        </w:tc>
        <w:tc>
          <w:tcPr>
            <w:tcW w:w="3599" w:type="dxa"/>
          </w:tcPr>
          <w:p>
            <w:pPr>
              <w:overflowPunct w:val="0"/>
              <w:autoSpaceDE w:val="0"/>
              <w:autoSpaceDN w:val="0"/>
              <w:adjustRightInd w:val="0"/>
              <w:textAlignment w:val="baseline"/>
              <w:rPr>
                <w:rFonts w:ascii="Times New Roman" w:hAnsi="Times New Roman" w:eastAsia="Yu Mincho"/>
                <w:sz w:val="20"/>
                <w:szCs w:val="20"/>
              </w:rPr>
            </w:pPr>
            <w:r>
              <w:rPr>
                <w:rFonts w:hint="eastAsia" w:ascii="Times New Roman" w:hAnsi="Times New Roman" w:eastAsia="宋体"/>
                <w:sz w:val="20"/>
                <w:szCs w:val="20"/>
                <w:lang w:val="en-US" w:eastAsia="zh-CN"/>
              </w:rPr>
              <w:t>R2D</w:t>
            </w:r>
            <w:r>
              <w:rPr>
                <w:rFonts w:ascii="Times New Roman" w:hAnsi="Times New Roman" w:eastAsia="Yu Mincho"/>
                <w:sz w:val="20"/>
                <w:szCs w:val="20"/>
              </w:rPr>
              <w:t>: 180kHz with 15KHz SCS</w:t>
            </w:r>
          </w:p>
          <w:p>
            <w:pPr>
              <w:overflowPunct w:val="0"/>
              <w:autoSpaceDE w:val="0"/>
              <w:autoSpaceDN w:val="0"/>
              <w:adjustRightInd w:val="0"/>
              <w:textAlignment w:val="baseline"/>
              <w:rPr>
                <w:rFonts w:ascii="Times New Roman" w:hAnsi="Times New Roman" w:eastAsiaTheme="minorEastAsia"/>
                <w:sz w:val="20"/>
                <w:szCs w:val="20"/>
              </w:rPr>
            </w:pPr>
            <w:r>
              <w:rPr>
                <w:rFonts w:hint="eastAsia" w:ascii="Times New Roman" w:hAnsi="Times New Roman" w:eastAsia="宋体"/>
                <w:sz w:val="20"/>
                <w:szCs w:val="20"/>
                <w:lang w:val="en-US" w:eastAsia="zh-CN"/>
              </w:rPr>
              <w:t>D2R</w:t>
            </w:r>
            <w:r>
              <w:rPr>
                <w:rFonts w:ascii="Times New Roman" w:hAnsi="Times New Roman" w:eastAsia="Yu Mincho"/>
                <w:sz w:val="20"/>
                <w:szCs w:val="20"/>
              </w:rPr>
              <w:t>: 15KHz</w:t>
            </w:r>
            <w:r>
              <w:rPr>
                <w:rFonts w:ascii="Times New Roman" w:hAnsi="Times New Roman" w:eastAsiaTheme="minorEastAsia"/>
                <w:sz w:val="20"/>
                <w:szCs w:val="20"/>
              </w:rPr>
              <w:t xml:space="preserve"> or 180KHz</w:t>
            </w:r>
          </w:p>
        </w:tc>
        <w:tc>
          <w:tcPr>
            <w:tcW w:w="3599" w:type="dxa"/>
          </w:tcPr>
          <w:p>
            <w:pPr>
              <w:overflowPunct w:val="0"/>
              <w:autoSpaceDE w:val="0"/>
              <w:autoSpaceDN w:val="0"/>
              <w:adjustRightInd w:val="0"/>
              <w:textAlignment w:val="baseline"/>
              <w:rPr>
                <w:rFonts w:ascii="Times New Roman" w:hAnsi="Times New Roman" w:eastAsia="Yu Mincho"/>
                <w:sz w:val="20"/>
                <w:szCs w:val="20"/>
              </w:rPr>
            </w:pPr>
            <w:r>
              <w:rPr>
                <w:rFonts w:hint="eastAsia" w:ascii="Times New Roman" w:hAnsi="Times New Roman" w:eastAsia="宋体"/>
                <w:sz w:val="20"/>
                <w:szCs w:val="20"/>
                <w:lang w:val="en-US" w:eastAsia="zh-CN"/>
              </w:rPr>
              <w:t>R2D</w:t>
            </w:r>
            <w:r>
              <w:rPr>
                <w:rFonts w:ascii="Times New Roman" w:hAnsi="Times New Roman" w:eastAsia="Yu Mincho"/>
                <w:sz w:val="20"/>
                <w:szCs w:val="20"/>
              </w:rPr>
              <w:t>: 180kHz with 15KHz SCS</w:t>
            </w:r>
          </w:p>
          <w:p>
            <w:pPr>
              <w:overflowPunct w:val="0"/>
              <w:autoSpaceDE w:val="0"/>
              <w:autoSpaceDN w:val="0"/>
              <w:adjustRightInd w:val="0"/>
              <w:textAlignment w:val="baseline"/>
              <w:rPr>
                <w:rFonts w:ascii="Times New Roman" w:hAnsi="Times New Roman" w:eastAsia="Yu Mincho"/>
                <w:sz w:val="20"/>
                <w:szCs w:val="20"/>
              </w:rPr>
            </w:pPr>
            <w:r>
              <w:rPr>
                <w:rFonts w:hint="eastAsia" w:ascii="Times New Roman" w:hAnsi="Times New Roman" w:eastAsia="宋体"/>
                <w:sz w:val="20"/>
                <w:szCs w:val="20"/>
                <w:lang w:val="en-US" w:eastAsia="zh-CN"/>
              </w:rPr>
              <w:t>D2R</w:t>
            </w:r>
            <w:r>
              <w:rPr>
                <w:rFonts w:ascii="Times New Roman" w:hAnsi="Times New Roman" w:eastAsia="Yu Mincho"/>
                <w:sz w:val="20"/>
                <w:szCs w:val="20"/>
              </w:rPr>
              <w:t xml:space="preserve">: </w:t>
            </w:r>
            <w:r>
              <w:rPr>
                <w:rFonts w:hint="eastAsia" w:ascii="Times New Roman" w:hAnsi="Times New Roman" w:eastAsia="宋体"/>
                <w:sz w:val="20"/>
                <w:szCs w:val="20"/>
                <w:lang w:val="en-US" w:eastAsia="zh-CN"/>
              </w:rPr>
              <w:t>90</w:t>
            </w:r>
            <w:r>
              <w:rPr>
                <w:rFonts w:ascii="Times New Roman" w:hAnsi="Times New Roman" w:eastAsia="Yu Mincho"/>
                <w:sz w:val="20"/>
                <w:szCs w:val="20"/>
              </w:rPr>
              <w:t>KHz</w:t>
            </w:r>
          </w:p>
          <w:p>
            <w:pPr>
              <w:overflowPunct w:val="0"/>
              <w:autoSpaceDE w:val="0"/>
              <w:autoSpaceDN w:val="0"/>
              <w:adjustRightInd w:val="0"/>
              <w:textAlignment w:val="baseline"/>
              <w:rPr>
                <w:rFonts w:hint="default" w:ascii="Times New Roman" w:hAnsi="Times New Roman" w:eastAsia="宋体"/>
                <w:sz w:val="20"/>
                <w:szCs w:val="20"/>
                <w:lang w:val="en-US" w:eastAsia="zh-CN"/>
              </w:rPr>
            </w:pPr>
            <w:r>
              <w:rPr>
                <w:rFonts w:hint="eastAsia" w:ascii="Times New Roman" w:hAnsi="Times New Roman" w:eastAsia="宋体"/>
                <w:sz w:val="20"/>
                <w:szCs w:val="20"/>
                <w:lang w:val="en-US" w:eastAsia="zh-CN"/>
              </w:rPr>
              <w:t>Noted: for D2R, as discussed above, we still need to know the interference and noise bandwidth. From device Tx side, the bandwidth is much similar as chip rate that device use, from reader Rx side,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reasonable assumption the bandwidth is multiple integer of 15kHz. Combing the Tx and Rx side, it</w:t>
            </w:r>
            <w:r>
              <w:rPr>
                <w:rFonts w:hint="default" w:ascii="Times New Roman" w:hAnsi="Times New Roman" w:eastAsia="宋体"/>
                <w:sz w:val="20"/>
                <w:szCs w:val="20"/>
                <w:lang w:val="en-US" w:eastAsia="zh-CN"/>
              </w:rPr>
              <w:t>’</w:t>
            </w:r>
            <w:r>
              <w:rPr>
                <w:rFonts w:hint="eastAsia" w:ascii="Times New Roman" w:hAnsi="Times New Roman" w:eastAsia="宋体"/>
                <w:sz w:val="20"/>
                <w:szCs w:val="20"/>
                <w:lang w:val="en-US" w:eastAsia="zh-CN"/>
              </w:rPr>
              <w:t>s reasonable to assume D2R bandwidth = ceil (chip rate/15kHz) *15kHz. Above 90kHz is calculated assuming 7kbps information rate, 1/3 code rate of convolutional code, 1/2 rate of manchester code with 42kbps chip 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76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 xml:space="preserve">A-IoT </w:t>
            </w:r>
            <w:r>
              <w:rPr>
                <w:rFonts w:hint="eastAsia" w:ascii="Times New Roman" w:hAnsi="Times New Roman" w:eastAsia="宋体"/>
                <w:sz w:val="20"/>
                <w:szCs w:val="20"/>
                <w:lang w:val="en-US" w:eastAsia="zh-CN"/>
              </w:rPr>
              <w:t>R2D</w:t>
            </w:r>
            <w:r>
              <w:rPr>
                <w:rFonts w:ascii="Times New Roman" w:hAnsi="Times New Roman" w:eastAsia="Yu Mincho"/>
                <w:sz w:val="20"/>
                <w:szCs w:val="20"/>
              </w:rPr>
              <w:t xml:space="preserve"> power control</w:t>
            </w:r>
          </w:p>
        </w:tc>
        <w:tc>
          <w:tcPr>
            <w:tcW w:w="359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No</w:t>
            </w:r>
          </w:p>
        </w:tc>
        <w:tc>
          <w:tcPr>
            <w:tcW w:w="3599" w:type="dxa"/>
            <w:vAlign w:val="top"/>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76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 xml:space="preserve">A-IoT </w:t>
            </w:r>
            <w:r>
              <w:rPr>
                <w:rFonts w:hint="eastAsia" w:ascii="Times New Roman" w:hAnsi="Times New Roman" w:eastAsia="宋体"/>
                <w:sz w:val="20"/>
                <w:szCs w:val="20"/>
                <w:lang w:val="en-US" w:eastAsia="zh-CN"/>
              </w:rPr>
              <w:t>D2R</w:t>
            </w:r>
            <w:r>
              <w:rPr>
                <w:rFonts w:ascii="Times New Roman" w:hAnsi="Times New Roman" w:eastAsia="Yu Mincho"/>
                <w:sz w:val="20"/>
                <w:szCs w:val="20"/>
              </w:rPr>
              <w:t xml:space="preserve"> power control</w:t>
            </w:r>
          </w:p>
        </w:tc>
        <w:tc>
          <w:tcPr>
            <w:tcW w:w="359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No</w:t>
            </w:r>
          </w:p>
        </w:tc>
        <w:tc>
          <w:tcPr>
            <w:tcW w:w="3599" w:type="dxa"/>
            <w:vAlign w:val="top"/>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76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Traffic model</w:t>
            </w:r>
          </w:p>
        </w:tc>
        <w:tc>
          <w:tcPr>
            <w:tcW w:w="3599"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Full buffer</w:t>
            </w:r>
          </w:p>
        </w:tc>
        <w:tc>
          <w:tcPr>
            <w:tcW w:w="3599" w:type="dxa"/>
            <w:vAlign w:val="top"/>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Full buffer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763" w:type="dxa"/>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Frequency reuse</w:t>
            </w:r>
          </w:p>
        </w:tc>
        <w:tc>
          <w:tcPr>
            <w:tcW w:w="3599"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Yu Mincho"/>
                <w:sz w:val="20"/>
                <w:szCs w:val="20"/>
              </w:rPr>
              <w:t>1</w:t>
            </w:r>
          </w:p>
        </w:tc>
        <w:tc>
          <w:tcPr>
            <w:tcW w:w="3599" w:type="dxa"/>
            <w:vAlign w:val="top"/>
          </w:tcPr>
          <w:p>
            <w:pPr>
              <w:overflowPunct w:val="0"/>
              <w:autoSpaceDE w:val="0"/>
              <w:autoSpaceDN w:val="0"/>
              <w:adjustRightInd w:val="0"/>
              <w:textAlignment w:val="baseline"/>
              <w:rPr>
                <w:rFonts w:ascii="Times New Roman" w:hAnsi="Times New Roman" w:eastAsia="Yu Mincho"/>
                <w:sz w:val="20"/>
                <w:szCs w:val="20"/>
              </w:rPr>
            </w:pPr>
            <w:r>
              <w:rPr>
                <w:rFonts w:ascii="Times New Roman" w:hAnsi="Times New Roman" w:eastAsia="Yu Mincho"/>
                <w:sz w:val="20"/>
                <w:szCs w:val="20"/>
              </w:rPr>
              <w:t>1</w:t>
            </w:r>
          </w:p>
        </w:tc>
      </w:tr>
    </w:tbl>
    <w:p>
      <w:pPr>
        <w:tabs>
          <w:tab w:val="left" w:pos="720"/>
        </w:tabs>
        <w:spacing w:after="156" w:afterLines="50"/>
        <w:rPr>
          <w:rFonts w:ascii="Times New Roman" w:hAnsi="Times New Roman"/>
          <w:sz w:val="20"/>
          <w:szCs w:val="20"/>
        </w:rPr>
      </w:pPr>
    </w:p>
    <w:p>
      <w:pPr>
        <w:tabs>
          <w:tab w:val="left" w:pos="720"/>
        </w:tabs>
        <w:spacing w:after="156" w:afterLines="50"/>
        <w:rPr>
          <w:rFonts w:hint="eastAsia" w:ascii="Times New Roman" w:hAnsi="Times New Roman"/>
          <w:b/>
          <w:bCs/>
          <w:sz w:val="20"/>
          <w:szCs w:val="20"/>
        </w:rPr>
      </w:pPr>
      <w:r>
        <w:rPr>
          <w:rFonts w:hint="eastAsia" w:ascii="Times New Roman" w:hAnsi="Times New Roman"/>
          <w:b/>
          <w:bCs/>
          <w:sz w:val="20"/>
          <w:szCs w:val="20"/>
        </w:rPr>
        <w:t>Proposal 1</w:t>
      </w:r>
      <w:r>
        <w:rPr>
          <w:rFonts w:hint="eastAsia" w:ascii="Times New Roman" w:hAnsi="Times New Roman"/>
          <w:b/>
          <w:bCs/>
          <w:sz w:val="20"/>
          <w:szCs w:val="20"/>
          <w:lang w:val="en-US" w:eastAsia="zh-CN"/>
        </w:rPr>
        <w:t>3</w:t>
      </w:r>
      <w:r>
        <w:rPr>
          <w:rFonts w:hint="eastAsia" w:ascii="Times New Roman" w:hAnsi="Times New Roman"/>
          <w:b/>
          <w:bCs/>
          <w:sz w:val="20"/>
          <w:szCs w:val="20"/>
        </w:rPr>
        <w:t>: it</w:t>
      </w:r>
      <w:r>
        <w:rPr>
          <w:rFonts w:ascii="Times New Roman" w:hAnsi="Times New Roman"/>
          <w:b/>
          <w:bCs/>
          <w:sz w:val="20"/>
          <w:szCs w:val="20"/>
        </w:rPr>
        <w:t>’</w:t>
      </w:r>
      <w:r>
        <w:rPr>
          <w:rFonts w:hint="eastAsia" w:ascii="Times New Roman" w:hAnsi="Times New Roman"/>
          <w:b/>
          <w:bCs/>
          <w:sz w:val="20"/>
          <w:szCs w:val="20"/>
        </w:rPr>
        <w:t>s suggested to use the parameter in above table.</w:t>
      </w:r>
    </w:p>
    <w:p>
      <w:pPr>
        <w:tabs>
          <w:tab w:val="left" w:pos="720"/>
        </w:tabs>
        <w:spacing w:after="156" w:afterLines="5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Another parameter is the scaling factor when aggressor and victim have different bandwidth. The same logic as SBFD could be reused, i.e. when the aggressor bandwidth is less than victim, better ACLR/ACS is assumed but when aggressor bandwidth is larger than victim, the same ACLR/ACS is assumed. </w:t>
      </w:r>
    </w:p>
    <w:p>
      <w:pPr>
        <w:tabs>
          <w:tab w:val="left" w:pos="720"/>
        </w:tabs>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14: when A-IoT reader as victim, the scaling factor is suggested as below to compensate different aggressor and victim bandwidth when calculating inter-system interference.</w:t>
      </w:r>
    </w:p>
    <w:p>
      <w:pPr>
        <w:tabs>
          <w:tab w:val="left" w:pos="720"/>
        </w:tabs>
        <w:spacing w:after="156" w:afterLines="5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Scaling factor = </w:t>
      </w:r>
      <m:oMath>
        <m:r>
          <m:rPr>
            <m:sty m:val="b"/>
          </m:rPr>
          <w:rPr>
            <w:rFonts w:hint="default" w:ascii="Cambria Math" w:hAnsi="Cambria Math" w:cs="Times New Roman"/>
            <w:kern w:val="2"/>
            <w:sz w:val="20"/>
            <w:szCs w:val="20"/>
            <w:lang w:val="en-US" w:eastAsia="zh-CN" w:bidi="ar-SA"/>
          </w:rPr>
          <m:t>10∗log10</m:t>
        </m:r>
        <m:d>
          <m:dPr>
            <m:ctrlPr>
              <w:rPr>
                <w:rFonts w:hint="default" w:ascii="Cambria Math" w:hAnsi="Cambria Math" w:cs="Times New Roman"/>
                <w:b/>
                <w:bCs/>
                <w:kern w:val="2"/>
                <w:sz w:val="20"/>
                <w:szCs w:val="20"/>
                <w:lang w:val="en-US" w:eastAsia="zh-CN" w:bidi="ar-SA"/>
              </w:rPr>
            </m:ctrlPr>
          </m:dPr>
          <m:e>
            <m:f>
              <m:fPr>
                <m:ctrlPr>
                  <w:rPr>
                    <w:rFonts w:hint="default" w:ascii="Cambria Math" w:hAnsi="Cambria Math" w:cs="Times New Roman"/>
                    <w:b/>
                    <w:bCs/>
                    <w:kern w:val="2"/>
                    <w:sz w:val="20"/>
                    <w:szCs w:val="20"/>
                    <w:lang w:val="en-US" w:eastAsia="zh-CN" w:bidi="ar-SA"/>
                  </w:rPr>
                </m:ctrlPr>
              </m:fPr>
              <m:num>
                <m:sSub>
                  <m:sSubPr>
                    <m:ctrlPr>
                      <w:rPr>
                        <w:rFonts w:hint="default" w:ascii="Cambria Math" w:hAnsi="Cambria Math" w:cs="Times New Roman"/>
                        <w:b/>
                        <w:bCs/>
                        <w:kern w:val="2"/>
                        <w:sz w:val="20"/>
                        <w:szCs w:val="20"/>
                        <w:lang w:val="en-US" w:eastAsia="zh-CN" w:bidi="ar-SA"/>
                      </w:rPr>
                    </m:ctrlPr>
                  </m:sSubPr>
                  <m:e>
                    <m:r>
                      <m:rPr>
                        <m:sty m:val="b"/>
                      </m:rPr>
                      <w:rPr>
                        <w:rFonts w:hint="default" w:ascii="Cambria Math" w:hAnsi="Cambria Math" w:cs="Times New Roman"/>
                        <w:kern w:val="2"/>
                        <w:sz w:val="20"/>
                        <w:szCs w:val="20"/>
                        <w:lang w:val="en-US" w:eastAsia="zh-CN" w:bidi="ar-SA"/>
                      </w:rPr>
                      <m:t>BW</m:t>
                    </m:r>
                    <m:ctrlPr>
                      <w:rPr>
                        <w:rFonts w:hint="default" w:ascii="Cambria Math" w:hAnsi="Cambria Math" w:cs="Times New Roman"/>
                        <w:b/>
                        <w:bCs/>
                        <w:kern w:val="2"/>
                        <w:sz w:val="20"/>
                        <w:szCs w:val="20"/>
                        <w:lang w:val="en-US" w:eastAsia="zh-CN" w:bidi="ar-SA"/>
                      </w:rPr>
                    </m:ctrlPr>
                  </m:e>
                  <m:sub>
                    <m:r>
                      <m:rPr>
                        <m:sty m:val="b"/>
                      </m:rPr>
                      <w:rPr>
                        <w:rFonts w:hint="default" w:ascii="Cambria Math" w:hAnsi="Cambria Math" w:cs="Times New Roman"/>
                        <w:kern w:val="2"/>
                        <w:sz w:val="20"/>
                        <w:szCs w:val="20"/>
                        <w:lang w:val="en-US" w:eastAsia="zh-CN" w:bidi="ar-SA"/>
                      </w:rPr>
                      <m:t>aggressor</m:t>
                    </m:r>
                    <m:ctrlPr>
                      <w:rPr>
                        <w:rFonts w:hint="default" w:ascii="Cambria Math" w:hAnsi="Cambria Math" w:cs="Times New Roman"/>
                        <w:b/>
                        <w:bCs/>
                        <w:kern w:val="2"/>
                        <w:sz w:val="20"/>
                        <w:szCs w:val="20"/>
                        <w:lang w:val="en-US" w:eastAsia="zh-CN" w:bidi="ar-SA"/>
                      </w:rPr>
                    </m:ctrlPr>
                  </m:sub>
                </m:sSub>
                <m:ctrlPr>
                  <w:rPr>
                    <w:rFonts w:hint="default" w:ascii="Cambria Math" w:hAnsi="Cambria Math" w:cs="Times New Roman"/>
                    <w:b/>
                    <w:bCs/>
                    <w:kern w:val="2"/>
                    <w:sz w:val="20"/>
                    <w:szCs w:val="20"/>
                    <w:lang w:val="en-US" w:eastAsia="zh-CN" w:bidi="ar-SA"/>
                  </w:rPr>
                </m:ctrlPr>
              </m:num>
              <m:den>
                <m:sSub>
                  <m:sSubPr>
                    <m:ctrlPr>
                      <w:rPr>
                        <w:rFonts w:hint="default" w:ascii="Cambria Math" w:hAnsi="Cambria Math" w:cs="Times New Roman"/>
                        <w:b/>
                        <w:bCs/>
                        <w:kern w:val="2"/>
                        <w:sz w:val="20"/>
                        <w:szCs w:val="20"/>
                        <w:lang w:val="en-US" w:eastAsia="zh-CN" w:bidi="ar-SA"/>
                      </w:rPr>
                    </m:ctrlPr>
                  </m:sSubPr>
                  <m:e>
                    <m:r>
                      <m:rPr>
                        <m:sty m:val="b"/>
                      </m:rPr>
                      <w:rPr>
                        <w:rFonts w:hint="default" w:ascii="Cambria Math" w:hAnsi="Cambria Math" w:cs="Times New Roman"/>
                        <w:kern w:val="2"/>
                        <w:sz w:val="20"/>
                        <w:szCs w:val="20"/>
                        <w:lang w:val="en-US" w:eastAsia="zh-CN" w:bidi="ar-SA"/>
                      </w:rPr>
                      <m:t>BW</m:t>
                    </m:r>
                    <m:ctrlPr>
                      <w:rPr>
                        <w:rFonts w:hint="default" w:ascii="Cambria Math" w:hAnsi="Cambria Math" w:cs="Times New Roman"/>
                        <w:b/>
                        <w:bCs/>
                        <w:kern w:val="2"/>
                        <w:sz w:val="20"/>
                        <w:szCs w:val="20"/>
                        <w:lang w:val="en-US" w:eastAsia="zh-CN" w:bidi="ar-SA"/>
                      </w:rPr>
                    </m:ctrlPr>
                  </m:e>
                  <m:sub>
                    <m:r>
                      <m:rPr>
                        <m:sty m:val="b"/>
                      </m:rPr>
                      <w:rPr>
                        <w:rFonts w:hint="default" w:ascii="Cambria Math" w:hAnsi="Cambria Math" w:cs="Times New Roman"/>
                        <w:kern w:val="2"/>
                        <w:sz w:val="20"/>
                        <w:szCs w:val="20"/>
                        <w:lang w:val="en-US" w:eastAsia="zh-CN" w:bidi="ar-SA"/>
                      </w:rPr>
                      <m:t>victim</m:t>
                    </m:r>
                    <m:ctrlPr>
                      <w:rPr>
                        <w:rFonts w:hint="default" w:ascii="Cambria Math" w:hAnsi="Cambria Math" w:cs="Times New Roman"/>
                        <w:b/>
                        <w:bCs/>
                        <w:kern w:val="2"/>
                        <w:sz w:val="20"/>
                        <w:szCs w:val="20"/>
                        <w:lang w:val="en-US" w:eastAsia="zh-CN" w:bidi="ar-SA"/>
                      </w:rPr>
                    </m:ctrlPr>
                  </m:sub>
                </m:sSub>
                <m:ctrlPr>
                  <w:rPr>
                    <w:rFonts w:hint="default" w:ascii="Cambria Math" w:hAnsi="Cambria Math" w:cs="Times New Roman"/>
                    <w:b/>
                    <w:bCs/>
                    <w:kern w:val="2"/>
                    <w:sz w:val="20"/>
                    <w:szCs w:val="20"/>
                    <w:lang w:val="en-US" w:eastAsia="zh-CN" w:bidi="ar-SA"/>
                  </w:rPr>
                </m:ctrlPr>
              </m:den>
            </m:f>
            <m:ctrlPr>
              <w:rPr>
                <w:rFonts w:hint="default" w:ascii="Cambria Math" w:hAnsi="Cambria Math" w:cs="Times New Roman"/>
                <w:b/>
                <w:bCs/>
                <w:kern w:val="2"/>
                <w:sz w:val="20"/>
                <w:szCs w:val="20"/>
                <w:lang w:val="en-US" w:eastAsia="zh-CN" w:bidi="ar-SA"/>
              </w:rPr>
            </m:ctrlPr>
          </m:e>
        </m:d>
      </m:oMath>
    </w:p>
    <w:p>
      <w:pPr>
        <w:tabs>
          <w:tab w:val="left" w:pos="720"/>
        </w:tabs>
        <w:spacing w:after="156" w:afterLines="50"/>
        <w:rPr>
          <w:rFonts w:hint="default" w:ascii="Times New Roman" w:hAnsi="Times New Roman"/>
          <w:sz w:val="20"/>
          <w:szCs w:val="20"/>
          <w:lang w:val="en-US" w:eastAsia="zh-CN"/>
        </w:rPr>
      </w:pPr>
      <w:r>
        <w:rPr>
          <w:rFonts w:hint="eastAsia" w:ascii="Times New Roman" w:hAnsi="Times New Roman"/>
          <w:sz w:val="20"/>
          <w:szCs w:val="20"/>
          <w:lang w:val="en-US" w:eastAsia="zh-CN"/>
        </w:rPr>
        <w:t>For layout related parameters, we assume 18 readers are all activated during calibration. But the initial calibration data show intra-reader interference is much high. For example, following table list the received power at device side from all 18 readers, it show that under certain condition, the received power between two readers in proximity are much similar to each other, which will lead to &lt;-3dB SINR at device side. Considering device using energy/edge detection, such lower SINR is not acceptable for device. Therefore,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suggested to define certain activation ratio rather than activating all readers in the factory simultaneously. Such principle applies for both topology 1 and topology 2. but for topology 2, such interference is relatively lower and the probability of occurrence is lower compared with topology 1 due to less reader transmission power.</w:t>
      </w:r>
    </w:p>
    <w:tbl>
      <w:tblPr>
        <w:tblStyle w:val="17"/>
        <w:tblW w:w="5000"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65"/>
        <w:gridCol w:w="605"/>
        <w:gridCol w:w="603"/>
        <w:gridCol w:w="481"/>
        <w:gridCol w:w="481"/>
        <w:gridCol w:w="481"/>
        <w:gridCol w:w="481"/>
        <w:gridCol w:w="481"/>
        <w:gridCol w:w="481"/>
        <w:gridCol w:w="481"/>
        <w:gridCol w:w="481"/>
        <w:gridCol w:w="517"/>
        <w:gridCol w:w="517"/>
        <w:gridCol w:w="517"/>
        <w:gridCol w:w="518"/>
        <w:gridCol w:w="518"/>
        <w:gridCol w:w="518"/>
        <w:gridCol w:w="518"/>
        <w:gridCol w:w="51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83"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Received power(dBm)</w:t>
            </w:r>
          </w:p>
        </w:tc>
        <w:tc>
          <w:tcPr>
            <w:tcW w:w="303"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lang w:val="en-US" w:eastAsia="zh-CN"/>
              </w:rPr>
            </w:pPr>
            <w:r>
              <w:rPr>
                <w:rFonts w:hint="default" w:ascii="Times New Roman" w:hAnsi="Times New Roman" w:eastAsia="等线" w:cs="Times New Roman"/>
                <w:i w:val="0"/>
                <w:iCs w:val="0"/>
                <w:color w:val="000000"/>
                <w:sz w:val="13"/>
                <w:szCs w:val="13"/>
                <w:u w:val="none"/>
                <w:lang w:val="en-US" w:eastAsia="zh-CN"/>
              </w:rPr>
              <w:t>Wanted signal</w:t>
            </w:r>
          </w:p>
        </w:tc>
        <w:tc>
          <w:tcPr>
            <w:tcW w:w="302"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1</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2</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3</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4</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5</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6</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7</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8</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9</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10</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11</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12</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13</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14</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15</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16</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interfer 17</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83" w:type="pct"/>
            <w:tcBorders>
              <w:top w:val="nil"/>
              <w:left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lang w:val="en-US"/>
              </w:rPr>
            </w:pPr>
            <w:r>
              <w:rPr>
                <w:rFonts w:hint="default" w:ascii="Times New Roman" w:hAnsi="Times New Roman" w:eastAsia="等线" w:cs="Times New Roman"/>
                <w:i w:val="0"/>
                <w:iCs w:val="0"/>
                <w:color w:val="000000"/>
                <w:kern w:val="0"/>
                <w:sz w:val="13"/>
                <w:szCs w:val="13"/>
                <w:u w:val="none"/>
                <w:lang w:val="en-US" w:eastAsia="zh-CN" w:bidi="ar"/>
              </w:rPr>
              <w:t>Device 1</w:t>
            </w:r>
          </w:p>
        </w:tc>
        <w:tc>
          <w:tcPr>
            <w:tcW w:w="303" w:type="pct"/>
            <w:tcBorders>
              <w:top w:val="nil"/>
              <w:left w:val="nil"/>
              <w:bottom w:val="nil"/>
              <w:right w:val="nil"/>
            </w:tcBorders>
            <w:shd w:val="clear" w:color="auto" w:fill="FFFF00"/>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-23.05 </w:t>
            </w:r>
          </w:p>
        </w:tc>
        <w:tc>
          <w:tcPr>
            <w:tcW w:w="302" w:type="pct"/>
            <w:tcBorders>
              <w:top w:val="nil"/>
              <w:left w:val="nil"/>
              <w:bottom w:val="nil"/>
              <w:right w:val="nil"/>
            </w:tcBorders>
            <w:shd w:val="clear" w:color="auto" w:fill="FFFF00"/>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-23.14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-26.72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-27.59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-30.43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-34.02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-34.13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-34.50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-35.00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-35.78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-40.86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-43.04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-43.19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-43.25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-46.71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-47.45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-51.63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-53.18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83"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lang w:val="en-US"/>
              </w:rPr>
            </w:pPr>
            <w:r>
              <w:rPr>
                <w:rFonts w:hint="default" w:ascii="Times New Roman" w:hAnsi="Times New Roman" w:eastAsia="等线" w:cs="Times New Roman"/>
                <w:i w:val="0"/>
                <w:iCs w:val="0"/>
                <w:color w:val="000000"/>
                <w:kern w:val="0"/>
                <w:sz w:val="13"/>
                <w:szCs w:val="13"/>
                <w:u w:val="none"/>
                <w:lang w:val="en-US" w:eastAsia="zh-CN" w:bidi="ar"/>
              </w:rPr>
              <w:t>Device 2</w:t>
            </w:r>
          </w:p>
        </w:tc>
        <w:tc>
          <w:tcPr>
            <w:tcW w:w="303" w:type="pct"/>
            <w:tcBorders>
              <w:top w:val="nil"/>
              <w:left w:val="nil"/>
              <w:bottom w:val="nil"/>
              <w:right w:val="nil"/>
            </w:tcBorders>
            <w:shd w:val="clear" w:color="auto" w:fill="FFFF00"/>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-20.79 </w:t>
            </w:r>
          </w:p>
        </w:tc>
        <w:tc>
          <w:tcPr>
            <w:tcW w:w="302" w:type="pct"/>
            <w:tcBorders>
              <w:top w:val="nil"/>
              <w:left w:val="nil"/>
              <w:bottom w:val="nil"/>
              <w:right w:val="nil"/>
            </w:tcBorders>
            <w:shd w:val="clear" w:color="auto" w:fill="FFFF00"/>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-20.81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-26.52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-27.94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-33.37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-36.98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-38.86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-38.99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-42.41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-42.79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-43.68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-44.06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-46.35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-46.59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-46.76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-48.06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-49.08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-50.26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83"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lang w:val="en-US"/>
              </w:rPr>
            </w:pPr>
            <w:r>
              <w:rPr>
                <w:rFonts w:hint="default" w:ascii="Times New Roman" w:hAnsi="Times New Roman" w:eastAsia="等线" w:cs="Times New Roman"/>
                <w:i w:val="0"/>
                <w:iCs w:val="0"/>
                <w:color w:val="000000"/>
                <w:kern w:val="0"/>
                <w:sz w:val="13"/>
                <w:szCs w:val="13"/>
                <w:u w:val="none"/>
                <w:lang w:val="en-US" w:eastAsia="zh-CN" w:bidi="ar"/>
              </w:rPr>
              <w:t>Device 3</w:t>
            </w:r>
          </w:p>
        </w:tc>
        <w:tc>
          <w:tcPr>
            <w:tcW w:w="303" w:type="pct"/>
            <w:tcBorders>
              <w:top w:val="nil"/>
              <w:left w:val="nil"/>
              <w:bottom w:val="nil"/>
              <w:right w:val="nil"/>
            </w:tcBorders>
            <w:shd w:val="clear" w:color="auto" w:fill="FFFF00"/>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-23.15 </w:t>
            </w:r>
          </w:p>
        </w:tc>
        <w:tc>
          <w:tcPr>
            <w:tcW w:w="302" w:type="pct"/>
            <w:tcBorders>
              <w:top w:val="nil"/>
              <w:left w:val="nil"/>
              <w:bottom w:val="nil"/>
              <w:right w:val="nil"/>
            </w:tcBorders>
            <w:shd w:val="clear" w:color="auto" w:fill="FFFF00"/>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-23.79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-31.10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-33.18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-35.89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-37.72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-38.35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-39.76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-40.36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-43.76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-44.55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-45.29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-46.24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-47.29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-47.40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-48.12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-49.15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-53.64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80" w:hRule="atLeast"/>
        </w:trPr>
        <w:tc>
          <w:tcPr>
            <w:tcW w:w="383" w:type="pct"/>
            <w:tcBorders>
              <w:top w:val="nil"/>
              <w:left w:val="nil"/>
              <w:bottom w:val="nil"/>
              <w:right w:val="nil"/>
            </w:tcBorders>
            <w:shd w:val="clear" w:color="auto" w:fill="auto"/>
            <w:noWrap/>
            <w:vAlign w:val="center"/>
          </w:tcPr>
          <w:p>
            <w:pPr>
              <w:keepNext w:val="0"/>
              <w:keepLines w:val="0"/>
              <w:widowControl/>
              <w:suppressLineNumbers w:val="0"/>
              <w:jc w:val="center"/>
              <w:textAlignment w:val="center"/>
              <w:rPr>
                <w:rFonts w:hint="default" w:ascii="Times New Roman" w:hAnsi="Times New Roman" w:eastAsia="等线" w:cs="Times New Roman"/>
                <w:i w:val="0"/>
                <w:iCs w:val="0"/>
                <w:color w:val="000000"/>
                <w:sz w:val="13"/>
                <w:szCs w:val="13"/>
                <w:u w:val="none"/>
                <w:lang w:val="en-US"/>
              </w:rPr>
            </w:pPr>
            <w:r>
              <w:rPr>
                <w:rFonts w:hint="default" w:ascii="Times New Roman" w:hAnsi="Times New Roman" w:eastAsia="等线" w:cs="Times New Roman"/>
                <w:i w:val="0"/>
                <w:iCs w:val="0"/>
                <w:color w:val="000000"/>
                <w:kern w:val="0"/>
                <w:sz w:val="13"/>
                <w:szCs w:val="13"/>
                <w:u w:val="none"/>
                <w:lang w:val="en-US" w:eastAsia="zh-CN" w:bidi="ar"/>
              </w:rPr>
              <w:t>Device4</w:t>
            </w:r>
          </w:p>
        </w:tc>
        <w:tc>
          <w:tcPr>
            <w:tcW w:w="303" w:type="pct"/>
            <w:tcBorders>
              <w:top w:val="nil"/>
              <w:left w:val="nil"/>
              <w:bottom w:val="nil"/>
              <w:right w:val="nil"/>
            </w:tcBorders>
            <w:shd w:val="clear" w:color="auto" w:fill="FFFF00"/>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-25.38 </w:t>
            </w:r>
          </w:p>
        </w:tc>
        <w:tc>
          <w:tcPr>
            <w:tcW w:w="302" w:type="pct"/>
            <w:tcBorders>
              <w:top w:val="nil"/>
              <w:left w:val="nil"/>
              <w:bottom w:val="nil"/>
              <w:right w:val="nil"/>
            </w:tcBorders>
            <w:shd w:val="clear" w:color="auto" w:fill="FFFF00"/>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-25.98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-27.10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-28.97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-29.28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-31.37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-36.57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-36.73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-39.24 </w:t>
            </w:r>
          </w:p>
        </w:tc>
        <w:tc>
          <w:tcPr>
            <w:tcW w:w="241"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-39.59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-40.48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-42.54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-42.68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-44.09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-47.60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-47.73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-49.53 </w:t>
            </w:r>
          </w:p>
        </w:tc>
        <w:tc>
          <w:tcPr>
            <w:tcW w:w="259" w:type="pct"/>
            <w:tcBorders>
              <w:top w:val="nil"/>
              <w:left w:val="nil"/>
              <w:bottom w:val="nil"/>
              <w:right w:val="nil"/>
            </w:tcBorders>
            <w:shd w:val="clear" w:color="auto" w:fill="auto"/>
            <w:noWrap/>
            <w:vAlign w:val="center"/>
          </w:tcPr>
          <w:p>
            <w:pPr>
              <w:keepNext w:val="0"/>
              <w:keepLines w:val="0"/>
              <w:widowControl/>
              <w:suppressLineNumbers w:val="0"/>
              <w:jc w:val="right"/>
              <w:textAlignment w:val="center"/>
              <w:rPr>
                <w:rFonts w:hint="default" w:ascii="Times New Roman" w:hAnsi="Times New Roman" w:eastAsia="等线" w:cs="Times New Roman"/>
                <w:i w:val="0"/>
                <w:iCs w:val="0"/>
                <w:color w:val="000000"/>
                <w:sz w:val="13"/>
                <w:szCs w:val="13"/>
                <w:u w:val="none"/>
              </w:rPr>
            </w:pPr>
            <w:r>
              <w:rPr>
                <w:rFonts w:hint="default" w:ascii="Times New Roman" w:hAnsi="Times New Roman" w:eastAsia="等线" w:cs="Times New Roman"/>
                <w:i w:val="0"/>
                <w:iCs w:val="0"/>
                <w:color w:val="000000"/>
                <w:kern w:val="0"/>
                <w:sz w:val="13"/>
                <w:szCs w:val="13"/>
                <w:u w:val="none"/>
                <w:lang w:val="en-US" w:eastAsia="zh-CN" w:bidi="ar"/>
              </w:rPr>
              <w:t xml:space="preserve">-49.95 </w:t>
            </w:r>
          </w:p>
        </w:tc>
      </w:tr>
    </w:tbl>
    <w:p>
      <w:pPr>
        <w:tabs>
          <w:tab w:val="left" w:pos="720"/>
        </w:tabs>
        <w:spacing w:after="156" w:afterLines="50"/>
        <w:rPr>
          <w:rFonts w:hint="default" w:ascii="Times New Roman" w:hAnsi="Times New Roman"/>
          <w:sz w:val="20"/>
          <w:szCs w:val="20"/>
          <w:lang w:val="en-US" w:eastAsia="zh-CN"/>
        </w:rPr>
      </w:pPr>
    </w:p>
    <w:p>
      <w:pPr>
        <w:tabs>
          <w:tab w:val="left" w:pos="720"/>
        </w:tabs>
        <w:spacing w:after="156" w:afterLines="50"/>
        <w:rPr>
          <w:rFonts w:hint="eastAsia" w:ascii="Times New Roman" w:hAnsi="Times New Roman"/>
          <w:sz w:val="20"/>
          <w:szCs w:val="20"/>
          <w:lang w:val="en-US" w:eastAsia="zh-CN"/>
        </w:rPr>
      </w:pPr>
      <w:r>
        <w:rPr>
          <w:rFonts w:hint="eastAsia" w:ascii="Times New Roman" w:hAnsi="Times New Roman"/>
          <w:sz w:val="20"/>
          <w:szCs w:val="20"/>
          <w:lang w:val="en-US" w:eastAsia="zh-CN"/>
        </w:rPr>
        <w:t>Based on calibration data analysis, the worst interference is from the nearest reader.</w:t>
      </w:r>
    </w:p>
    <w:p>
      <w:pPr>
        <w:tabs>
          <w:tab w:val="left" w:pos="720"/>
        </w:tabs>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8: for topology 1 when all 18 readers are activated simultaneously, the intra-system interference from other readers are much higher at device side. In some cases, the power of wanted signal and worst interference is comparable. Usually such severe interference is from nearest reader.</w:t>
      </w:r>
    </w:p>
    <w:p>
      <w:pPr>
        <w:tabs>
          <w:tab w:val="left" w:pos="720"/>
        </w:tabs>
        <w:spacing w:after="156" w:afterLines="5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15: for calibration purpose, all 18 topology 1 readers are activated simultaneously in the same factory.</w:t>
      </w:r>
    </w:p>
    <w:p>
      <w:pPr>
        <w:tabs>
          <w:tab w:val="left" w:pos="720"/>
        </w:tabs>
        <w:spacing w:after="156" w:afterLines="50"/>
        <w:rPr>
          <w:rFonts w:hint="eastAsia" w:ascii="Times New Roman" w:hAnsi="Times New Roman"/>
          <w:sz w:val="20"/>
          <w:szCs w:val="20"/>
          <w:lang w:val="en-US" w:eastAsia="zh-CN"/>
        </w:rPr>
      </w:pPr>
      <w:r>
        <w:rPr>
          <w:rFonts w:hint="eastAsia" w:ascii="Times New Roman" w:hAnsi="Times New Roman"/>
          <w:sz w:val="20"/>
          <w:szCs w:val="20"/>
          <w:lang w:val="en-US" w:eastAsia="zh-CN"/>
        </w:rPr>
        <w:t>Following list one methodology of the activation ratio of topology 1 reader.</w:t>
      </w:r>
    </w:p>
    <w:p>
      <w:pPr>
        <w:numPr>
          <w:ilvl w:val="0"/>
          <w:numId w:val="17"/>
        </w:numPr>
        <w:tabs>
          <w:tab w:val="left" w:pos="720"/>
          <w:tab w:val="clear" w:pos="-420"/>
        </w:tabs>
        <w:spacing w:after="156" w:afterLines="50"/>
        <w:ind w:left="516" w:leftChars="0" w:hanging="36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divide all 18 readers into X blocks, 1 reader per block are activated simultaneously. Noted: we need to order the reader in each block, the reader that is located in the same relative location in each block would be blocked as the same index. only the reader with the same order index will be activated simultaneously. </w:t>
      </w:r>
    </w:p>
    <w:p>
      <w:pPr>
        <w:numPr>
          <w:ilvl w:val="1"/>
          <w:numId w:val="17"/>
        </w:numPr>
        <w:tabs>
          <w:tab w:val="left" w:pos="720"/>
          <w:tab w:val="clear" w:pos="-420"/>
        </w:tabs>
        <w:spacing w:after="156" w:afterLines="50"/>
        <w:ind w:left="1236" w:leftChars="0" w:hanging="36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The larger X value, the higher probability of severe intra-system interference</w:t>
      </w:r>
    </w:p>
    <w:p>
      <w:pPr>
        <w:numPr>
          <w:ilvl w:val="1"/>
          <w:numId w:val="17"/>
        </w:numPr>
        <w:tabs>
          <w:tab w:val="left" w:pos="720"/>
          <w:tab w:val="clear" w:pos="-420"/>
        </w:tabs>
        <w:spacing w:after="156" w:afterLines="50"/>
        <w:ind w:left="1236" w:leftChars="0" w:hanging="36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The less X value, the lower inventory efficiency of device. But usually A-IoT services are not sensitive to delay performance, less X value is acceptable. </w:t>
      </w:r>
    </w:p>
    <w:p>
      <w:pPr>
        <w:numPr>
          <w:ilvl w:val="1"/>
          <w:numId w:val="17"/>
        </w:numPr>
        <w:tabs>
          <w:tab w:val="left" w:pos="720"/>
          <w:tab w:val="clear" w:pos="-420"/>
        </w:tabs>
        <w:spacing w:after="156" w:afterLines="50"/>
        <w:ind w:left="1236" w:leftChars="0" w:hanging="36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as discussed above, when device as victim, it is received power limited system rather than noise limited system. Therefore we suggest to use 0dB SINR as performance metric as discussed above. This implies that we actually compare the power of Rx power, intra-system interference and inter-system interference. When intra-system interference is much lower, i.e. less X value, larger inter-system interference is allowed if both intra and inter-system interference are less than Rx wanted power. When intra-system interference is much higher, i.e. relatively larger X value, the allowing inter-system interference would be reduced to very low level. The X value is much important. </w:t>
      </w:r>
    </w:p>
    <w:p>
      <w:pPr>
        <w:numPr>
          <w:ilvl w:val="0"/>
          <w:numId w:val="17"/>
        </w:numPr>
        <w:tabs>
          <w:tab w:val="left" w:pos="720"/>
          <w:tab w:val="clear" w:pos="-420"/>
        </w:tabs>
        <w:spacing w:after="156" w:afterLines="50"/>
        <w:ind w:left="516" w:leftChars="0" w:hanging="36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 xml:space="preserve">X could be 1, 2, 3, </w:t>
      </w:r>
    </w:p>
    <w:p>
      <w:pPr>
        <w:numPr>
          <w:ilvl w:val="1"/>
          <w:numId w:val="17"/>
        </w:numPr>
        <w:tabs>
          <w:tab w:val="left" w:pos="720"/>
          <w:tab w:val="clear" w:pos="-420"/>
        </w:tabs>
        <w:spacing w:after="156" w:afterLines="50"/>
        <w:ind w:left="1236" w:leftChars="0" w:hanging="36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X =6 or 9 implies at least two readers from different block would be near to each other which will introduce severe intra-system interference. X is suggested from 1, 2, 3</w:t>
      </w:r>
    </w:p>
    <w:p>
      <w:pPr>
        <w:numPr>
          <w:ilvl w:val="1"/>
          <w:numId w:val="17"/>
        </w:numPr>
        <w:tabs>
          <w:tab w:val="left" w:pos="720"/>
          <w:tab w:val="clear" w:pos="-420"/>
        </w:tabs>
        <w:spacing w:after="156" w:afterLines="50"/>
        <w:ind w:left="1236" w:leftChars="0" w:hanging="360" w:firstLineChars="0"/>
        <w:rPr>
          <w:rFonts w:hint="default" w:ascii="Times New Roman" w:hAnsi="Times New Roman"/>
          <w:sz w:val="20"/>
          <w:szCs w:val="20"/>
          <w:lang w:val="en-US" w:eastAsia="zh-CN"/>
        </w:rPr>
      </w:pPr>
      <w:r>
        <w:rPr>
          <w:rFonts w:hint="eastAsia" w:ascii="Times New Roman" w:hAnsi="Times New Roman"/>
          <w:sz w:val="20"/>
          <w:szCs w:val="20"/>
          <w:lang w:val="en-US" w:eastAsia="zh-CN"/>
        </w:rPr>
        <w:t>If RAN4 can</w:t>
      </w:r>
      <w:r>
        <w:rPr>
          <w:rFonts w:hint="default" w:ascii="Times New Roman" w:hAnsi="Times New Roman"/>
          <w:sz w:val="20"/>
          <w:szCs w:val="20"/>
          <w:lang w:val="en-US" w:eastAsia="zh-CN"/>
        </w:rPr>
        <w:t>’</w:t>
      </w:r>
      <w:r>
        <w:rPr>
          <w:rFonts w:hint="eastAsia" w:ascii="Times New Roman" w:hAnsi="Times New Roman"/>
          <w:sz w:val="20"/>
          <w:szCs w:val="20"/>
          <w:lang w:val="en-US" w:eastAsia="zh-CN"/>
        </w:rPr>
        <w:t>t converge on final X value, X value can be based on companies report.</w:t>
      </w:r>
    </w:p>
    <w:p>
      <w:pPr>
        <w:widowControl w:val="0"/>
        <w:numPr>
          <w:ilvl w:val="0"/>
          <w:numId w:val="0"/>
        </w:numPr>
        <w:tabs>
          <w:tab w:val="left" w:pos="720"/>
        </w:tabs>
        <w:spacing w:after="156" w:afterLines="50"/>
        <w:jc w:val="both"/>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16: the activation ratio of topology 1 reader is suggested as below:</w:t>
      </w:r>
    </w:p>
    <w:p>
      <w:pPr>
        <w:numPr>
          <w:ilvl w:val="0"/>
          <w:numId w:val="17"/>
        </w:numPr>
        <w:tabs>
          <w:tab w:val="left" w:pos="720"/>
          <w:tab w:val="clear" w:pos="-420"/>
        </w:tabs>
        <w:spacing w:after="156" w:afterLines="50"/>
        <w:ind w:left="516" w:leftChars="0" w:hanging="360" w:firstLineChars="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Divide all 18 readers into X blocks, 1 reader per block are activated simultaneously. Noted: we need to order the reader in each block, the reader that is located in the same relative location in each block would be blocked as the same index. only the reader with the same order index will be activated simultaneously. </w:t>
      </w:r>
    </w:p>
    <w:p>
      <w:pPr>
        <w:numPr>
          <w:ilvl w:val="0"/>
          <w:numId w:val="17"/>
        </w:numPr>
        <w:tabs>
          <w:tab w:val="left" w:pos="720"/>
          <w:tab w:val="clear" w:pos="-420"/>
        </w:tabs>
        <w:spacing w:after="156" w:afterLines="50"/>
        <w:ind w:left="516" w:leftChars="0" w:hanging="360" w:firstLineChars="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 X could be 1, 2, 3, if there is no consensus of X value, X could be based on companies report.</w:t>
      </w:r>
    </w:p>
    <w:p>
      <w:pPr>
        <w:widowControl w:val="0"/>
        <w:numPr>
          <w:ilvl w:val="0"/>
          <w:numId w:val="0"/>
        </w:numPr>
        <w:tabs>
          <w:tab w:val="left" w:pos="720"/>
        </w:tabs>
        <w:spacing w:after="156" w:afterLines="50"/>
        <w:jc w:val="both"/>
        <w:rPr>
          <w:rFonts w:hint="default" w:ascii="Times New Roman" w:hAnsi="Times New Roman"/>
          <w:b/>
          <w:bCs/>
          <w:sz w:val="20"/>
          <w:szCs w:val="20"/>
          <w:highlight w:val="yellow"/>
          <w:lang w:val="en-US" w:eastAsia="zh-CN"/>
        </w:rPr>
      </w:pPr>
      <w:r>
        <w:rPr>
          <w:rFonts w:hint="default" w:ascii="Times New Roman" w:hAnsi="Times New Roman"/>
          <w:b/>
          <w:bCs/>
          <w:sz w:val="20"/>
          <w:szCs w:val="20"/>
          <w:highlight w:val="none"/>
          <w:lang w:val="en-US" w:eastAsia="zh-CN"/>
        </w:rPr>
        <w:drawing>
          <wp:inline distT="0" distB="0" distL="114300" distR="114300">
            <wp:extent cx="6184900" cy="3242310"/>
            <wp:effectExtent l="0" t="0" r="0" b="8890"/>
            <wp:docPr id="2" name="图片 2" descr="1723084855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723084855452"/>
                    <pic:cNvPicPr>
                      <a:picLocks noChangeAspect="1"/>
                    </pic:cNvPicPr>
                  </pic:nvPicPr>
                  <pic:blipFill>
                    <a:blip r:embed="rId8"/>
                    <a:stretch>
                      <a:fillRect/>
                    </a:stretch>
                  </pic:blipFill>
                  <pic:spPr>
                    <a:xfrm>
                      <a:off x="0" y="0"/>
                      <a:ext cx="6184900" cy="3242310"/>
                    </a:xfrm>
                    <a:prstGeom prst="rect">
                      <a:avLst/>
                    </a:prstGeom>
                  </pic:spPr>
                </pic:pic>
              </a:graphicData>
            </a:graphic>
          </wp:inline>
        </w:drawing>
      </w:r>
    </w:p>
    <w:p>
      <w:pPr>
        <w:widowControl w:val="0"/>
        <w:numPr>
          <w:ilvl w:val="0"/>
          <w:numId w:val="0"/>
        </w:numPr>
        <w:tabs>
          <w:tab w:val="left" w:pos="720"/>
        </w:tabs>
        <w:spacing w:after="156" w:afterLines="50"/>
        <w:jc w:val="both"/>
        <w:rPr>
          <w:rFonts w:hint="eastAsia" w:ascii="Times New Roman" w:hAnsi="Times New Roman"/>
          <w:sz w:val="20"/>
          <w:szCs w:val="20"/>
          <w:lang w:val="en-US" w:eastAsia="zh-CN"/>
        </w:rPr>
      </w:pPr>
      <w:r>
        <w:rPr>
          <w:rFonts w:hint="eastAsia" w:ascii="Times New Roman" w:hAnsi="Times New Roman"/>
          <w:sz w:val="20"/>
          <w:szCs w:val="20"/>
          <w:lang w:val="en-US" w:eastAsia="zh-CN"/>
        </w:rPr>
        <w:t>For topology 2, last meeting agreements are listed as below:</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widowControl w:val="0"/>
              <w:snapToGrid w:val="0"/>
              <w:spacing w:before="120" w:after="0" w:line="280" w:lineRule="atLeast"/>
              <w:jc w:val="both"/>
              <w:rPr>
                <w:rFonts w:hint="default" w:ascii="Times New Roman" w:hAnsi="Times New Roman" w:eastAsia="等线" w:cs="Times New Roman"/>
                <w:sz w:val="20"/>
                <w:szCs w:val="20"/>
                <w:highlight w:val="none"/>
                <w:lang w:eastAsia="zh-CN" w:bidi="ar"/>
              </w:rPr>
            </w:pPr>
            <w:r>
              <w:rPr>
                <w:rFonts w:hint="default" w:ascii="Times New Roman" w:hAnsi="Times New Roman" w:eastAsia="等线" w:cs="Times New Roman"/>
                <w:sz w:val="20"/>
                <w:szCs w:val="20"/>
                <w:highlight w:val="none"/>
                <w:lang w:eastAsia="zh-CN" w:bidi="ar"/>
              </w:rPr>
              <w:t xml:space="preserve">For D2T2-A2: </w:t>
            </w:r>
          </w:p>
          <w:p>
            <w:pPr>
              <w:widowControl w:val="0"/>
              <w:snapToGrid w:val="0"/>
              <w:spacing w:before="120" w:after="0" w:line="280" w:lineRule="atLeast"/>
              <w:jc w:val="both"/>
              <w:rPr>
                <w:rFonts w:hint="default" w:ascii="Times New Roman" w:hAnsi="Times New Roman" w:eastAsia="等线" w:cs="Times New Roman"/>
                <w:sz w:val="20"/>
                <w:szCs w:val="20"/>
                <w:highlight w:val="none"/>
                <w:lang w:eastAsia="zh-CN" w:bidi="ar"/>
              </w:rPr>
            </w:pPr>
            <w:r>
              <w:rPr>
                <w:rFonts w:hint="default" w:ascii="Times New Roman" w:hAnsi="Times New Roman" w:eastAsia="等线" w:cs="Times New Roman"/>
                <w:sz w:val="20"/>
                <w:szCs w:val="20"/>
                <w:highlight w:val="none"/>
                <w:lang w:eastAsia="zh-CN" w:bidi="ar"/>
              </w:rPr>
              <w:t>The intermediate UEs selected from the fixed positions.</w:t>
            </w:r>
          </w:p>
          <w:p>
            <w:pPr>
              <w:widowControl w:val="0"/>
              <w:snapToGrid w:val="0"/>
              <w:spacing w:before="120" w:after="0" w:line="280" w:lineRule="atLeast"/>
              <w:jc w:val="both"/>
              <w:rPr>
                <w:rFonts w:hint="default" w:ascii="Times New Roman" w:hAnsi="Times New Roman" w:eastAsia="等线" w:cs="Times New Roman"/>
                <w:sz w:val="20"/>
                <w:szCs w:val="20"/>
                <w:highlight w:val="none"/>
                <w:lang w:eastAsia="zh-CN" w:bidi="ar"/>
              </w:rPr>
            </w:pPr>
            <w:r>
              <w:rPr>
                <w:rFonts w:hint="default" w:ascii="Times New Roman" w:hAnsi="Times New Roman" w:eastAsia="等线" w:cs="Times New Roman"/>
                <w:sz w:val="20"/>
                <w:szCs w:val="20"/>
                <w:highlight w:val="none"/>
                <w:lang w:eastAsia="zh-CN" w:bidi="ar"/>
              </w:rPr>
              <w:t xml:space="preserve">Number of intermediate UE for calibration: </w:t>
            </w:r>
          </w:p>
          <w:p>
            <w:pPr>
              <w:pStyle w:val="26"/>
              <w:widowControl w:val="0"/>
              <w:numPr>
                <w:ilvl w:val="0"/>
                <w:numId w:val="18"/>
              </w:numPr>
              <w:snapToGrid w:val="0"/>
              <w:spacing w:before="120" w:after="0" w:line="280" w:lineRule="atLeast"/>
              <w:ind w:firstLineChars="0"/>
              <w:jc w:val="both"/>
              <w:rPr>
                <w:rFonts w:hint="default" w:ascii="Times New Roman" w:hAnsi="Times New Roman" w:eastAsia="等线" w:cs="Times New Roman"/>
                <w:sz w:val="20"/>
                <w:szCs w:val="20"/>
                <w:highlight w:val="none"/>
                <w:lang w:eastAsia="zh-CN" w:bidi="ar"/>
              </w:rPr>
            </w:pPr>
            <w:r>
              <w:rPr>
                <w:rFonts w:hint="default" w:ascii="Times New Roman" w:hAnsi="Times New Roman" w:eastAsia="等线" w:cs="Times New Roman"/>
                <w:sz w:val="20"/>
                <w:szCs w:val="20"/>
                <w:highlight w:val="none"/>
                <w:lang w:eastAsia="zh-CN" w:bidi="ar"/>
              </w:rPr>
              <w:t>Option 1: 2 UE at one drop</w:t>
            </w:r>
          </w:p>
          <w:p>
            <w:pPr>
              <w:pStyle w:val="26"/>
              <w:widowControl w:val="0"/>
              <w:numPr>
                <w:ilvl w:val="0"/>
                <w:numId w:val="18"/>
              </w:numPr>
              <w:snapToGrid w:val="0"/>
              <w:spacing w:before="120" w:after="0" w:line="280" w:lineRule="atLeast"/>
              <w:ind w:firstLineChars="0"/>
              <w:jc w:val="both"/>
              <w:rPr>
                <w:rFonts w:hint="default" w:ascii="Times New Roman" w:hAnsi="Times New Roman" w:cs="Times New Roman"/>
                <w:sz w:val="20"/>
                <w:szCs w:val="20"/>
                <w:highlight w:val="none"/>
                <w:vertAlign w:val="baseline"/>
                <w:lang w:val="en-US" w:eastAsia="zh-CN"/>
              </w:rPr>
            </w:pPr>
            <w:r>
              <w:rPr>
                <w:rFonts w:hint="default" w:ascii="Times New Roman" w:hAnsi="Times New Roman" w:eastAsia="等线" w:cs="Times New Roman"/>
                <w:sz w:val="20"/>
                <w:szCs w:val="20"/>
                <w:highlight w:val="none"/>
                <w:lang w:eastAsia="zh-CN" w:bidi="ar"/>
              </w:rPr>
              <w:t xml:space="preserve">Option 2: 12 UE at one drop </w:t>
            </w:r>
          </w:p>
        </w:tc>
      </w:tr>
    </w:tbl>
    <w:p>
      <w:pPr>
        <w:widowControl w:val="0"/>
        <w:numPr>
          <w:ilvl w:val="0"/>
          <w:numId w:val="0"/>
        </w:numPr>
        <w:tabs>
          <w:tab w:val="left" w:pos="720"/>
        </w:tabs>
        <w:spacing w:after="156" w:afterLines="50"/>
        <w:jc w:val="both"/>
        <w:rPr>
          <w:rFonts w:hint="default" w:ascii="Times New Roman" w:hAnsi="Times New Roman"/>
          <w:sz w:val="20"/>
          <w:szCs w:val="20"/>
          <w:lang w:val="en-US" w:eastAsia="zh-CN"/>
        </w:rPr>
      </w:pPr>
    </w:p>
    <w:p>
      <w:pPr>
        <w:widowControl w:val="0"/>
        <w:numPr>
          <w:ilvl w:val="0"/>
          <w:numId w:val="0"/>
        </w:numPr>
        <w:tabs>
          <w:tab w:val="left" w:pos="720"/>
        </w:tabs>
        <w:spacing w:after="156" w:afterLines="50"/>
        <w:jc w:val="both"/>
        <w:rPr>
          <w:rFonts w:hint="default" w:ascii="Times New Roman" w:hAnsi="Times New Roman"/>
          <w:sz w:val="20"/>
          <w:szCs w:val="20"/>
          <w:highlight w:val="none"/>
          <w:lang w:val="en-US" w:eastAsia="zh-CN"/>
        </w:rPr>
      </w:pPr>
      <w:r>
        <w:rPr>
          <w:rFonts w:hint="eastAsia" w:ascii="Times New Roman" w:hAnsi="Times New Roman"/>
          <w:sz w:val="20"/>
          <w:szCs w:val="20"/>
          <w:lang w:val="en-US" w:eastAsia="zh-CN"/>
        </w:rPr>
        <w:t>There is still no agreements of activation ratio of topology 2. The same methodology of topology 1 seems hard for actual deployment because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hard for gNB to schedule intermediate UE just based on the geographic area. If we randomly activate X intermediate UE at the same time, e.g. 2 UE. This means the interference from nearby reader still occurs but with relatively low probability. To reflect actual schedule scheme, it</w:t>
      </w:r>
      <w:r>
        <w:rPr>
          <w:rFonts w:hint="default" w:ascii="Times New Roman" w:hAnsi="Times New Roman"/>
          <w:sz w:val="20"/>
          <w:szCs w:val="20"/>
          <w:lang w:val="en-US" w:eastAsia="zh-CN"/>
        </w:rPr>
        <w:t>’</w:t>
      </w:r>
      <w:r>
        <w:rPr>
          <w:rFonts w:hint="eastAsia" w:ascii="Times New Roman" w:hAnsi="Times New Roman"/>
          <w:sz w:val="20"/>
          <w:szCs w:val="20"/>
          <w:lang w:val="en-US" w:eastAsia="zh-CN"/>
        </w:rPr>
        <w:t>s OK to randomly choose 2 intermediate UE</w:t>
      </w:r>
      <w:r>
        <w:rPr>
          <w:rFonts w:hint="eastAsia" w:ascii="Times New Roman" w:hAnsi="Times New Roman"/>
          <w:sz w:val="20"/>
          <w:szCs w:val="20"/>
          <w:highlight w:val="none"/>
          <w:lang w:val="en-US" w:eastAsia="zh-CN"/>
        </w:rPr>
        <w:t>.</w:t>
      </w:r>
    </w:p>
    <w:p>
      <w:pPr>
        <w:numPr>
          <w:ilvl w:val="0"/>
          <w:numId w:val="0"/>
        </w:numPr>
        <w:tabs>
          <w:tab w:val="left" w:pos="720"/>
        </w:tabs>
        <w:spacing w:after="156" w:afterLines="50"/>
        <w:rPr>
          <w:rFonts w:hint="eastAsia" w:ascii="Times New Roman" w:hAnsi="Times New Roman"/>
          <w:sz w:val="20"/>
          <w:szCs w:val="20"/>
          <w:highlight w:val="none"/>
          <w:lang w:val="en-US" w:eastAsia="zh-CN"/>
        </w:rPr>
      </w:pPr>
      <w:r>
        <w:rPr>
          <w:rFonts w:hint="eastAsia" w:ascii="Times New Roman" w:hAnsi="Times New Roman"/>
          <w:b/>
          <w:bCs/>
          <w:sz w:val="20"/>
          <w:szCs w:val="20"/>
          <w:highlight w:val="none"/>
          <w:lang w:val="en-US" w:eastAsia="zh-CN"/>
        </w:rPr>
        <w:t>Proposal 17: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randomly choose 2 readers simultaneously for topology 2.</w:t>
      </w:r>
    </w:p>
    <w:p>
      <w:pPr>
        <w:widowControl w:val="0"/>
        <w:numPr>
          <w:ilvl w:val="0"/>
          <w:numId w:val="0"/>
        </w:numPr>
        <w:tabs>
          <w:tab w:val="left" w:pos="720"/>
        </w:tabs>
        <w:spacing w:after="156" w:afterLines="50"/>
        <w:jc w:val="both"/>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For UE dropping, last meeting agreements are listed as below for both topology 1 and topology 2.</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962" w:type="dxa"/>
          </w:tcPr>
          <w:p>
            <w:pPr>
              <w:snapToGrid w:val="0"/>
              <w:spacing w:before="120" w:after="160" w:line="249" w:lineRule="auto"/>
              <w:rPr>
                <w:rFonts w:hint="default" w:ascii="Times New Roman" w:hAnsi="Times New Roman" w:eastAsia="等线" w:cs="Times New Roman"/>
                <w:sz w:val="20"/>
                <w:szCs w:val="20"/>
                <w:lang w:eastAsia="zh-CN" w:bidi="ar"/>
              </w:rPr>
            </w:pPr>
            <w:r>
              <w:rPr>
                <w:rFonts w:hint="default" w:ascii="Times New Roman" w:hAnsi="Times New Roman" w:eastAsia="等线" w:cs="Times New Roman"/>
                <w:sz w:val="20"/>
                <w:szCs w:val="20"/>
                <w:lang w:eastAsia="zh-CN" w:bidi="ar"/>
              </w:rPr>
              <w:t>For scenario option 1-1, uniformly distributed outdoor.</w:t>
            </w:r>
          </w:p>
          <w:p>
            <w:pPr>
              <w:snapToGrid w:val="0"/>
              <w:spacing w:before="120" w:after="160" w:line="249" w:lineRule="auto"/>
              <w:rPr>
                <w:rFonts w:hint="default" w:ascii="Times New Roman" w:hAnsi="Times New Roman" w:eastAsia="等线" w:cs="Times New Roman"/>
                <w:sz w:val="20"/>
                <w:szCs w:val="20"/>
                <w:lang w:eastAsia="zh-CN" w:bidi="ar"/>
              </w:rPr>
            </w:pPr>
            <w:r>
              <w:rPr>
                <w:rFonts w:hint="default" w:ascii="Times New Roman" w:hAnsi="Times New Roman" w:eastAsia="等线" w:cs="Times New Roman"/>
                <w:sz w:val="20"/>
                <w:szCs w:val="20"/>
                <w:lang w:eastAsia="zh-CN" w:bidi="ar"/>
              </w:rPr>
              <w:t>For scenario option 1-2, uniformly distributed, 80% indoor, 20% outdoor</w:t>
            </w:r>
          </w:p>
          <w:p>
            <w:pPr>
              <w:snapToGrid w:val="0"/>
              <w:spacing w:before="120" w:after="160" w:line="249" w:lineRule="auto"/>
              <w:rPr>
                <w:rFonts w:hint="default" w:ascii="Times New Roman" w:hAnsi="Times New Roman" w:eastAsia="等线" w:cs="Times New Roman"/>
                <w:sz w:val="20"/>
                <w:szCs w:val="20"/>
                <w:lang w:val="en-US" w:eastAsia="zh-CN" w:bidi="ar"/>
              </w:rPr>
            </w:pPr>
            <w:r>
              <w:rPr>
                <w:rFonts w:hint="default" w:ascii="Times New Roman" w:hAnsi="Times New Roman" w:eastAsia="等线" w:cs="Times New Roman"/>
                <w:sz w:val="20"/>
                <w:szCs w:val="20"/>
                <w:lang w:val="en-US" w:eastAsia="zh-CN" w:bidi="ar"/>
              </w:rPr>
              <w:t>Option 1-1: Legacy NR UE is only allowed outdoors.</w:t>
            </w:r>
          </w:p>
          <w:p>
            <w:pPr>
              <w:snapToGrid w:val="0"/>
              <w:spacing w:before="120" w:after="160" w:line="249" w:lineRule="auto"/>
              <w:rPr>
                <w:rFonts w:hint="default" w:ascii="Times New Roman" w:hAnsi="Times New Roman" w:eastAsia="等线" w:cs="Times New Roman"/>
                <w:sz w:val="20"/>
                <w:szCs w:val="20"/>
                <w:lang w:val="en-US" w:eastAsia="zh-CN" w:bidi="ar"/>
              </w:rPr>
            </w:pPr>
            <w:r>
              <w:rPr>
                <w:rFonts w:hint="default" w:ascii="Times New Roman" w:hAnsi="Times New Roman" w:eastAsia="等线" w:cs="Times New Roman"/>
                <w:sz w:val="20"/>
                <w:szCs w:val="20"/>
                <w:lang w:val="en-US" w:eastAsia="zh-CN" w:bidi="ar"/>
              </w:rPr>
              <w:t>Option 1-2: Legacy NR UE is indoor accessing to outdoor NR marco gNB</w:t>
            </w:r>
          </w:p>
        </w:tc>
      </w:tr>
    </w:tbl>
    <w:p>
      <w:pPr>
        <w:widowControl w:val="0"/>
        <w:numPr>
          <w:ilvl w:val="0"/>
          <w:numId w:val="0"/>
        </w:numPr>
        <w:tabs>
          <w:tab w:val="left" w:pos="720"/>
        </w:tabs>
        <w:spacing w:after="156" w:afterLines="50"/>
        <w:jc w:val="both"/>
        <w:rPr>
          <w:rFonts w:hint="default" w:ascii="Times New Roman" w:hAnsi="Times New Roman"/>
          <w:sz w:val="20"/>
          <w:szCs w:val="20"/>
          <w:highlight w:val="none"/>
          <w:lang w:val="en-US" w:eastAsia="zh-CN"/>
        </w:rPr>
      </w:pPr>
    </w:p>
    <w:p>
      <w:pPr>
        <w:widowControl w:val="0"/>
        <w:numPr>
          <w:ilvl w:val="0"/>
          <w:numId w:val="0"/>
        </w:numPr>
        <w:tabs>
          <w:tab w:val="left" w:pos="720"/>
        </w:tabs>
        <w:spacing w:after="156" w:afterLines="50"/>
        <w:jc w:val="both"/>
        <w:rPr>
          <w:rFonts w:hint="eastAsia" w:ascii="Times New Roman" w:hAnsi="Times New Roman"/>
          <w:sz w:val="20"/>
          <w:szCs w:val="20"/>
          <w:highlight w:val="none"/>
          <w:lang w:val="en-US" w:eastAsia="zh-CN"/>
        </w:rPr>
      </w:pPr>
      <w:r>
        <w:rPr>
          <w:rFonts w:hint="eastAsia" w:ascii="Times New Roman" w:hAnsi="Times New Roman"/>
          <w:sz w:val="20"/>
          <w:szCs w:val="20"/>
          <w:highlight w:val="none"/>
          <w:lang w:val="en-US" w:eastAsia="zh-CN"/>
        </w:rPr>
        <w:t>One issue about the UE dropping of scenario option 1-2 is whether the indoor UE is located in the same factory/office as A-IoT or they are in different indoor factory/office. After offline discussion, we have following consensus.</w:t>
      </w:r>
    </w:p>
    <w:p>
      <w:pPr>
        <w:widowControl w:val="0"/>
        <w:numPr>
          <w:ilvl w:val="0"/>
          <w:numId w:val="0"/>
        </w:numPr>
        <w:tabs>
          <w:tab w:val="left" w:pos="720"/>
        </w:tabs>
        <w:spacing w:after="156" w:afterLines="50"/>
        <w:jc w:val="both"/>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18: for calibration purpose, 80% legacy indoor UE are unifrom distributed in the same factory/office as A-IoT system, i.e. there is no penetration loss between A-IoT system and legacy indoor UE.</w:t>
      </w:r>
    </w:p>
    <w:p>
      <w:pPr>
        <w:widowControl w:val="0"/>
        <w:numPr>
          <w:ilvl w:val="0"/>
          <w:numId w:val="0"/>
        </w:numPr>
        <w:tabs>
          <w:tab w:val="left" w:pos="720"/>
        </w:tabs>
        <w:spacing w:after="156" w:afterLines="50"/>
        <w:jc w:val="both"/>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For formal simulation, 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suggested to re-define the distribution of existing UE. For topology 1, the area of 120*60m factory only occupies 4.43% of one macro NR sector. For topology 2, the area of 120*50m office only occupies 3.58% of one macro NR sector. So in theory, the probability of existing UE that are distributed in the same factory/office as A-IoT is lower.</w:t>
      </w:r>
    </w:p>
    <w:p>
      <w:pPr>
        <w:widowControl w:val="0"/>
        <w:numPr>
          <w:ilvl w:val="0"/>
          <w:numId w:val="0"/>
        </w:numPr>
        <w:tabs>
          <w:tab w:val="left" w:pos="720"/>
        </w:tabs>
        <w:spacing w:after="156" w:afterLines="50"/>
        <w:jc w:val="both"/>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Following we list some options for existing indoor UE distribution.</w:t>
      </w:r>
    </w:p>
    <w:p>
      <w:pPr>
        <w:widowControl w:val="0"/>
        <w:numPr>
          <w:ilvl w:val="0"/>
          <w:numId w:val="17"/>
        </w:numPr>
        <w:tabs>
          <w:tab w:val="left" w:pos="720"/>
          <w:tab w:val="clear" w:pos="-420"/>
        </w:tabs>
        <w:spacing w:after="156" w:afterLines="50"/>
        <w:ind w:left="516" w:leftChars="0" w:hanging="360" w:firstLineChars="0"/>
        <w:jc w:val="both"/>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Option 1: 80% indoor UE among which </w:t>
      </w:r>
    </w:p>
    <w:p>
      <w:pPr>
        <w:widowControl w:val="0"/>
        <w:numPr>
          <w:ilvl w:val="1"/>
          <w:numId w:val="17"/>
        </w:numPr>
        <w:tabs>
          <w:tab w:val="left" w:pos="720"/>
          <w:tab w:val="clear" w:pos="-420"/>
        </w:tabs>
        <w:spacing w:after="156" w:afterLines="50"/>
        <w:ind w:left="1236" w:leftChars="0" w:hanging="360" w:firstLineChars="0"/>
        <w:jc w:val="both"/>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X% legacy UE are uniform distributed in the same factory/office as A-IoT system in geographic, there is no penetration loss between legacy UE and A-IoT system</w:t>
      </w:r>
    </w:p>
    <w:p>
      <w:pPr>
        <w:widowControl w:val="0"/>
        <w:numPr>
          <w:ilvl w:val="1"/>
          <w:numId w:val="17"/>
        </w:numPr>
        <w:tabs>
          <w:tab w:val="left" w:pos="720"/>
          <w:tab w:val="clear" w:pos="-420"/>
        </w:tabs>
        <w:spacing w:after="156" w:afterLines="50"/>
        <w:ind w:left="1236" w:leftChars="0" w:hanging="360" w:firstLineChars="0"/>
        <w:jc w:val="both"/>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(80-X)% legacy UE are uniform distributed in different factory/office as A-IoT system, we can assume 2 times penetration loss between legacy UE and A-IoT system</w:t>
      </w:r>
    </w:p>
    <w:p>
      <w:pPr>
        <w:widowControl w:val="0"/>
        <w:numPr>
          <w:ilvl w:val="1"/>
          <w:numId w:val="17"/>
        </w:numPr>
        <w:tabs>
          <w:tab w:val="left" w:pos="720"/>
          <w:tab w:val="clear" w:pos="-420"/>
        </w:tabs>
        <w:spacing w:after="156" w:afterLines="50"/>
        <w:ind w:left="1236" w:leftChars="0" w:hanging="360" w:firstLineChars="0"/>
        <w:jc w:val="both"/>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X value can be 20%, 10%</w:t>
      </w:r>
    </w:p>
    <w:p>
      <w:pPr>
        <w:widowControl w:val="0"/>
        <w:numPr>
          <w:ilvl w:val="0"/>
          <w:numId w:val="17"/>
        </w:numPr>
        <w:tabs>
          <w:tab w:val="left" w:pos="720"/>
          <w:tab w:val="clear" w:pos="-420"/>
        </w:tabs>
        <w:spacing w:after="156" w:afterLines="50"/>
        <w:ind w:left="516" w:leftChars="0" w:hanging="360" w:firstLineChars="0"/>
        <w:jc w:val="both"/>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Option 2: 80% indoor UE among which</w:t>
      </w:r>
    </w:p>
    <w:p>
      <w:pPr>
        <w:widowControl w:val="0"/>
        <w:numPr>
          <w:ilvl w:val="1"/>
          <w:numId w:val="17"/>
        </w:numPr>
        <w:tabs>
          <w:tab w:val="left" w:pos="720"/>
          <w:tab w:val="clear" w:pos="-420"/>
        </w:tabs>
        <w:spacing w:after="156" w:afterLines="50"/>
        <w:ind w:left="1236" w:leftChars="0" w:hanging="360" w:firstLineChars="0"/>
        <w:jc w:val="both"/>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80% legacy UE are uniform distributed in the NR macro sector in geographic. When calculating PL between legacy UE and A-IoT system, </w:t>
      </w:r>
    </w:p>
    <w:p>
      <w:pPr>
        <w:widowControl w:val="0"/>
        <w:numPr>
          <w:ilvl w:val="2"/>
          <w:numId w:val="17"/>
        </w:numPr>
        <w:tabs>
          <w:tab w:val="left" w:pos="720"/>
          <w:tab w:val="clear" w:pos="-420"/>
        </w:tabs>
        <w:spacing w:after="156" w:afterLines="50"/>
        <w:ind w:left="1956" w:leftChars="0" w:hanging="360" w:firstLineChars="0"/>
        <w:jc w:val="both"/>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assume no penetration loss for X% legacy UE which means X% legacy UE are assumed distributed in the same factory/office as A-IoT system although such UE actually may be not in the same factory/office as A-IoT system geographically. Such simplification is just used to simplify the simulation program since some companies assume all UE in the sector during calibration</w:t>
      </w:r>
    </w:p>
    <w:p>
      <w:pPr>
        <w:widowControl w:val="0"/>
        <w:numPr>
          <w:ilvl w:val="2"/>
          <w:numId w:val="17"/>
        </w:numPr>
        <w:tabs>
          <w:tab w:val="left" w:pos="720"/>
          <w:tab w:val="clear" w:pos="-420"/>
        </w:tabs>
        <w:spacing w:after="156" w:afterLines="50"/>
        <w:ind w:left="1956" w:leftChars="0" w:hanging="360" w:firstLineChars="0"/>
        <w:jc w:val="both"/>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assume two times penetration loss for (80-X)% legacy UE which means (80-X)% legacy UE are assumed not distributed in the same factory/office as A-IoT system although such UE actually may be in the same factory/office as A-IoT system geographically. Such simplification is just used to simplify the simulation program since some companies assume all UE in the sector during calibration</w:t>
      </w:r>
    </w:p>
    <w:p>
      <w:pPr>
        <w:widowControl w:val="0"/>
        <w:numPr>
          <w:ilvl w:val="2"/>
          <w:numId w:val="17"/>
        </w:numPr>
        <w:tabs>
          <w:tab w:val="left" w:pos="720"/>
          <w:tab w:val="clear" w:pos="-420"/>
        </w:tabs>
        <w:spacing w:after="156" w:afterLines="50"/>
        <w:ind w:left="1956" w:leftChars="0" w:hanging="360" w:firstLineChars="0"/>
        <w:jc w:val="both"/>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X value can be 20%</w:t>
      </w:r>
    </w:p>
    <w:p>
      <w:pPr>
        <w:widowControl w:val="0"/>
        <w:numPr>
          <w:ilvl w:val="0"/>
          <w:numId w:val="0"/>
        </w:numPr>
        <w:tabs>
          <w:tab w:val="left" w:pos="720"/>
        </w:tabs>
        <w:spacing w:after="156" w:afterLines="50"/>
        <w:ind w:left="156" w:leftChars="0"/>
        <w:jc w:val="both"/>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Above option 1 will actually reflect UE distribution in geographic, option 2 is just used to reduce the workload of updating simulation program. 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still suggested to use option 1 and RAN4 can discuss to conclude value for X.</w:t>
      </w:r>
    </w:p>
    <w:p>
      <w:pPr>
        <w:widowControl w:val="0"/>
        <w:numPr>
          <w:ilvl w:val="0"/>
          <w:numId w:val="0"/>
        </w:numPr>
        <w:tabs>
          <w:tab w:val="left" w:pos="720"/>
        </w:tabs>
        <w:spacing w:after="156" w:afterLines="50"/>
        <w:ind w:left="156" w:leftChars="0"/>
        <w:jc w:val="both"/>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19: for the existing indoor UE distribution, we have following suggestions.</w:t>
      </w:r>
    </w:p>
    <w:p>
      <w:pPr>
        <w:widowControl w:val="0"/>
        <w:numPr>
          <w:ilvl w:val="0"/>
          <w:numId w:val="17"/>
        </w:numPr>
        <w:tabs>
          <w:tab w:val="left" w:pos="720"/>
          <w:tab w:val="clear" w:pos="-420"/>
        </w:tabs>
        <w:spacing w:after="156" w:afterLines="50"/>
        <w:ind w:left="51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 xml:space="preserve">80% indoor UE among which </w:t>
      </w:r>
    </w:p>
    <w:p>
      <w:pPr>
        <w:widowControl w:val="0"/>
        <w:numPr>
          <w:ilvl w:val="1"/>
          <w:numId w:val="17"/>
        </w:numPr>
        <w:tabs>
          <w:tab w:val="left" w:pos="720"/>
          <w:tab w:val="clear" w:pos="-420"/>
        </w:tabs>
        <w:spacing w:after="156" w:afterLines="50"/>
        <w:ind w:left="123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X% legacy UE are uniform distributed in the same factory/office as A-IoT system in geographic, there is no penetration loss between legacy UE and A-IoT system</w:t>
      </w:r>
    </w:p>
    <w:p>
      <w:pPr>
        <w:widowControl w:val="0"/>
        <w:numPr>
          <w:ilvl w:val="1"/>
          <w:numId w:val="17"/>
        </w:numPr>
        <w:tabs>
          <w:tab w:val="left" w:pos="720"/>
          <w:tab w:val="clear" w:pos="-420"/>
        </w:tabs>
        <w:spacing w:after="156" w:afterLines="50"/>
        <w:ind w:left="123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(80-X)% legacy UE are uniform distributed in different factory/office as A-IoT system, we can assume 2 times penetration loss between legacy UE and A-IoT system</w:t>
      </w:r>
    </w:p>
    <w:p>
      <w:pPr>
        <w:widowControl w:val="0"/>
        <w:numPr>
          <w:ilvl w:val="1"/>
          <w:numId w:val="17"/>
        </w:numPr>
        <w:tabs>
          <w:tab w:val="left" w:pos="720"/>
          <w:tab w:val="clear" w:pos="-420"/>
        </w:tabs>
        <w:spacing w:after="156" w:afterLines="50"/>
        <w:ind w:left="123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X value can be 20%, 10%</w:t>
      </w:r>
    </w:p>
    <w:p>
      <w:pPr>
        <w:widowControl w:val="0"/>
        <w:numPr>
          <w:ilvl w:val="0"/>
          <w:numId w:val="19"/>
        </w:numPr>
        <w:tabs>
          <w:tab w:val="left" w:pos="720"/>
        </w:tabs>
        <w:spacing w:after="156" w:afterLines="50"/>
        <w:ind w:left="420" w:leftChars="0" w:hanging="420" w:firstLineChars="0"/>
        <w:jc w:val="both"/>
        <w:rPr>
          <w:rFonts w:hint="default"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 xml:space="preserve">Penetration loss for O2I </w:t>
      </w:r>
    </w:p>
    <w:p>
      <w:pPr>
        <w:widowControl w:val="0"/>
        <w:numPr>
          <w:ilvl w:val="0"/>
          <w:numId w:val="0"/>
        </w:numPr>
        <w:tabs>
          <w:tab w:val="left" w:pos="720"/>
        </w:tabs>
        <w:spacing w:after="156" w:afterLines="50"/>
        <w:ind w:leftChars="0"/>
        <w:jc w:val="both"/>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The penetration loss in TR 38.901 is suggested as baseline which is captured as below:</w:t>
      </w:r>
    </w:p>
    <w:p>
      <w:pPr>
        <w:widowControl w:val="0"/>
        <w:numPr>
          <w:ilvl w:val="0"/>
          <w:numId w:val="0"/>
        </w:numPr>
        <w:tabs>
          <w:tab w:val="left" w:pos="720"/>
        </w:tabs>
        <w:spacing w:after="156" w:afterLines="50"/>
        <w:ind w:leftChars="0"/>
        <w:jc w:val="both"/>
      </w:pPr>
      <w:r>
        <w:drawing>
          <wp:inline distT="0" distB="0" distL="114300" distR="114300">
            <wp:extent cx="5021580" cy="1371600"/>
            <wp:effectExtent l="0" t="0" r="7620" b="0"/>
            <wp:docPr id="2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
                    <pic:cNvPicPr>
                      <a:picLocks noChangeAspect="1"/>
                    </pic:cNvPicPr>
                  </pic:nvPicPr>
                  <pic:blipFill>
                    <a:blip r:embed="rId9"/>
                    <a:stretch>
                      <a:fillRect/>
                    </a:stretch>
                  </pic:blipFill>
                  <pic:spPr>
                    <a:xfrm>
                      <a:off x="0" y="0"/>
                      <a:ext cx="5021580" cy="1371600"/>
                    </a:xfrm>
                    <a:prstGeom prst="rect">
                      <a:avLst/>
                    </a:prstGeom>
                  </pic:spPr>
                </pic:pic>
              </a:graphicData>
            </a:graphic>
          </wp:inline>
        </w:drawing>
      </w:r>
    </w:p>
    <w:p>
      <w:pPr>
        <w:widowControl w:val="0"/>
        <w:numPr>
          <w:ilvl w:val="0"/>
          <w:numId w:val="0"/>
        </w:numPr>
        <w:tabs>
          <w:tab w:val="left" w:pos="720"/>
        </w:tabs>
        <w:spacing w:after="156" w:afterLines="50"/>
        <w:ind w:leftChars="0"/>
        <w:jc w:val="both"/>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One thing that needs further clarification is about the definition of PLin, here the PLin = 0.5 * d2D-in. And the d2D-in is defined as the distance to the nearest factory/office boundary on the line between Tx and Rx point. During calibration, 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suggested to use above equation for PLin but without any upper bound of d2D-in. But after further analysis of the calibration data, it seems if there is no upper bound limitation of d2D-in, the received power from NR macro gNB to existing UE would be lower. In the same way, the interference from outdoor NR macro to indoor device is also lower. So such d2D-in definition is important. Usually 900MHz outdoor macro gNB could provide service for indoor UE. From this point of view, it</w:t>
      </w:r>
      <w:r>
        <w:rPr>
          <w:rFonts w:hint="default" w:ascii="Times New Roman" w:hAnsi="Times New Roman"/>
          <w:b w:val="0"/>
          <w:bCs w:val="0"/>
          <w:sz w:val="20"/>
          <w:szCs w:val="20"/>
          <w:highlight w:val="none"/>
          <w:lang w:val="en-US" w:eastAsia="zh-CN"/>
        </w:rPr>
        <w:t>’</w:t>
      </w:r>
      <w:r>
        <w:rPr>
          <w:rFonts w:hint="eastAsia" w:ascii="Times New Roman" w:hAnsi="Times New Roman"/>
          <w:b w:val="0"/>
          <w:bCs w:val="0"/>
          <w:sz w:val="20"/>
          <w:szCs w:val="20"/>
          <w:highlight w:val="none"/>
          <w:lang w:val="en-US" w:eastAsia="zh-CN"/>
        </w:rPr>
        <w:t>s suggested to set some upper limit of d2D-in, 25m is suggested.</w:t>
      </w:r>
    </w:p>
    <w:p>
      <w:pPr>
        <w:widowControl w:val="0"/>
        <w:numPr>
          <w:ilvl w:val="0"/>
          <w:numId w:val="0"/>
        </w:numPr>
        <w:tabs>
          <w:tab w:val="left" w:pos="720"/>
        </w:tabs>
        <w:spacing w:after="156" w:afterLines="50"/>
        <w:ind w:leftChars="0"/>
        <w:jc w:val="both"/>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20: we have following suggestion for penetration loss</w:t>
      </w:r>
    </w:p>
    <w:p>
      <w:pPr>
        <w:widowControl w:val="0"/>
        <w:numPr>
          <w:ilvl w:val="0"/>
          <w:numId w:val="20"/>
        </w:numPr>
        <w:tabs>
          <w:tab w:val="left" w:pos="720"/>
          <w:tab w:val="clear" w:pos="-420"/>
        </w:tabs>
        <w:spacing w:after="156" w:afterLines="50"/>
        <w:ind w:left="51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Use the equation of 7.4-2 in 38.901</w:t>
      </w:r>
    </w:p>
    <w:p>
      <w:pPr>
        <w:widowControl w:val="0"/>
        <w:numPr>
          <w:ilvl w:val="0"/>
          <w:numId w:val="20"/>
        </w:numPr>
        <w:tabs>
          <w:tab w:val="left" w:pos="720"/>
          <w:tab w:val="clear" w:pos="-420"/>
        </w:tabs>
        <w:spacing w:after="156" w:afterLines="50"/>
        <w:ind w:left="51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PLin = 0.5 * d2D-in where d2D-in is the distance to nearest factory/office boundary on the line between Tx and Rx point.</w:t>
      </w:r>
    </w:p>
    <w:p>
      <w:pPr>
        <w:widowControl w:val="0"/>
        <w:numPr>
          <w:ilvl w:val="1"/>
          <w:numId w:val="20"/>
        </w:numPr>
        <w:tabs>
          <w:tab w:val="left" w:pos="720"/>
          <w:tab w:val="clear" w:pos="-420"/>
        </w:tabs>
        <w:spacing w:after="156" w:afterLines="50"/>
        <w:ind w:left="123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For calibration purpose, no limitation of d2D-in</w:t>
      </w:r>
    </w:p>
    <w:p>
      <w:pPr>
        <w:widowControl w:val="0"/>
        <w:numPr>
          <w:ilvl w:val="1"/>
          <w:numId w:val="20"/>
        </w:numPr>
        <w:tabs>
          <w:tab w:val="left" w:pos="720"/>
          <w:tab w:val="clear" w:pos="-420"/>
        </w:tabs>
        <w:spacing w:after="156" w:afterLines="50"/>
        <w:ind w:left="123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For formal purpose, max value of d2D-in is 25m</w:t>
      </w:r>
    </w:p>
    <w:p>
      <w:pPr>
        <w:widowControl w:val="0"/>
        <w:numPr>
          <w:ilvl w:val="0"/>
          <w:numId w:val="21"/>
        </w:numPr>
        <w:tabs>
          <w:tab w:val="left" w:pos="720"/>
        </w:tabs>
        <w:spacing w:after="156" w:afterLines="50"/>
        <w:ind w:left="420" w:leftChars="0" w:hanging="42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Path loss</w:t>
      </w:r>
    </w:p>
    <w:p>
      <w:pPr>
        <w:widowControl w:val="0"/>
        <w:numPr>
          <w:ilvl w:val="0"/>
          <w:numId w:val="0"/>
        </w:numPr>
        <w:tabs>
          <w:tab w:val="left" w:pos="720"/>
        </w:tabs>
        <w:spacing w:after="156" w:afterLines="50"/>
        <w:jc w:val="both"/>
        <w:rPr>
          <w:rFonts w:hint="eastAsia" w:ascii="Times New Roman" w:hAnsi="Times New Roman"/>
          <w:b w:val="0"/>
          <w:bCs w:val="0"/>
          <w:sz w:val="20"/>
          <w:szCs w:val="20"/>
          <w:highlight w:val="none"/>
          <w:lang w:val="en-US" w:eastAsia="zh-CN"/>
        </w:rPr>
      </w:pPr>
      <w:r>
        <w:rPr>
          <w:rFonts w:hint="eastAsia" w:ascii="Times New Roman" w:hAnsi="Times New Roman"/>
          <w:b w:val="0"/>
          <w:bCs w:val="0"/>
          <w:sz w:val="20"/>
          <w:szCs w:val="20"/>
          <w:highlight w:val="none"/>
          <w:lang w:val="en-US" w:eastAsia="zh-CN"/>
        </w:rPr>
        <w:t>as defined above, whether we consider the O2I or O2O or I2I pathloss, we need to know the basic pathloss model. Following show the suggestions for all links pathloss.</w:t>
      </w:r>
    </w:p>
    <w:p>
      <w:pPr>
        <w:widowControl w:val="0"/>
        <w:numPr>
          <w:ilvl w:val="0"/>
          <w:numId w:val="0"/>
        </w:numPr>
        <w:tabs>
          <w:tab w:val="left" w:pos="720"/>
        </w:tabs>
        <w:spacing w:after="156" w:afterLines="50"/>
        <w:jc w:val="both"/>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21: we have following suggestion for pathloss of all links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p>
        </w:tc>
        <w:tc>
          <w:tcPr>
            <w:tcW w:w="3321"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D1T1</w:t>
            </w:r>
          </w:p>
        </w:tc>
        <w:tc>
          <w:tcPr>
            <w:tcW w:w="3321"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D2T2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Indoor legacy UE &lt;-&gt; indoor device</w:t>
            </w:r>
          </w:p>
        </w:tc>
        <w:tc>
          <w:tcPr>
            <w:tcW w:w="6642" w:type="dxa"/>
            <w:gridSpan w:val="2"/>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Indoor office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Indoor legacy UE &lt;-&gt; indoor reader</w:t>
            </w:r>
          </w:p>
        </w:tc>
        <w:tc>
          <w:tcPr>
            <w:tcW w:w="3321"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Indoor factory DH</w:t>
            </w:r>
          </w:p>
        </w:tc>
        <w:tc>
          <w:tcPr>
            <w:tcW w:w="3321"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Indoor office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Outdoor macro gNB &lt;-&gt; indoor device/indoor reader</w:t>
            </w:r>
          </w:p>
        </w:tc>
        <w:tc>
          <w:tcPr>
            <w:tcW w:w="6642" w:type="dxa"/>
            <w:gridSpan w:val="2"/>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PLb: 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Outdoor UE &lt;-&gt; indoor device/ D2T2 UE, i.e. UE&lt;-&gt;UE</w:t>
            </w:r>
          </w:p>
        </w:tc>
        <w:tc>
          <w:tcPr>
            <w:tcW w:w="6642" w:type="dxa"/>
            <w:gridSpan w:val="2"/>
          </w:tcPr>
          <w:p>
            <w:pPr>
              <w:widowControl w:val="0"/>
              <w:numPr>
                <w:ilvl w:val="0"/>
                <w:numId w:val="0"/>
              </w:numPr>
              <w:tabs>
                <w:tab w:val="left" w:pos="720"/>
              </w:tabs>
              <w:spacing w:before="120" w:after="156" w:afterLines="50" w:line="280" w:lineRule="atLeast"/>
              <w:jc w:val="both"/>
              <w:rPr>
                <w:rFonts w:hint="default" w:ascii="Times New Roman" w:hAnsi="Times New Roman"/>
                <w:b w:val="0"/>
                <w:bCs w:val="0"/>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PLb: Umi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Outdoor UE &lt;-&gt; indoor D1T1 reader, i.e. UE&lt;-&gt; micro gNB</w:t>
            </w:r>
          </w:p>
        </w:tc>
        <w:tc>
          <w:tcPr>
            <w:tcW w:w="6642" w:type="dxa"/>
            <w:gridSpan w:val="2"/>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PLb: UMi</w:t>
            </w:r>
          </w:p>
        </w:tc>
      </w:tr>
    </w:tbl>
    <w:p>
      <w:pPr>
        <w:widowControl w:val="0"/>
        <w:numPr>
          <w:ilvl w:val="0"/>
          <w:numId w:val="21"/>
        </w:numPr>
        <w:tabs>
          <w:tab w:val="left" w:pos="720"/>
        </w:tabs>
        <w:spacing w:after="156" w:afterLines="50"/>
        <w:ind w:left="420" w:leftChars="0" w:hanging="42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Other indoor factory related parameter</w:t>
      </w:r>
    </w:p>
    <w:p>
      <w:pPr>
        <w:widowControl w:val="0"/>
        <w:numPr>
          <w:ilvl w:val="0"/>
          <w:numId w:val="0"/>
        </w:numPr>
        <w:tabs>
          <w:tab w:val="left" w:pos="720"/>
        </w:tabs>
        <w:spacing w:after="156" w:afterLines="50"/>
        <w:ind w:left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22: for other indoor factory related parameters that are not listed,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refer to 7.8.4 of TR 38.901.</w:t>
      </w:r>
    </w:p>
    <w:p>
      <w:pPr>
        <w:pStyle w:val="5"/>
        <w:numPr>
          <w:ilvl w:val="3"/>
          <w:numId w:val="0"/>
        </w:numPr>
        <w:ind w:leftChars="0"/>
      </w:pPr>
      <w:r>
        <w:rPr>
          <w:rFonts w:hint="eastAsia"/>
        </w:rPr>
        <w:t>2.2.6 gNB/UE/device parameters</w:t>
      </w:r>
    </w:p>
    <w:p>
      <w:pPr>
        <w:numPr>
          <w:ilvl w:val="0"/>
          <w:numId w:val="21"/>
        </w:numPr>
        <w:ind w:left="420" w:leftChars="0" w:hanging="420" w:firstLineChars="0"/>
        <w:rPr>
          <w:rFonts w:ascii="Times New Roman" w:hAnsi="Times New Roman"/>
          <w:sz w:val="20"/>
          <w:szCs w:val="20"/>
        </w:rPr>
      </w:pPr>
      <w:r>
        <w:rPr>
          <w:rFonts w:ascii="Times New Roman" w:hAnsi="Times New Roman"/>
          <w:sz w:val="20"/>
          <w:szCs w:val="20"/>
        </w:rPr>
        <w:t xml:space="preserve">AIOT micro-BS </w:t>
      </w:r>
      <w:r>
        <w:rPr>
          <w:rFonts w:hint="eastAsia" w:ascii="Times New Roman" w:hAnsi="Times New Roman"/>
          <w:sz w:val="20"/>
          <w:szCs w:val="20"/>
          <w:lang w:val="en-US" w:eastAsia="zh-CN"/>
        </w:rPr>
        <w:t xml:space="preserve">antenna </w:t>
      </w:r>
      <w:r>
        <w:rPr>
          <w:rFonts w:ascii="Times New Roman" w:hAnsi="Times New Roman"/>
          <w:sz w:val="20"/>
          <w:szCs w:val="20"/>
        </w:rPr>
        <w:t>parameters for D1T1</w:t>
      </w:r>
    </w:p>
    <w:p>
      <w:pPr>
        <w:numPr>
          <w:ilvl w:val="0"/>
          <w:numId w:val="0"/>
        </w:numPr>
        <w:ind w:leftChars="0"/>
        <w:rPr>
          <w:rFonts w:ascii="Times New Roman" w:hAnsi="Times New Roman"/>
          <w:sz w:val="20"/>
          <w:szCs w:val="20"/>
        </w:rPr>
      </w:pPr>
    </w:p>
    <w:p>
      <w:pPr>
        <w:tabs>
          <w:tab w:val="left" w:pos="720"/>
        </w:tabs>
        <w:spacing w:after="156" w:afterLines="5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After some offline discussion, we have following consensus for A-IoT micro-BS antenna parameters for D1T1.</w:t>
      </w:r>
    </w:p>
    <w:p>
      <w:pPr>
        <w:tabs>
          <w:tab w:val="left" w:pos="720"/>
        </w:tabs>
        <w:spacing w:after="156" w:afterLines="5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23: the antenna pattern of A-IoT micro gNB is listed as below</w:t>
      </w:r>
    </w:p>
    <w:p>
      <w:pPr>
        <w:widowControl w:val="0"/>
        <w:numPr>
          <w:ilvl w:val="0"/>
          <w:numId w:val="0"/>
        </w:numPr>
        <w:jc w:val="both"/>
      </w:pPr>
      <w:r>
        <w:drawing>
          <wp:inline distT="0" distB="0" distL="114300" distR="114300">
            <wp:extent cx="4876165" cy="1667510"/>
            <wp:effectExtent l="0" t="0" r="635" b="8890"/>
            <wp:docPr id="2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1"/>
                    <pic:cNvPicPr>
                      <a:picLocks noChangeAspect="1"/>
                    </pic:cNvPicPr>
                  </pic:nvPicPr>
                  <pic:blipFill>
                    <a:blip r:embed="rId10"/>
                    <a:stretch>
                      <a:fillRect/>
                    </a:stretch>
                  </pic:blipFill>
                  <pic:spPr>
                    <a:xfrm>
                      <a:off x="0" y="0"/>
                      <a:ext cx="4876165" cy="1667510"/>
                    </a:xfrm>
                    <a:prstGeom prst="rect">
                      <a:avLst/>
                    </a:prstGeom>
                  </pic:spPr>
                </pic:pic>
              </a:graphicData>
            </a:graphic>
          </wp:inline>
        </w:drawing>
      </w:r>
    </w:p>
    <w:p>
      <w:pPr>
        <w:widowControl w:val="0"/>
        <w:numPr>
          <w:ilvl w:val="0"/>
          <w:numId w:val="22"/>
        </w:numPr>
        <w:ind w:left="516" w:leftChars="0" w:hanging="360" w:firstLineChars="0"/>
        <w:jc w:val="both"/>
        <w:rPr>
          <w:rFonts w:hint="default" w:ascii="Times New Roman" w:hAnsi="Times New Roman" w:cs="Times New Roman"/>
          <w:sz w:val="20"/>
          <w:szCs w:val="21"/>
        </w:rPr>
      </w:pPr>
      <w:r>
        <w:rPr>
          <w:rFonts w:hint="default" w:ascii="Times New Roman" w:hAnsi="Times New Roman" w:cs="Times New Roman"/>
          <w:sz w:val="20"/>
          <w:szCs w:val="21"/>
        </w:rPr>
        <w:t>1*1*1 antenna element</w:t>
      </w:r>
    </w:p>
    <w:p>
      <w:pPr>
        <w:widowControl w:val="0"/>
        <w:numPr>
          <w:ilvl w:val="0"/>
          <w:numId w:val="22"/>
        </w:numPr>
        <w:ind w:left="516" w:leftChars="0" w:hanging="360" w:firstLineChars="0"/>
        <w:jc w:val="both"/>
        <w:rPr>
          <w:rFonts w:hint="default" w:ascii="Times New Roman" w:hAnsi="Times New Roman" w:cs="Times New Roman"/>
          <w:sz w:val="20"/>
          <w:szCs w:val="21"/>
        </w:rPr>
      </w:pPr>
      <w:r>
        <w:rPr>
          <w:rFonts w:hint="default" w:ascii="Times New Roman" w:hAnsi="Times New Roman" w:cs="Times New Roman"/>
          <w:sz w:val="20"/>
          <w:szCs w:val="21"/>
        </w:rPr>
        <w:t>equals to omni-directional anenna pattern in GCG in horizontal</w:t>
      </w:r>
    </w:p>
    <w:p>
      <w:pPr>
        <w:widowControl w:val="0"/>
        <w:numPr>
          <w:ilvl w:val="0"/>
          <w:numId w:val="0"/>
        </w:numPr>
        <w:jc w:val="both"/>
      </w:pPr>
    </w:p>
    <w:p>
      <w:pPr>
        <w:widowControl w:val="0"/>
        <w:numPr>
          <w:ilvl w:val="0"/>
          <w:numId w:val="0"/>
        </w:numPr>
        <w:jc w:val="both"/>
      </w:pPr>
    </w:p>
    <w:p>
      <w:pPr>
        <w:numPr>
          <w:ilvl w:val="0"/>
          <w:numId w:val="21"/>
        </w:numPr>
        <w:ind w:left="420" w:leftChars="0" w:hanging="420" w:firstLineChars="0"/>
        <w:rPr>
          <w:rFonts w:hint="eastAsia" w:ascii="Times New Roman" w:hAnsi="Times New Roman"/>
          <w:b/>
          <w:bCs/>
          <w:sz w:val="20"/>
          <w:szCs w:val="20"/>
        </w:rPr>
      </w:pPr>
      <w:r>
        <w:rPr>
          <w:rFonts w:hint="eastAsia" w:ascii="Times New Roman" w:hAnsi="Times New Roman"/>
          <w:b/>
          <w:bCs/>
          <w:sz w:val="20"/>
          <w:szCs w:val="20"/>
        </w:rPr>
        <w:t xml:space="preserve"> </w:t>
      </w:r>
      <w:r>
        <w:rPr>
          <w:rFonts w:hint="eastAsia" w:ascii="Times New Roman" w:hAnsi="Times New Roman"/>
          <w:sz w:val="20"/>
          <w:szCs w:val="20"/>
          <w:lang w:val="en-US" w:eastAsia="zh-CN"/>
        </w:rPr>
        <w:t xml:space="preserve">NR macro </w:t>
      </w:r>
      <w:r>
        <w:rPr>
          <w:rFonts w:ascii="Times New Roman" w:hAnsi="Times New Roman"/>
          <w:sz w:val="20"/>
          <w:szCs w:val="20"/>
        </w:rPr>
        <w:t xml:space="preserve">BS </w:t>
      </w:r>
      <w:r>
        <w:rPr>
          <w:rFonts w:hint="eastAsia" w:ascii="Times New Roman" w:hAnsi="Times New Roman"/>
          <w:sz w:val="20"/>
          <w:szCs w:val="20"/>
          <w:lang w:val="en-US" w:eastAsia="zh-CN"/>
        </w:rPr>
        <w:t xml:space="preserve">antenna </w:t>
      </w:r>
      <w:r>
        <w:rPr>
          <w:rFonts w:ascii="Times New Roman" w:hAnsi="Times New Roman"/>
          <w:sz w:val="20"/>
          <w:szCs w:val="20"/>
        </w:rPr>
        <w:t>parameters for D1T1</w:t>
      </w:r>
    </w:p>
    <w:p>
      <w:pPr>
        <w:numPr>
          <w:ilvl w:val="0"/>
          <w:numId w:val="0"/>
        </w:numPr>
        <w:ind w:leftChars="0"/>
        <w:rPr>
          <w:rFonts w:hint="eastAsia" w:ascii="Times New Roman" w:hAnsi="Times New Roman"/>
          <w:b/>
          <w:bCs/>
          <w:sz w:val="20"/>
          <w:szCs w:val="20"/>
        </w:rPr>
      </w:pPr>
    </w:p>
    <w:p>
      <w:pPr>
        <w:tabs>
          <w:tab w:val="left" w:pos="720"/>
        </w:tabs>
        <w:spacing w:after="156" w:afterLines="5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After some offlien discussion, we have following consensus for NR macro BS antenna parameters for D1T1.</w:t>
      </w:r>
    </w:p>
    <w:p>
      <w:pPr>
        <w:tabs>
          <w:tab w:val="left" w:pos="720"/>
        </w:tabs>
        <w:spacing w:after="156" w:afterLines="5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24: the antenna pattern of NR macro gNB is listed as below</w:t>
      </w:r>
    </w:p>
    <w:p>
      <w:pPr>
        <w:numPr>
          <w:ilvl w:val="0"/>
          <w:numId w:val="23"/>
        </w:numPr>
        <w:tabs>
          <w:tab w:val="left" w:pos="720"/>
          <w:tab w:val="clear" w:pos="-420"/>
        </w:tabs>
        <w:spacing w:after="156" w:afterLines="50"/>
        <w:ind w:left="516" w:leftChars="0" w:hanging="360" w:firstLineChars="0"/>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Referring to AAS study TR 37.840 sub-clause 5.4.4, a passive antenna is currently modeled as a single radiating source according to definition in TR 36.814, Table A.2.1.1-2. The following Macro BS antenna pattern is proposed for A-IOT coexistence study.</w:t>
      </w:r>
    </w:p>
    <w:p>
      <w:pPr>
        <w:tabs>
          <w:tab w:val="left" w:pos="720"/>
        </w:tabs>
        <w:spacing w:after="156" w:afterLines="50"/>
        <w:rPr>
          <w:rFonts w:hint="default" w:ascii="Times New Roman" w:hAnsi="Times New Roman"/>
          <w:b/>
          <w:bCs/>
          <w:sz w:val="20"/>
          <w:szCs w:val="20"/>
          <w:lang w:val="en-US" w:eastAsia="zh-CN"/>
        </w:rPr>
      </w:pPr>
      <w:r>
        <w:drawing>
          <wp:inline distT="0" distB="0" distL="114300" distR="114300">
            <wp:extent cx="5229225" cy="3267075"/>
            <wp:effectExtent l="0" t="0" r="3175" b="9525"/>
            <wp:docPr id="30"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29"/>
                    <pic:cNvPicPr>
                      <a:picLocks noChangeAspect="1"/>
                    </pic:cNvPicPr>
                  </pic:nvPicPr>
                  <pic:blipFill>
                    <a:blip r:embed="rId11"/>
                    <a:stretch>
                      <a:fillRect/>
                    </a:stretch>
                  </pic:blipFill>
                  <pic:spPr>
                    <a:xfrm>
                      <a:off x="0" y="0"/>
                      <a:ext cx="5229225" cy="3267075"/>
                    </a:xfrm>
                    <a:prstGeom prst="rect">
                      <a:avLst/>
                    </a:prstGeom>
                  </pic:spPr>
                </pic:pic>
              </a:graphicData>
            </a:graphic>
          </wp:inline>
        </w:drawing>
      </w:r>
    </w:p>
    <w:p>
      <w:pPr>
        <w:numPr>
          <w:ilvl w:val="0"/>
          <w:numId w:val="23"/>
        </w:numPr>
        <w:spacing w:after="156" w:afterLines="50"/>
        <w:ind w:left="516" w:leftChars="0" w:hanging="36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Some further clarification of antenna pattern:</w:t>
      </w:r>
    </w:p>
    <w:p>
      <w:pPr>
        <w:numPr>
          <w:ilvl w:val="1"/>
          <w:numId w:val="23"/>
        </w:numPr>
        <w:spacing w:after="156" w:afterLines="50"/>
        <w:ind w:left="1236" w:leftChars="0" w:hanging="36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1*1*1 antenna element</w:t>
      </w:r>
    </w:p>
    <w:p>
      <w:pPr>
        <w:numPr>
          <w:ilvl w:val="1"/>
          <w:numId w:val="23"/>
        </w:numPr>
        <w:spacing w:after="156" w:afterLines="50"/>
        <w:ind w:left="1236" w:leftChars="0" w:hanging="36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BS point at fixed beam direction</w:t>
      </w:r>
    </w:p>
    <w:p>
      <w:pPr>
        <w:numPr>
          <w:ilvl w:val="2"/>
          <w:numId w:val="23"/>
        </w:numPr>
        <w:spacing w:after="156" w:afterLines="50"/>
        <w:ind w:left="1956" w:leftChars="0" w:hanging="36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vertical: θtilt + 90°</w:t>
      </w:r>
    </w:p>
    <w:p>
      <w:pPr>
        <w:numPr>
          <w:ilvl w:val="2"/>
          <w:numId w:val="23"/>
        </w:numPr>
        <w:spacing w:after="156" w:afterLines="50"/>
        <w:ind w:left="1956" w:leftChars="0" w:hanging="36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horizontal: 0, 120, 240°</w:t>
      </w:r>
    </w:p>
    <w:p>
      <w:pPr>
        <w:numPr>
          <w:ilvl w:val="0"/>
          <w:numId w:val="21"/>
        </w:numPr>
        <w:ind w:left="420" w:leftChars="0" w:hanging="420" w:firstLineChars="0"/>
        <w:rPr>
          <w:rFonts w:ascii="Times New Roman" w:hAnsi="Times New Roman"/>
          <w:sz w:val="20"/>
          <w:szCs w:val="20"/>
        </w:rPr>
      </w:pPr>
      <w:r>
        <w:rPr>
          <w:rFonts w:hint="eastAsia" w:ascii="Times New Roman" w:hAnsi="Times New Roman"/>
          <w:sz w:val="20"/>
          <w:szCs w:val="20"/>
        </w:rPr>
        <w:t>CW</w:t>
      </w:r>
      <w:r>
        <w:rPr>
          <w:rFonts w:ascii="Times New Roman" w:hAnsi="Times New Roman"/>
          <w:sz w:val="20"/>
          <w:szCs w:val="20"/>
        </w:rPr>
        <w:t xml:space="preserve"> parameters for D</w:t>
      </w:r>
      <w:r>
        <w:rPr>
          <w:rFonts w:hint="eastAsia" w:ascii="Times New Roman" w:hAnsi="Times New Roman"/>
          <w:sz w:val="20"/>
          <w:szCs w:val="20"/>
        </w:rPr>
        <w:t>2</w:t>
      </w:r>
      <w:r>
        <w:rPr>
          <w:rFonts w:ascii="Times New Roman" w:hAnsi="Times New Roman"/>
          <w:sz w:val="20"/>
          <w:szCs w:val="20"/>
        </w:rPr>
        <w:t>T</w:t>
      </w:r>
      <w:r>
        <w:rPr>
          <w:rFonts w:hint="eastAsia" w:ascii="Times New Roman" w:hAnsi="Times New Roman"/>
          <w:sz w:val="20"/>
          <w:szCs w:val="20"/>
        </w:rPr>
        <w:t>2 and D1T1</w:t>
      </w:r>
    </w:p>
    <w:tbl>
      <w:tblPr>
        <w:tblStyle w:val="45"/>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3974"/>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397" w:type="dxa"/>
          </w:tcPr>
          <w:p>
            <w:pPr>
              <w:rPr>
                <w:rFonts w:ascii="Times New Roman" w:hAnsi="Times New Roman"/>
                <w:b/>
                <w:bCs/>
                <w:sz w:val="20"/>
                <w:szCs w:val="20"/>
              </w:rPr>
            </w:pPr>
            <w:r>
              <w:rPr>
                <w:rFonts w:hint="eastAsia" w:ascii="Times New Roman" w:hAnsi="Times New Roman"/>
                <w:b/>
                <w:bCs/>
                <w:sz w:val="20"/>
                <w:szCs w:val="20"/>
                <w:lang w:val="en-US" w:eastAsia="zh-CN"/>
              </w:rPr>
              <w:t>CW</w:t>
            </w:r>
            <w:r>
              <w:rPr>
                <w:rFonts w:ascii="Times New Roman" w:hAnsi="Times New Roman"/>
                <w:b/>
                <w:bCs/>
                <w:sz w:val="20"/>
                <w:szCs w:val="20"/>
              </w:rPr>
              <w:t>parameters</w:t>
            </w:r>
          </w:p>
        </w:tc>
        <w:tc>
          <w:tcPr>
            <w:tcW w:w="3974" w:type="dxa"/>
          </w:tcPr>
          <w:p>
            <w:pPr>
              <w:rPr>
                <w:rFonts w:ascii="Times New Roman" w:hAnsi="Times New Roman" w:eastAsiaTheme="minorEastAsia"/>
                <w:b/>
                <w:bCs/>
                <w:sz w:val="20"/>
                <w:szCs w:val="20"/>
              </w:rPr>
            </w:pPr>
            <w:r>
              <w:rPr>
                <w:rFonts w:ascii="Times New Roman" w:hAnsi="Times New Roman" w:eastAsiaTheme="minorEastAsia"/>
                <w:b/>
                <w:bCs/>
                <w:sz w:val="20"/>
                <w:szCs w:val="20"/>
              </w:rPr>
              <w:t>D1T1</w:t>
            </w:r>
          </w:p>
        </w:tc>
        <w:tc>
          <w:tcPr>
            <w:tcW w:w="2551" w:type="dxa"/>
          </w:tcPr>
          <w:p>
            <w:pPr>
              <w:overflowPunct w:val="0"/>
              <w:autoSpaceDE w:val="0"/>
              <w:autoSpaceDN w:val="0"/>
              <w:adjustRightInd w:val="0"/>
              <w:textAlignment w:val="baseline"/>
              <w:rPr>
                <w:rFonts w:ascii="Times New Roman" w:hAnsi="Times New Roman" w:eastAsiaTheme="minorEastAsia"/>
                <w:b/>
                <w:bCs/>
                <w:sz w:val="20"/>
                <w:szCs w:val="20"/>
              </w:rPr>
            </w:pPr>
            <w:r>
              <w:rPr>
                <w:rFonts w:ascii="Times New Roman" w:hAnsi="Times New Roman" w:eastAsiaTheme="minorEastAsia"/>
                <w:b/>
                <w:bCs/>
                <w:sz w:val="20"/>
                <w:szCs w:val="20"/>
              </w:rPr>
              <w:t xml:space="preserve">D2T2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397" w:type="dxa"/>
          </w:tcPr>
          <w:p>
            <w:pPr>
              <w:rPr>
                <w:rFonts w:ascii="Times New Roman" w:hAnsi="Times New Roman"/>
                <w:sz w:val="20"/>
                <w:szCs w:val="20"/>
              </w:rPr>
            </w:pPr>
            <w:r>
              <w:rPr>
                <w:rFonts w:ascii="Times New Roman" w:hAnsi="Times New Roman"/>
                <w:sz w:val="20"/>
                <w:szCs w:val="20"/>
              </w:rPr>
              <w:t>Tx power（dBm）</w:t>
            </w:r>
          </w:p>
        </w:tc>
        <w:tc>
          <w:tcPr>
            <w:tcW w:w="3974" w:type="dxa"/>
          </w:tcPr>
          <w:p>
            <w:p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If UL spectrum is used, UE Tx power is assumed, i.e. 23dBm</w:t>
            </w:r>
            <w:r>
              <w:rPr>
                <w:rFonts w:hint="eastAsia" w:ascii="Times New Roman" w:hAnsi="Times New Roman"/>
                <w:sz w:val="20"/>
                <w:szCs w:val="20"/>
              </w:rPr>
              <w:t xml:space="preserve"> baseline</w:t>
            </w:r>
          </w:p>
          <w:p>
            <w:pPr>
              <w:overflowPunct w:val="0"/>
              <w:autoSpaceDE w:val="0"/>
              <w:autoSpaceDN w:val="0"/>
              <w:adjustRightInd w:val="0"/>
              <w:textAlignment w:val="baseline"/>
              <w:rPr>
                <w:rFonts w:ascii="Times New Roman" w:hAnsi="Times New Roman"/>
                <w:sz w:val="20"/>
                <w:szCs w:val="20"/>
              </w:rPr>
            </w:pPr>
            <w:r>
              <w:rPr>
                <w:rFonts w:ascii="Times New Roman" w:hAnsi="Times New Roman" w:eastAsiaTheme="minorEastAsia"/>
                <w:sz w:val="20"/>
                <w:szCs w:val="20"/>
              </w:rPr>
              <w:t>If DL spectrum is used, AIOT micro-BS Tx power is assumed.</w:t>
            </w:r>
          </w:p>
        </w:tc>
        <w:tc>
          <w:tcPr>
            <w:tcW w:w="2551"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Theme="minorEastAsia"/>
                <w:sz w:val="20"/>
                <w:szCs w:val="20"/>
              </w:rPr>
              <w:t>Inter-mediate UE Tx power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397" w:type="dxa"/>
          </w:tcPr>
          <w:p>
            <w:pPr>
              <w:rPr>
                <w:rFonts w:ascii="Times New Roman" w:hAnsi="Times New Roman"/>
                <w:sz w:val="20"/>
                <w:szCs w:val="20"/>
              </w:rPr>
            </w:pPr>
            <w:r>
              <w:rPr>
                <w:rFonts w:hint="eastAsia" w:ascii="Times New Roman" w:hAnsi="Times New Roman"/>
                <w:sz w:val="20"/>
                <w:szCs w:val="20"/>
              </w:rPr>
              <w:t>Antenna gain</w:t>
            </w:r>
          </w:p>
        </w:tc>
        <w:tc>
          <w:tcPr>
            <w:tcW w:w="3974" w:type="dxa"/>
          </w:tcPr>
          <w:p>
            <w:pPr>
              <w:rPr>
                <w:rFonts w:ascii="Times New Roman" w:hAnsi="Times New Roman"/>
                <w:sz w:val="20"/>
                <w:szCs w:val="20"/>
              </w:rPr>
            </w:pPr>
            <w:r>
              <w:rPr>
                <w:rFonts w:ascii="Times New Roman" w:hAnsi="Times New Roman"/>
                <w:sz w:val="20"/>
                <w:szCs w:val="20"/>
              </w:rPr>
              <w:t xml:space="preserve">Same as AIOT </w:t>
            </w:r>
            <w:r>
              <w:rPr>
                <w:rFonts w:hint="eastAsia" w:ascii="Times New Roman" w:hAnsi="Times New Roman"/>
                <w:sz w:val="20"/>
                <w:szCs w:val="20"/>
              </w:rPr>
              <w:t>reader</w:t>
            </w:r>
          </w:p>
        </w:tc>
        <w:tc>
          <w:tcPr>
            <w:tcW w:w="2551"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Theme="minorEastAsia"/>
                <w:sz w:val="20"/>
                <w:szCs w:val="20"/>
              </w:rPr>
              <w:t>Same as inter-mediate UE</w:t>
            </w:r>
          </w:p>
        </w:tc>
      </w:tr>
    </w:tbl>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25</w:t>
      </w:r>
      <w:r>
        <w:rPr>
          <w:rFonts w:hint="eastAsia" w:ascii="Times New Roman" w:hAnsi="Times New Roman"/>
          <w:b/>
          <w:bCs/>
          <w:sz w:val="20"/>
          <w:szCs w:val="20"/>
        </w:rPr>
        <w:t>: it</w:t>
      </w:r>
      <w:r>
        <w:rPr>
          <w:rFonts w:ascii="Times New Roman" w:hAnsi="Times New Roman"/>
          <w:b/>
          <w:bCs/>
          <w:sz w:val="20"/>
          <w:szCs w:val="20"/>
        </w:rPr>
        <w:t>’</w:t>
      </w:r>
      <w:r>
        <w:rPr>
          <w:rFonts w:hint="eastAsia" w:ascii="Times New Roman" w:hAnsi="Times New Roman"/>
          <w:b/>
          <w:bCs/>
          <w:sz w:val="20"/>
          <w:szCs w:val="20"/>
        </w:rPr>
        <w:t>s suggested to use value in above table for AIoT CW</w:t>
      </w:r>
      <w:r>
        <w:rPr>
          <w:rFonts w:hint="eastAsia" w:ascii="Times New Roman" w:hAnsi="Times New Roman"/>
          <w:b/>
          <w:bCs/>
          <w:sz w:val="20"/>
          <w:szCs w:val="20"/>
          <w:lang w:val="en-US" w:eastAsia="zh-CN"/>
        </w:rPr>
        <w:t xml:space="preserve"> if finally approve to simulate CW in formal simulation</w:t>
      </w:r>
      <w:r>
        <w:rPr>
          <w:rFonts w:hint="eastAsia" w:ascii="Times New Roman" w:hAnsi="Times New Roman"/>
          <w:b/>
          <w:bCs/>
          <w:sz w:val="20"/>
          <w:szCs w:val="20"/>
        </w:rPr>
        <w:t>. Compared with RAN1, we add antenna gain requirement.</w:t>
      </w:r>
    </w:p>
    <w:p>
      <w:pPr>
        <w:spacing w:after="156" w:afterLines="50"/>
        <w:rPr>
          <w:rFonts w:ascii="Times New Roman" w:hAnsi="Times New Roman"/>
          <w:sz w:val="20"/>
          <w:szCs w:val="20"/>
        </w:rPr>
      </w:pPr>
    </w:p>
    <w:p>
      <w:pPr>
        <w:numPr>
          <w:ilvl w:val="0"/>
          <w:numId w:val="24"/>
        </w:numPr>
        <w:rPr>
          <w:rFonts w:ascii="Times New Roman" w:hAnsi="Times New Roman"/>
          <w:sz w:val="20"/>
          <w:szCs w:val="20"/>
        </w:rPr>
      </w:pPr>
      <w:r>
        <w:rPr>
          <w:rFonts w:hint="eastAsia" w:ascii="Times New Roman" w:hAnsi="Times New Roman"/>
          <w:sz w:val="20"/>
          <w:szCs w:val="20"/>
        </w:rPr>
        <w:t>A-IoT devices parameters</w:t>
      </w:r>
    </w:p>
    <w:p>
      <w:pPr>
        <w:tabs>
          <w:tab w:val="left" w:pos="720"/>
        </w:tabs>
        <w:spacing w:after="156" w:afterLines="50"/>
        <w:rPr>
          <w:rFonts w:ascii="Times New Roman" w:hAnsi="Times New Roman"/>
          <w:b/>
          <w:bCs/>
          <w:sz w:val="20"/>
          <w:szCs w:val="20"/>
        </w:rPr>
      </w:pPr>
    </w:p>
    <w:p>
      <w:pPr>
        <w:tabs>
          <w:tab w:val="left" w:pos="720"/>
        </w:tabs>
        <w:spacing w:after="156" w:afterLines="50"/>
        <w:rPr>
          <w:rFonts w:hint="default" w:ascii="Times New Roman" w:hAnsi="Times New Roman" w:eastAsia="宋体"/>
          <w:b w:val="0"/>
          <w:bCs w:val="0"/>
          <w:sz w:val="20"/>
          <w:szCs w:val="20"/>
          <w:lang w:val="en-US" w:eastAsia="zh-CN"/>
        </w:rPr>
      </w:pPr>
      <w:r>
        <w:rPr>
          <w:rFonts w:hint="eastAsia" w:ascii="Times New Roman" w:hAnsi="Times New Roman"/>
          <w:b w:val="0"/>
          <w:bCs w:val="0"/>
          <w:sz w:val="20"/>
          <w:szCs w:val="20"/>
          <w:lang w:val="en-US" w:eastAsia="zh-CN"/>
        </w:rPr>
        <w:t>In last meeting, we approve to only use device 1 for calibration purpose. But for formal simulation, both device 1 and 2a are suggested. The detailed parameters of device 2a and 1 are listed as below</w:t>
      </w:r>
    </w:p>
    <w:tbl>
      <w:tblPr>
        <w:tblStyle w:val="45"/>
        <w:tblW w:w="6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9"/>
        <w:gridCol w:w="213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2819" w:type="dxa"/>
          </w:tcPr>
          <w:p>
            <w:pPr>
              <w:rPr>
                <w:rFonts w:ascii="Times New Roman" w:hAnsi="Times New Roman"/>
                <w:b/>
                <w:bCs/>
                <w:sz w:val="20"/>
                <w:szCs w:val="20"/>
              </w:rPr>
            </w:pPr>
            <w:r>
              <w:rPr>
                <w:rFonts w:ascii="Times New Roman" w:hAnsi="Times New Roman"/>
                <w:b/>
                <w:bCs/>
                <w:sz w:val="20"/>
                <w:szCs w:val="20"/>
              </w:rPr>
              <w:t>A-IoT device parameters</w:t>
            </w:r>
          </w:p>
        </w:tc>
        <w:tc>
          <w:tcPr>
            <w:tcW w:w="2138" w:type="dxa"/>
          </w:tcPr>
          <w:p>
            <w:pPr>
              <w:rPr>
                <w:rFonts w:ascii="Times New Roman" w:hAnsi="Times New Roman"/>
                <w:b/>
                <w:bCs/>
                <w:sz w:val="20"/>
                <w:szCs w:val="20"/>
              </w:rPr>
            </w:pPr>
            <w:r>
              <w:rPr>
                <w:rFonts w:ascii="Times New Roman" w:hAnsi="Times New Roman"/>
                <w:b/>
                <w:bCs/>
                <w:sz w:val="20"/>
                <w:szCs w:val="20"/>
              </w:rPr>
              <w:t>Device 1</w:t>
            </w:r>
          </w:p>
        </w:tc>
        <w:tc>
          <w:tcPr>
            <w:tcW w:w="1984" w:type="dxa"/>
          </w:tcPr>
          <w:p>
            <w:pPr>
              <w:rPr>
                <w:rFonts w:ascii="Times New Roman" w:hAnsi="Times New Roman"/>
                <w:b/>
                <w:bCs/>
                <w:sz w:val="20"/>
                <w:szCs w:val="20"/>
              </w:rPr>
            </w:pPr>
            <w:r>
              <w:rPr>
                <w:rFonts w:ascii="Times New Roman" w:hAnsi="Times New Roman"/>
                <w:b/>
                <w:bCs/>
                <w:sz w:val="20"/>
                <w:szCs w:val="20"/>
              </w:rPr>
              <w:t>Device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 xml:space="preserve">A-IoT device Tx power (dBm) </w:t>
            </w:r>
          </w:p>
        </w:tc>
        <w:tc>
          <w:tcPr>
            <w:tcW w:w="2138" w:type="dxa"/>
          </w:tcPr>
          <w:p>
            <w:pPr>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Calculated based on link analysis</w:t>
            </w:r>
          </w:p>
        </w:tc>
        <w:tc>
          <w:tcPr>
            <w:tcW w:w="1984" w:type="dxa"/>
          </w:tcPr>
          <w:p>
            <w:pPr>
              <w:rPr>
                <w:rFonts w:ascii="Times New Roman" w:hAnsi="Times New Roman"/>
                <w:sz w:val="20"/>
                <w:szCs w:val="20"/>
              </w:rPr>
            </w:pPr>
            <w:r>
              <w:rPr>
                <w:rFonts w:hint="eastAsia" w:ascii="Times New Roman" w:hAnsi="Times New Roman"/>
                <w:sz w:val="20"/>
                <w:szCs w:val="20"/>
                <w:lang w:val="en-US" w:eastAsia="zh-CN"/>
              </w:rPr>
              <w:t>Calculated based on link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A-IoT device effective antenna gain per Tx or Rx branch (dBi)</w:t>
            </w:r>
          </w:p>
        </w:tc>
        <w:tc>
          <w:tcPr>
            <w:tcW w:w="2138" w:type="dxa"/>
          </w:tcPr>
          <w:p>
            <w:pPr>
              <w:rPr>
                <w:rFonts w:ascii="Times New Roman" w:hAnsi="Times New Roman"/>
                <w:sz w:val="20"/>
                <w:szCs w:val="20"/>
              </w:rPr>
            </w:pPr>
            <w:r>
              <w:rPr>
                <w:rFonts w:hint="eastAsia" w:ascii="Times New Roman" w:hAnsi="Times New Roman"/>
                <w:sz w:val="20"/>
                <w:szCs w:val="20"/>
              </w:rPr>
              <w:t xml:space="preserve">0 baseline </w:t>
            </w:r>
          </w:p>
          <w:p>
            <w:pPr>
              <w:rPr>
                <w:rFonts w:ascii="Times New Roman" w:hAnsi="Times New Roman"/>
                <w:sz w:val="20"/>
                <w:szCs w:val="20"/>
              </w:rPr>
            </w:pPr>
            <w:r>
              <w:rPr>
                <w:rFonts w:hint="eastAsia" w:ascii="Times New Roman" w:hAnsi="Times New Roman"/>
                <w:sz w:val="20"/>
                <w:szCs w:val="20"/>
              </w:rPr>
              <w:t>-3 optional</w:t>
            </w:r>
          </w:p>
        </w:tc>
        <w:tc>
          <w:tcPr>
            <w:tcW w:w="1984" w:type="dxa"/>
          </w:tcPr>
          <w:p>
            <w:pPr>
              <w:rPr>
                <w:rFonts w:ascii="Times New Roman" w:hAnsi="Times New Roman"/>
                <w:sz w:val="20"/>
                <w:szCs w:val="20"/>
              </w:rPr>
            </w:pPr>
            <w:r>
              <w:rPr>
                <w:rFonts w:hint="eastAsia" w:ascii="Times New Roman" w:hAnsi="Times New Roman"/>
                <w:sz w:val="20"/>
                <w:szCs w:val="20"/>
              </w:rPr>
              <w:t xml:space="preserve">0 baseline </w:t>
            </w:r>
          </w:p>
          <w:p>
            <w:pPr>
              <w:rPr>
                <w:rFonts w:ascii="Times New Roman" w:hAnsi="Times New Roman"/>
                <w:sz w:val="20"/>
                <w:szCs w:val="20"/>
              </w:rPr>
            </w:pPr>
            <w:r>
              <w:rPr>
                <w:rFonts w:hint="eastAsia" w:ascii="Times New Roman" w:hAnsi="Times New Roman"/>
                <w:sz w:val="20"/>
                <w:szCs w:val="20"/>
              </w:rPr>
              <w:t xml:space="preserve">-3 optional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819" w:type="dxa"/>
          </w:tcPr>
          <w:p>
            <w:pPr>
              <w:rPr>
                <w:rFonts w:ascii="Times New Roman" w:hAnsi="Times New Roman"/>
                <w:sz w:val="20"/>
                <w:szCs w:val="20"/>
              </w:rPr>
            </w:pPr>
            <w:r>
              <w:rPr>
                <w:rFonts w:ascii="Times New Roman" w:hAnsi="Times New Roman"/>
                <w:sz w:val="20"/>
                <w:szCs w:val="20"/>
              </w:rPr>
              <w:t>A-IoT device reflection （backscatter）loss (dB)</w:t>
            </w:r>
          </w:p>
          <w:p>
            <w:pPr>
              <w:rPr>
                <w:rFonts w:ascii="Times New Roman" w:hAnsi="Times New Roman"/>
                <w:sz w:val="20"/>
                <w:szCs w:val="20"/>
              </w:rPr>
            </w:pPr>
            <w:r>
              <w:rPr>
                <w:rFonts w:ascii="Times New Roman" w:hAnsi="Times New Roman"/>
                <w:sz w:val="20"/>
                <w:szCs w:val="20"/>
              </w:rPr>
              <w:t>Note: due to, e.g., impedance mismatch</w:t>
            </w:r>
          </w:p>
        </w:tc>
        <w:tc>
          <w:tcPr>
            <w:tcW w:w="2138" w:type="dxa"/>
          </w:tcPr>
          <w:p>
            <w:pPr>
              <w:rPr>
                <w:rFonts w:ascii="Times New Roman" w:hAnsi="Times New Roman"/>
                <w:sz w:val="20"/>
                <w:szCs w:val="20"/>
              </w:rPr>
            </w:pPr>
            <w:r>
              <w:rPr>
                <w:rFonts w:ascii="Times New Roman" w:hAnsi="Times New Roman"/>
                <w:sz w:val="20"/>
                <w:szCs w:val="20"/>
              </w:rPr>
              <w:t>-6 dB and 0 dB for OOK  and BPSK</w:t>
            </w:r>
          </w:p>
        </w:tc>
        <w:tc>
          <w:tcPr>
            <w:tcW w:w="1984" w:type="dxa"/>
          </w:tcPr>
          <w:p>
            <w:pPr>
              <w:rPr>
                <w:rFonts w:ascii="Times New Roman" w:hAnsi="Times New Roman"/>
                <w:sz w:val="20"/>
                <w:szCs w:val="20"/>
              </w:rPr>
            </w:pPr>
            <w:r>
              <w:rPr>
                <w:rFonts w:ascii="Times New Roman" w:hAnsi="Times New Roman"/>
                <w:sz w:val="20"/>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A-IoT device power gain of reflection amplifier (dB)</w:t>
            </w:r>
          </w:p>
        </w:tc>
        <w:tc>
          <w:tcPr>
            <w:tcW w:w="2138" w:type="dxa"/>
          </w:tcPr>
          <w:p>
            <w:pPr>
              <w:rPr>
                <w:rFonts w:ascii="Times New Roman" w:hAnsi="Times New Roman"/>
                <w:sz w:val="20"/>
                <w:szCs w:val="20"/>
              </w:rPr>
            </w:pPr>
            <w:r>
              <w:rPr>
                <w:rFonts w:ascii="Times New Roman" w:hAnsi="Times New Roman"/>
                <w:sz w:val="20"/>
                <w:szCs w:val="20"/>
              </w:rPr>
              <w:t>N/A</w:t>
            </w:r>
          </w:p>
        </w:tc>
        <w:tc>
          <w:tcPr>
            <w:tcW w:w="1984" w:type="dxa"/>
          </w:tcPr>
          <w:p>
            <w:pPr>
              <w:rPr>
                <w:rFonts w:ascii="Times New Roman" w:hAnsi="Times New Roman"/>
                <w:sz w:val="20"/>
                <w:szCs w:val="20"/>
              </w:rPr>
            </w:pPr>
            <w:r>
              <w:rPr>
                <w:rFonts w:hint="eastAsia" w:ascii="Times New Roman" w:hAnsi="Times New Roman"/>
                <w:sz w:val="20"/>
                <w:szCs w:val="20"/>
              </w:rPr>
              <w:t>10dB as baseline</w:t>
            </w:r>
          </w:p>
          <w:p>
            <w:pPr>
              <w:rPr>
                <w:rFonts w:ascii="Times New Roman" w:hAnsi="Times New Roman"/>
                <w:sz w:val="20"/>
                <w:szCs w:val="20"/>
              </w:rPr>
            </w:pPr>
            <w:r>
              <w:rPr>
                <w:rFonts w:hint="eastAsia" w:ascii="Times New Roman" w:hAnsi="Times New Roman"/>
                <w:sz w:val="20"/>
                <w:szCs w:val="20"/>
              </w:rPr>
              <w:t>20dB as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A-IoT Device receiver sensitivity (dBm)</w:t>
            </w:r>
          </w:p>
        </w:tc>
        <w:tc>
          <w:tcPr>
            <w:tcW w:w="2138" w:type="dxa"/>
          </w:tcPr>
          <w:p>
            <w:pPr>
              <w:rPr>
                <w:rFonts w:ascii="Times New Roman" w:hAnsi="Times New Roman"/>
                <w:sz w:val="20"/>
                <w:szCs w:val="20"/>
              </w:rPr>
            </w:pPr>
            <w:r>
              <w:rPr>
                <w:rFonts w:ascii="Times New Roman" w:hAnsi="Times New Roman"/>
                <w:sz w:val="20"/>
                <w:szCs w:val="20"/>
              </w:rPr>
              <w:t>-36</w:t>
            </w:r>
          </w:p>
        </w:tc>
        <w:tc>
          <w:tcPr>
            <w:tcW w:w="1984" w:type="dxa"/>
          </w:tcPr>
          <w:p>
            <w:pPr>
              <w:rPr>
                <w:rFonts w:ascii="Times New Roman" w:hAnsi="Times New Roman"/>
                <w:sz w:val="20"/>
                <w:szCs w:val="20"/>
              </w:rPr>
            </w:pPr>
            <w:r>
              <w:rPr>
                <w:rFonts w:ascii="Times New Roman" w:hAnsi="Times New Roman"/>
                <w:sz w:val="20"/>
                <w:szCs w:val="20"/>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Guard band</w:t>
            </w:r>
          </w:p>
        </w:tc>
        <w:tc>
          <w:tcPr>
            <w:tcW w:w="2138" w:type="dxa"/>
          </w:tcPr>
          <w:p>
            <w:pPr>
              <w:spacing w:after="156" w:afterLines="50"/>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0PRB</w:t>
            </w:r>
          </w:p>
        </w:tc>
        <w:tc>
          <w:tcPr>
            <w:tcW w:w="1984" w:type="dxa"/>
          </w:tcPr>
          <w:p>
            <w:pPr>
              <w:spacing w:after="156" w:afterLines="50"/>
              <w:rPr>
                <w:rFonts w:ascii="Times New Roman" w:hAnsi="Times New Roman"/>
                <w:sz w:val="20"/>
                <w:szCs w:val="20"/>
              </w:rPr>
            </w:pPr>
            <w:r>
              <w:rPr>
                <w:rFonts w:hint="eastAsia" w:ascii="Times New Roman" w:hAnsi="Times New Roman"/>
                <w:sz w:val="20"/>
                <w:szCs w:val="20"/>
                <w:lang w:val="en-US" w:eastAsia="zh-CN"/>
              </w:rPr>
              <w:t>0PRB</w:t>
            </w:r>
          </w:p>
        </w:tc>
      </w:tr>
    </w:tbl>
    <w:p>
      <w:pPr>
        <w:tabs>
          <w:tab w:val="left" w:pos="720"/>
        </w:tabs>
        <w:spacing w:after="156" w:afterLines="50"/>
        <w:rPr>
          <w:rFonts w:hint="eastAsia" w:ascii="Times New Roman" w:hAnsi="Times New Roman" w:eastAsia="宋体"/>
          <w:b/>
          <w:bCs/>
          <w:sz w:val="20"/>
          <w:szCs w:val="20"/>
          <w:lang w:val="en-US" w:eastAsia="zh-CN"/>
        </w:rPr>
      </w:pPr>
    </w:p>
    <w:p>
      <w:pPr>
        <w:tabs>
          <w:tab w:val="left" w:pos="720"/>
        </w:tabs>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26: for formal simulation, both device 1 and 2a are suggested and detailed parameters are listed as above.</w:t>
      </w:r>
    </w:p>
    <w:p>
      <w:pPr>
        <w:tabs>
          <w:tab w:val="left" w:pos="720"/>
        </w:tabs>
        <w:spacing w:after="156" w:afterLines="5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 xml:space="preserve">For device 2b, compared with 2a and 1, it will have better Rx selectivity rather than no selectivity assumption as device 2a and 1. so if there is no interference when device 1 and 2a as victim, then we can conclude there is no interference for device 2b. In work item phase we can focus on device 2b Rx selectivity requirements based on the RF architecture analysis and co-existence evaluation if necessary. At study phase we can only focus on device 1 and 2a in evaluation at first. </w:t>
      </w:r>
    </w:p>
    <w:p>
      <w:pPr>
        <w:tabs>
          <w:tab w:val="left" w:pos="720"/>
        </w:tabs>
        <w:spacing w:after="156" w:afterLines="50"/>
        <w:rPr>
          <w:rFonts w:hint="eastAsia" w:ascii="Times New Roman" w:hAnsi="Times New Roman"/>
          <w:b w:val="0"/>
          <w:bCs w:val="0"/>
          <w:sz w:val="20"/>
          <w:szCs w:val="20"/>
          <w:lang w:val="en-US" w:eastAsia="zh-CN"/>
        </w:rPr>
      </w:pPr>
      <w:r>
        <w:rPr>
          <w:rFonts w:hint="eastAsia" w:ascii="Times New Roman" w:hAnsi="Times New Roman"/>
          <w:b w:val="0"/>
          <w:bCs w:val="0"/>
          <w:sz w:val="20"/>
          <w:szCs w:val="20"/>
          <w:lang w:val="en-US" w:eastAsia="zh-CN"/>
        </w:rPr>
        <w:t>when device 2b as aggressor, if we assume the same IBE requirements as legacy UE, then the interference is much like legacy NR network intra-system scenario and the interference is almost acceptable. Due to device have less chip rate, i.e. narrower pass bandwidth, to be honest, device 2b would have better leakage performance outside the 1PRB bandwidth. From this point of view, it seems at least current we can focus on device 1 and 2a at first.</w:t>
      </w:r>
    </w:p>
    <w:p>
      <w:pPr>
        <w:tabs>
          <w:tab w:val="left" w:pos="720"/>
        </w:tabs>
        <w:spacing w:after="156" w:afterLines="50"/>
        <w:rPr>
          <w:rFonts w:ascii="Times New Roman" w:hAnsi="Times New Roman"/>
          <w:sz w:val="20"/>
          <w:szCs w:val="20"/>
        </w:rPr>
      </w:pPr>
      <w:r>
        <w:rPr>
          <w:rFonts w:hint="eastAsia" w:ascii="Times New Roman" w:hAnsi="Times New Roman"/>
          <w:b/>
          <w:bCs/>
          <w:sz w:val="20"/>
          <w:szCs w:val="20"/>
          <w:lang w:val="en-US" w:eastAsia="zh-CN"/>
        </w:rPr>
        <w:t>Proposal 27: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focus on device 1 and 2a in study phase.</w:t>
      </w:r>
    </w:p>
    <w:p>
      <w:pPr>
        <w:keepNext/>
        <w:keepLines/>
        <w:widowControl/>
        <w:pBdr>
          <w:top w:val="single" w:color="auto" w:sz="12" w:space="1"/>
        </w:pBdr>
        <w:tabs>
          <w:tab w:val="left" w:pos="567"/>
        </w:tabs>
        <w:adjustRightInd w:val="0"/>
        <w:spacing w:before="240" w:after="180"/>
        <w:ind w:left="510" w:hanging="510"/>
        <w:outlineLvl w:val="0"/>
        <w:rPr>
          <w:rFonts w:ascii="Arial" w:hAnsi="Arial" w:eastAsiaTheme="minorEastAsia" w:cstheme="minorBidi"/>
          <w:sz w:val="32"/>
          <w:szCs w:val="36"/>
        </w:rPr>
      </w:pPr>
      <w:r>
        <w:rPr>
          <w:rFonts w:ascii="Arial" w:hAnsi="Arial" w:eastAsiaTheme="minorEastAsia" w:cstheme="minorBidi"/>
          <w:sz w:val="32"/>
          <w:szCs w:val="36"/>
        </w:rPr>
        <w:t>3. Conclusions</w:t>
      </w:r>
    </w:p>
    <w:p>
      <w:pPr>
        <w:spacing w:after="156" w:afterLines="50"/>
        <w:rPr>
          <w:rFonts w:ascii="Times New Roman" w:hAnsi="Times New Roman"/>
          <w:sz w:val="20"/>
          <w:szCs w:val="20"/>
        </w:rPr>
      </w:pPr>
      <w:r>
        <w:rPr>
          <w:rFonts w:ascii="Times New Roman" w:hAnsi="Times New Roman"/>
          <w:sz w:val="20"/>
          <w:szCs w:val="20"/>
        </w:rPr>
        <w:t xml:space="preserve">In this contribution, </w:t>
      </w:r>
      <w:r>
        <w:rPr>
          <w:rFonts w:hint="eastAsia" w:ascii="Times New Roman" w:hAnsi="Times New Roman"/>
          <w:sz w:val="20"/>
          <w:szCs w:val="20"/>
        </w:rPr>
        <w:t>co-existence key evaluation parameters are discussed with following observations and proposals.</w:t>
      </w:r>
    </w:p>
    <w:p>
      <w:pPr>
        <w:spacing w:after="156" w:afterLines="50"/>
        <w:rPr>
          <w:rFonts w:hint="eastAsia" w:ascii="Times New Roman" w:hAnsi="Times New Roman"/>
          <w:b/>
          <w:bCs/>
          <w:strike w:val="0"/>
          <w:dstrike w:val="0"/>
          <w:sz w:val="20"/>
          <w:szCs w:val="20"/>
          <w:lang w:val="en-US" w:eastAsia="zh-CN"/>
        </w:rPr>
      </w:pPr>
      <w:r>
        <w:rPr>
          <w:rFonts w:hint="eastAsia" w:ascii="Times New Roman" w:hAnsi="Times New Roman"/>
          <w:b/>
          <w:bCs/>
          <w:strike w:val="0"/>
          <w:dstrike w:val="0"/>
          <w:sz w:val="20"/>
          <w:szCs w:val="20"/>
          <w:lang w:val="en-US" w:eastAsia="zh-CN"/>
        </w:rPr>
        <w:t>Observation 1: RAN4 needs to agree on one uniformed parameter for device leakage requirement in this meeting.</w:t>
      </w:r>
    </w:p>
    <w:p>
      <w:pPr>
        <w:spacing w:after="180"/>
        <w:rPr>
          <w:rFonts w:hint="eastAsia" w:ascii="Times New Roman" w:hAnsi="Times New Roman"/>
          <w:b/>
          <w:bCs/>
          <w:sz w:val="20"/>
          <w:szCs w:val="20"/>
        </w:rPr>
      </w:pPr>
      <w:r>
        <w:rPr>
          <w:rFonts w:hint="eastAsia" w:ascii="Times New Roman" w:hAnsi="Times New Roman"/>
          <w:b/>
          <w:bCs/>
          <w:sz w:val="20"/>
          <w:szCs w:val="20"/>
        </w:rPr>
        <w:t>Observation 2: 1dB SNR degradation is just the experiential performance metric for OFDM signal and whether feasible for A-IoT signal needs further check.</w:t>
      </w:r>
    </w:p>
    <w:p>
      <w:pPr>
        <w:spacing w:after="156" w:afterLines="50"/>
        <w:rPr>
          <w:rFonts w:hint="default" w:ascii="Times New Roman" w:hAnsi="Times New Roman" w:eastAsia="宋体"/>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1</w:t>
      </w:r>
      <w:r>
        <w:rPr>
          <w:rFonts w:hint="eastAsia" w:ascii="Times New Roman" w:hAnsi="Times New Roman"/>
          <w:b/>
          <w:bCs/>
          <w:sz w:val="20"/>
          <w:szCs w:val="20"/>
        </w:rPr>
        <w:t xml:space="preserve">: </w:t>
      </w:r>
      <w:r>
        <w:rPr>
          <w:rFonts w:hint="eastAsia" w:ascii="Times New Roman" w:hAnsi="Times New Roman"/>
          <w:b/>
          <w:bCs/>
          <w:sz w:val="20"/>
          <w:szCs w:val="20"/>
          <w:lang w:val="en-US" w:eastAsia="zh-CN"/>
        </w:rPr>
        <w:t>for the performance metric when reader as victim, we have following suggestions:</w:t>
      </w:r>
    </w:p>
    <w:p>
      <w:pPr>
        <w:numPr>
          <w:ilvl w:val="0"/>
          <w:numId w:val="9"/>
        </w:numPr>
        <w:spacing w:after="156" w:afterLines="50"/>
        <w:ind w:left="420" w:leftChars="0" w:hanging="420" w:firstLineChars="0"/>
        <w:rPr>
          <w:rFonts w:hint="default" w:ascii="Times New Roman" w:hAnsi="Times New Roman" w:eastAsia="宋体"/>
          <w:b/>
          <w:bCs/>
          <w:sz w:val="20"/>
          <w:szCs w:val="20"/>
          <w:lang w:val="en-US" w:eastAsia="zh-CN"/>
        </w:rPr>
      </w:pPr>
      <w:r>
        <w:rPr>
          <w:rFonts w:hint="eastAsia" w:ascii="Times New Roman" w:hAnsi="Times New Roman"/>
          <w:b/>
          <w:bCs/>
          <w:sz w:val="20"/>
          <w:szCs w:val="20"/>
          <w:lang w:val="en-US" w:eastAsia="zh-CN"/>
        </w:rPr>
        <w:t xml:space="preserve">For the evaluation cases that inter-system interference is negligible compared with intra-system interference and noise, 1dB SINR degradation is OK. There is no need to translate SINR degradation into final BLER. </w:t>
      </w:r>
    </w:p>
    <w:p>
      <w:pPr>
        <w:numPr>
          <w:ilvl w:val="0"/>
          <w:numId w:val="9"/>
        </w:numPr>
        <w:spacing w:after="156" w:afterLines="50"/>
        <w:ind w:left="420" w:leftChars="0" w:hanging="420" w:firstLineChars="0"/>
        <w:rPr>
          <w:rFonts w:ascii="Times New Roman" w:hAnsi="Times New Roman"/>
          <w:b/>
          <w:bCs/>
          <w:sz w:val="20"/>
          <w:szCs w:val="20"/>
        </w:rPr>
      </w:pPr>
      <w:r>
        <w:rPr>
          <w:rFonts w:hint="eastAsia" w:ascii="Times New Roman" w:hAnsi="Times New Roman"/>
          <w:b/>
          <w:bCs/>
          <w:sz w:val="20"/>
          <w:szCs w:val="20"/>
          <w:lang w:val="en-US" w:eastAsia="zh-CN"/>
        </w:rPr>
        <w:t xml:space="preserve">For the evaluation case that inter-system interference is much greater compared with intra-system interference and noise, 1dB SINR degradation is not that intuitive. Instead, 10% BLER is suggested. </w:t>
      </w:r>
      <w:r>
        <w:rPr>
          <w:rFonts w:hint="eastAsia" w:ascii="Times New Roman" w:hAnsi="Times New Roman"/>
          <w:b/>
          <w:bCs/>
          <w:sz w:val="20"/>
          <w:szCs w:val="20"/>
        </w:rPr>
        <w:t>Relationship between SINR and BLER are based on companies</w:t>
      </w:r>
      <w:r>
        <w:rPr>
          <w:rFonts w:ascii="Times New Roman" w:hAnsi="Times New Roman"/>
          <w:b/>
          <w:bCs/>
          <w:sz w:val="20"/>
          <w:szCs w:val="20"/>
        </w:rPr>
        <w:t>’</w:t>
      </w:r>
      <w:r>
        <w:rPr>
          <w:rFonts w:hint="eastAsia" w:ascii="Times New Roman" w:hAnsi="Times New Roman"/>
          <w:b/>
          <w:bCs/>
          <w:sz w:val="20"/>
          <w:szCs w:val="20"/>
        </w:rPr>
        <w:t xml:space="preserve"> input</w:t>
      </w:r>
      <w:r>
        <w:rPr>
          <w:rFonts w:hint="eastAsia" w:ascii="Times New Roman" w:hAnsi="Times New Roman"/>
          <w:b/>
          <w:bCs/>
          <w:sz w:val="20"/>
          <w:szCs w:val="20"/>
          <w:lang w:val="en-US" w:eastAsia="zh-CN"/>
        </w:rPr>
        <w:t xml:space="preserve"> with assumed LLS evaluation parameters</w:t>
      </w:r>
      <w:r>
        <w:rPr>
          <w:rFonts w:hint="eastAsia" w:ascii="Times New Roman" w:hAnsi="Times New Roman"/>
          <w:b/>
          <w:bCs/>
          <w:sz w:val="20"/>
          <w:szCs w:val="20"/>
        </w:rPr>
        <w:t>.</w:t>
      </w:r>
    </w:p>
    <w:p>
      <w:pPr>
        <w:spacing w:after="156" w:afterLines="5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Observation 3: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reasonable to assume device could achieve energy/edge detection even when interference is less than or even comparable with OOK signal strength.</w:t>
      </w:r>
    </w:p>
    <w:p>
      <w:pPr>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 0dB SINR is reasonable performance metric when device as victim.</w:t>
      </w:r>
    </w:p>
    <w:p>
      <w:pPr>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3: following list two options for outage probability, i.e. which point on the CDF should be used to evaluate interference. Considering A-IoT service usually is not urgent, average value seems more meaningful.</w:t>
      </w:r>
    </w:p>
    <w:p>
      <w:pPr>
        <w:numPr>
          <w:ilvl w:val="0"/>
          <w:numId w:val="11"/>
        </w:numPr>
        <w:spacing w:after="156" w:afterLines="50"/>
        <w:ind w:left="516" w:leftChars="0" w:hanging="360" w:firstLineChars="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Edge 5%</w:t>
      </w:r>
    </w:p>
    <w:p>
      <w:pPr>
        <w:numPr>
          <w:ilvl w:val="0"/>
          <w:numId w:val="11"/>
        </w:numPr>
        <w:spacing w:after="156" w:afterLines="50"/>
        <w:ind w:left="516" w:leftChars="0" w:hanging="360" w:firstLineChars="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Average value.</w:t>
      </w:r>
    </w:p>
    <w:p>
      <w:pPr>
        <w:tabs>
          <w:tab w:val="left" w:pos="720"/>
        </w:tabs>
        <w:spacing w:after="156" w:afterLines="50"/>
        <w:rPr>
          <w:rFonts w:hint="default" w:ascii="Times New Roman" w:hAnsi="Times New Roman"/>
          <w:sz w:val="20"/>
          <w:szCs w:val="20"/>
          <w:highlight w:val="none"/>
          <w:lang w:val="en-US" w:eastAsia="zh-CN"/>
        </w:rPr>
      </w:pPr>
      <w:r>
        <w:rPr>
          <w:rFonts w:hint="eastAsia" w:ascii="Times New Roman" w:hAnsi="Times New Roman"/>
          <w:b/>
          <w:bCs/>
          <w:sz w:val="20"/>
          <w:szCs w:val="20"/>
          <w:highlight w:val="none"/>
        </w:rPr>
        <w:t xml:space="preserve">Observation </w:t>
      </w:r>
      <w:r>
        <w:rPr>
          <w:rFonts w:hint="eastAsia" w:ascii="Times New Roman" w:hAnsi="Times New Roman"/>
          <w:b/>
          <w:bCs/>
          <w:sz w:val="20"/>
          <w:szCs w:val="20"/>
          <w:highlight w:val="none"/>
          <w:lang w:val="en-US" w:eastAsia="zh-CN"/>
        </w:rPr>
        <w:t>4</w:t>
      </w:r>
      <w:r>
        <w:rPr>
          <w:rFonts w:hint="eastAsia" w:ascii="Times New Roman" w:hAnsi="Times New Roman"/>
          <w:b/>
          <w:bCs/>
          <w:sz w:val="20"/>
          <w:szCs w:val="20"/>
          <w:highlight w:val="none"/>
        </w:rPr>
        <w:t>: 140dBc self-interference cancellation is achievable for topology 1 and 120dBc self-interference cancellation is achievable for topology 2.</w:t>
      </w:r>
    </w:p>
    <w:p>
      <w:pPr>
        <w:numPr>
          <w:ilvl w:val="0"/>
          <w:numId w:val="0"/>
        </w:numPr>
        <w:spacing w:after="180"/>
        <w:jc w:val="left"/>
        <w:rPr>
          <w:rFonts w:hint="default" w:ascii="Times New Roman" w:hAnsi="Times New Roman"/>
          <w:sz w:val="20"/>
          <w:szCs w:val="20"/>
          <w:highlight w:val="none"/>
          <w:lang w:val="en-US" w:eastAsia="zh-CN"/>
        </w:rPr>
      </w:pPr>
      <w:r>
        <w:rPr>
          <w:rFonts w:hint="eastAsia" w:ascii="Times New Roman" w:hAnsi="Times New Roman"/>
          <w:b/>
          <w:bCs/>
          <w:sz w:val="20"/>
          <w:szCs w:val="20"/>
          <w:highlight w:val="none"/>
          <w:lang w:val="en-US" w:eastAsia="zh-CN"/>
        </w:rPr>
        <w:t xml:space="preserve">Proposal 4: we have following suggestions for self-interference if finally approve to simulate self-interference in final simulation </w:t>
      </w:r>
    </w:p>
    <w:p>
      <w:pPr>
        <w:numPr>
          <w:ilvl w:val="0"/>
          <w:numId w:val="13"/>
        </w:numPr>
        <w:spacing w:after="180"/>
        <w:ind w:left="516" w:leftChars="0" w:hanging="360" w:firstLineChars="0"/>
        <w:jc w:val="left"/>
        <w:rPr>
          <w:rFonts w:hint="default" w:ascii="Times New Roman" w:hAnsi="Times New Roman"/>
          <w:sz w:val="20"/>
          <w:szCs w:val="20"/>
          <w:highlight w:val="none"/>
          <w:lang w:val="en-US" w:eastAsia="zh-CN"/>
        </w:rPr>
      </w:pPr>
      <w:r>
        <w:rPr>
          <w:rFonts w:hint="eastAsia" w:ascii="Times New Roman" w:hAnsi="Times New Roman"/>
          <w:b/>
          <w:bCs/>
          <w:sz w:val="20"/>
          <w:szCs w:val="20"/>
          <w:highlight w:val="none"/>
          <w:lang w:val="en-US" w:eastAsia="zh-CN"/>
        </w:rPr>
        <w:t>Total interference cancellation capability is based on companies report. Companies are also encouraged to show detailed analysis of each part of self-interference cancellation aspects, i.e. total interference cancellation capability = spatial isolation + RF cancellation + digital cancellation</w:t>
      </w:r>
    </w:p>
    <w:p>
      <w:pPr>
        <w:numPr>
          <w:ilvl w:val="0"/>
          <w:numId w:val="13"/>
        </w:numPr>
        <w:spacing w:after="180"/>
        <w:ind w:left="516" w:leftChars="0" w:hanging="360" w:firstLineChars="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the SINR at reader is calculated as total power ratio, i.e.</w:t>
      </w:r>
    </w:p>
    <w:p>
      <w:pPr>
        <w:keepNext w:val="0"/>
        <w:keepLines w:val="0"/>
        <w:pageBreakBefore w:val="0"/>
        <w:widowControl w:val="0"/>
        <w:numPr>
          <w:ilvl w:val="0"/>
          <w:numId w:val="0"/>
        </w:numPr>
        <w:kinsoku/>
        <w:wordWrap/>
        <w:overflowPunct/>
        <w:topLinePunct w:val="0"/>
        <w:autoSpaceDE/>
        <w:autoSpaceDN/>
        <w:bidi w:val="0"/>
        <w:adjustRightInd/>
        <w:snapToGrid/>
        <w:spacing w:after="180"/>
        <w:ind w:left="0" w:leftChars="0"/>
        <w:jc w:val="left"/>
        <w:textAlignment w:val="auto"/>
        <w:rPr>
          <w:rFonts w:hint="default" w:ascii="Times New Roman" w:hAnsi="Times New Roman"/>
          <w:sz w:val="20"/>
          <w:szCs w:val="20"/>
          <w:highlight w:val="none"/>
          <w:lang w:val="en-US" w:eastAsia="zh-CN"/>
        </w:rPr>
      </w:pPr>
      <m:oMath>
        <m:r>
          <m:rPr/>
          <w:rPr>
            <w:rFonts w:hint="default" w:ascii="Cambria Math" w:hAnsi="Cambria Math"/>
            <w:sz w:val="20"/>
            <w:szCs w:val="20"/>
            <w:highlight w:val="none"/>
            <w:lang w:val="en-US" w:eastAsia="zh-CN"/>
          </w:rPr>
          <m:t>SINR</m:t>
        </m:r>
        <m:r>
          <m:rPr/>
          <w:rPr>
            <w:rFonts w:ascii="Cambria Math" w:hAnsi="Cambria Math"/>
            <w:sz w:val="20"/>
            <w:szCs w:val="20"/>
            <w:highlight w:val="none"/>
            <w:lang w:val="en-US"/>
          </w:rPr>
          <m:t>=</m:t>
        </m:r>
        <m:f>
          <m:fPr>
            <m:ctrlPr>
              <w:rPr>
                <w:rFonts w:ascii="Cambria Math" w:hAnsi="Cambria Math"/>
                <w:i/>
                <w:sz w:val="20"/>
                <w:szCs w:val="20"/>
                <w:highlight w:val="none"/>
                <w:lang w:val="en-US"/>
              </w:rPr>
            </m:ctrlPr>
          </m:fPr>
          <m:num>
            <m:r>
              <m:rPr/>
              <w:rPr>
                <w:rFonts w:hint="default" w:ascii="Cambria Math" w:hAnsi="Cambria Math"/>
                <w:sz w:val="20"/>
                <w:szCs w:val="20"/>
                <w:highlight w:val="none"/>
                <w:lang w:val="en-US" w:eastAsia="zh-CN"/>
              </w:rPr>
              <m:t>total received power witℎin total receiver bandwidtℎ</m:t>
            </m:r>
            <m:ctrlPr>
              <w:rPr>
                <w:rFonts w:ascii="Cambria Math" w:hAnsi="Cambria Math"/>
                <w:i/>
                <w:sz w:val="20"/>
                <w:szCs w:val="20"/>
                <w:highlight w:val="none"/>
                <w:lang w:val="en-US"/>
              </w:rPr>
            </m:ctrlPr>
          </m:num>
          <m:den>
            <m:sSub>
              <m:sSubPr>
                <m:ctrlPr>
                  <w:rPr>
                    <w:rFonts w:ascii="Cambria Math" w:hAnsi="Cambria Math"/>
                    <w:i/>
                    <w:sz w:val="20"/>
                    <w:szCs w:val="20"/>
                    <w:highlight w:val="none"/>
                    <w:lang w:val="en-US"/>
                  </w:rPr>
                </m:ctrlPr>
              </m:sSubPr>
              <m:e>
                <m:d>
                  <m:dPr>
                    <m:ctrlPr>
                      <w:rPr>
                        <w:rFonts w:ascii="Cambria Math" w:hAnsi="Cambria Math"/>
                        <w:i/>
                        <w:sz w:val="20"/>
                        <w:szCs w:val="20"/>
                        <w:highlight w:val="none"/>
                        <w:lang w:val="en-US"/>
                      </w:rPr>
                    </m:ctrlPr>
                  </m:dPr>
                  <m:e>
                    <m:r>
                      <m:rPr/>
                      <w:rPr>
                        <w:rFonts w:hint="default" w:ascii="Cambria Math" w:hAnsi="Cambria Math"/>
                        <w:sz w:val="20"/>
                        <w:szCs w:val="20"/>
                        <w:highlight w:val="none"/>
                        <w:lang w:val="en-US" w:eastAsia="zh-CN"/>
                      </w:rPr>
                      <m:t>noise + intra−system interference + inter−system interference</m:t>
                    </m:r>
                    <m:ctrlPr>
                      <w:rPr>
                        <w:rFonts w:ascii="Cambria Math" w:hAnsi="Cambria Math"/>
                        <w:i/>
                        <w:sz w:val="20"/>
                        <w:szCs w:val="20"/>
                        <w:highlight w:val="none"/>
                        <w:lang w:val="en-US"/>
                      </w:rPr>
                    </m:ctrlPr>
                  </m:e>
                </m:d>
                <m:ctrlPr>
                  <w:rPr>
                    <w:rFonts w:ascii="Cambria Math" w:hAnsi="Cambria Math"/>
                    <w:i/>
                    <w:sz w:val="20"/>
                    <w:szCs w:val="20"/>
                    <w:highlight w:val="none"/>
                    <w:lang w:val="en-US"/>
                  </w:rPr>
                </m:ctrlPr>
              </m:e>
              <m:sub>
                <m:r>
                  <m:rPr/>
                  <w:rPr>
                    <w:rFonts w:hint="default" w:ascii="Cambria Math" w:hAnsi="Cambria Math"/>
                    <w:sz w:val="20"/>
                    <w:szCs w:val="20"/>
                    <w:highlight w:val="none"/>
                    <w:lang w:val="en-US" w:eastAsia="zh-CN"/>
                  </w:rPr>
                  <m:t>witℎin total receiver bandwidtℎ</m:t>
                </m:r>
                <m:ctrlPr>
                  <w:rPr>
                    <w:rFonts w:ascii="Cambria Math" w:hAnsi="Cambria Math"/>
                    <w:i/>
                    <w:sz w:val="20"/>
                    <w:szCs w:val="20"/>
                    <w:highlight w:val="none"/>
                    <w:lang w:val="en-US"/>
                  </w:rPr>
                </m:ctrlPr>
              </m:sub>
            </m:sSub>
            <m:r>
              <m:rPr/>
              <w:rPr>
                <w:rFonts w:hint="default" w:ascii="Cambria Math" w:hAnsi="Cambria Math"/>
                <w:sz w:val="20"/>
                <w:szCs w:val="20"/>
                <w:highlight w:val="none"/>
                <w:lang w:val="en-US" w:eastAsia="zh-CN"/>
              </w:rPr>
              <m:t>+</m:t>
            </m:r>
            <m:sSub>
              <m:sSubPr>
                <m:ctrlPr>
                  <w:rPr>
                    <w:rFonts w:hint="default" w:ascii="Cambria Math" w:hAnsi="Cambria Math"/>
                    <w:i/>
                    <w:sz w:val="20"/>
                    <w:szCs w:val="20"/>
                    <w:highlight w:val="none"/>
                    <w:lang w:val="en-US" w:eastAsia="zh-CN"/>
                  </w:rPr>
                </m:ctrlPr>
              </m:sSubPr>
              <m:e>
                <m:d>
                  <m:dPr>
                    <m:ctrlPr>
                      <w:rPr>
                        <w:rFonts w:hint="default" w:ascii="Cambria Math" w:hAnsi="Cambria Math"/>
                        <w:i/>
                        <w:sz w:val="20"/>
                        <w:szCs w:val="20"/>
                        <w:highlight w:val="none"/>
                        <w:lang w:val="en-US" w:eastAsia="zh-CN"/>
                      </w:rPr>
                    </m:ctrlPr>
                  </m:dPr>
                  <m:e>
                    <m:r>
                      <m:rPr/>
                      <w:rPr>
                        <w:rFonts w:hint="default" w:ascii="Cambria Math" w:hAnsi="Cambria Math"/>
                        <w:sz w:val="20"/>
                        <w:szCs w:val="20"/>
                        <w:highlight w:val="none"/>
                        <w:lang w:val="en-US" w:eastAsia="zh-CN"/>
                      </w:rPr>
                      <m:t>CW power − self−interference cancellation</m:t>
                    </m:r>
                    <m:ctrlPr>
                      <w:rPr>
                        <w:rFonts w:hint="default" w:ascii="Cambria Math" w:hAnsi="Cambria Math"/>
                        <w:i/>
                        <w:sz w:val="20"/>
                        <w:szCs w:val="20"/>
                        <w:highlight w:val="none"/>
                        <w:lang w:val="en-US" w:eastAsia="zh-CN"/>
                      </w:rPr>
                    </m:ctrlPr>
                  </m:e>
                </m:d>
                <m:ctrlPr>
                  <w:rPr>
                    <w:rFonts w:hint="default" w:ascii="Cambria Math" w:hAnsi="Cambria Math"/>
                    <w:i/>
                    <w:sz w:val="20"/>
                    <w:szCs w:val="20"/>
                    <w:highlight w:val="none"/>
                    <w:lang w:val="en-US" w:eastAsia="zh-CN"/>
                  </w:rPr>
                </m:ctrlPr>
              </m:e>
              <m:sub>
                <m:r>
                  <m:rPr/>
                  <w:rPr>
                    <w:rFonts w:hint="default" w:ascii="Cambria Math" w:hAnsi="Cambria Math"/>
                    <w:sz w:val="20"/>
                    <w:szCs w:val="20"/>
                    <w:highlight w:val="none"/>
                    <w:lang w:val="en-US" w:eastAsia="zh-CN"/>
                  </w:rPr>
                  <m:t>in linear scale</m:t>
                </m:r>
                <m:ctrlPr>
                  <w:rPr>
                    <w:rFonts w:hint="default" w:ascii="Cambria Math" w:hAnsi="Cambria Math"/>
                    <w:i/>
                    <w:sz w:val="20"/>
                    <w:szCs w:val="20"/>
                    <w:highlight w:val="none"/>
                    <w:lang w:val="en-US" w:eastAsia="zh-CN"/>
                  </w:rPr>
                </m:ctrlPr>
              </m:sub>
            </m:sSub>
            <m:ctrlPr>
              <w:rPr>
                <w:rFonts w:ascii="Cambria Math" w:hAnsi="Cambria Math"/>
                <w:i/>
                <w:sz w:val="20"/>
                <w:szCs w:val="20"/>
                <w:highlight w:val="none"/>
                <w:lang w:val="en-US"/>
              </w:rPr>
            </m:ctrlPr>
          </m:den>
        </m:f>
      </m:oMath>
      <w:r>
        <w:rPr>
          <w:rFonts w:hint="eastAsia" w:ascii="Times New Roman" w:hAnsi="Times New Roman"/>
          <w:sz w:val="20"/>
          <w:szCs w:val="20"/>
          <w:highlight w:val="none"/>
          <w:lang w:val="en-US" w:eastAsia="zh-CN"/>
        </w:rPr>
        <w:t xml:space="preserve"> </w:t>
      </w:r>
    </w:p>
    <w:p>
      <w:pPr>
        <w:spacing w:after="180"/>
        <w:jc w:val="left"/>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rPr>
        <w:t xml:space="preserve">Proposal </w:t>
      </w:r>
      <w:r>
        <w:rPr>
          <w:rFonts w:hint="eastAsia" w:ascii="Times New Roman" w:hAnsi="Times New Roman"/>
          <w:b/>
          <w:bCs/>
          <w:sz w:val="20"/>
          <w:szCs w:val="20"/>
          <w:highlight w:val="none"/>
          <w:lang w:val="en-US" w:eastAsia="zh-CN"/>
        </w:rPr>
        <w:t>5</w:t>
      </w:r>
      <w:r>
        <w:rPr>
          <w:rFonts w:hint="eastAsia" w:ascii="Times New Roman" w:hAnsi="Times New Roman"/>
          <w:b/>
          <w:bCs/>
          <w:sz w:val="20"/>
          <w:szCs w:val="20"/>
          <w:highlight w:val="none"/>
        </w:rPr>
        <w:t>: during co-existence simulation, there is no need to consider CW unwanted interference due to its almost perfect unwanted emission performance outside the transmission bandwidth.</w:t>
      </w:r>
      <w:r>
        <w:rPr>
          <w:rFonts w:hint="eastAsia" w:ascii="Times New Roman" w:hAnsi="Times New Roman"/>
          <w:b/>
          <w:bCs/>
          <w:sz w:val="20"/>
          <w:szCs w:val="20"/>
          <w:highlight w:val="none"/>
          <w:lang w:val="en-US" w:eastAsia="zh-CN"/>
        </w:rPr>
        <w:t xml:space="preserve"> </w:t>
      </w:r>
    </w:p>
    <w:p>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Observation 5: in theory, t</w:t>
      </w:r>
      <w:r>
        <w:rPr>
          <w:rFonts w:hint="eastAsia" w:ascii="Times New Roman" w:hAnsi="Times New Roman"/>
          <w:b/>
          <w:bCs/>
          <w:sz w:val="20"/>
          <w:szCs w:val="20"/>
          <w:highlight w:val="none"/>
        </w:rPr>
        <w:t xml:space="preserve">he BB LPF </w:t>
      </w:r>
      <w:r>
        <w:rPr>
          <w:rFonts w:hint="eastAsia" w:ascii="Times New Roman" w:hAnsi="Times New Roman"/>
          <w:b/>
          <w:bCs/>
          <w:sz w:val="20"/>
          <w:szCs w:val="20"/>
          <w:highlight w:val="none"/>
          <w:lang w:val="en-US" w:eastAsia="zh-CN"/>
        </w:rPr>
        <w:t xml:space="preserve">would help to perform selectivity of the remained NR interference signal after RF-ED transformation but most NR interference energy has already fallen into LPF passband. </w:t>
      </w:r>
    </w:p>
    <w:p>
      <w:pPr>
        <w:spacing w:after="156" w:afterLines="50"/>
        <w:rPr>
          <w:rFonts w:hint="eastAsia" w:ascii="Times New Roman" w:hAnsi="Times New Roman"/>
          <w:b/>
          <w:bCs/>
          <w:sz w:val="20"/>
          <w:szCs w:val="20"/>
          <w:highlight w:val="none"/>
        </w:rPr>
      </w:pPr>
      <w:r>
        <w:rPr>
          <w:rFonts w:hint="eastAsia" w:ascii="Times New Roman" w:hAnsi="Times New Roman"/>
          <w:b/>
          <w:bCs/>
          <w:sz w:val="20"/>
          <w:szCs w:val="20"/>
          <w:highlight w:val="none"/>
          <w:lang w:val="en-US" w:eastAsia="zh-CN"/>
        </w:rPr>
        <w:t>Proposal 6: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assume there is no in-band selectivity for RF-ED based device for formal simulation, which is the worst assumption. If final simulation show interference occurs, RAN4 can further focus on BB LPF performance analysis and conclude certain RF requirements if necessary to avoid interference.</w:t>
      </w:r>
      <w:r>
        <w:rPr>
          <w:rFonts w:hint="eastAsia" w:ascii="Times New Roman" w:hAnsi="Times New Roman"/>
          <w:b/>
          <w:bCs/>
          <w:sz w:val="20"/>
          <w:szCs w:val="20"/>
          <w:highlight w:val="none"/>
        </w:rPr>
        <w:t xml:space="preserve"> </w:t>
      </w:r>
    </w:p>
    <w:p>
      <w:pPr>
        <w:spacing w:after="180"/>
        <w:jc w:val="left"/>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Observation 6: there is no need to consider other reflection link at device side except for the reflection of CW signal, because interference of reflection will be much less than corresponding direct link.</w:t>
      </w:r>
    </w:p>
    <w:p>
      <w:pPr>
        <w:rPr>
          <w:rFonts w:hint="default" w:ascii="Times New Roman" w:hAnsi="Times New Roman" w:cs="Times New Roman"/>
          <w:b/>
          <w:bCs/>
          <w:sz w:val="20"/>
          <w:szCs w:val="20"/>
          <w:lang w:val="en-US" w:eastAsia="zh-CN"/>
        </w:rPr>
      </w:pPr>
      <w:r>
        <w:rPr>
          <w:rFonts w:hint="eastAsia" w:ascii="Times New Roman" w:hAnsi="Times New Roman" w:cs="Times New Roman"/>
          <w:b/>
          <w:bCs/>
          <w:sz w:val="20"/>
          <w:szCs w:val="20"/>
          <w:lang w:val="en-US" w:eastAsia="zh-CN"/>
        </w:rPr>
        <w:t>Proposal 7: detailed evaluation cases and corresponding explanation are listed as above tables.</w:t>
      </w:r>
    </w:p>
    <w:p>
      <w:pPr>
        <w:spacing w:after="156" w:afterLines="50"/>
        <w:jc w:val="center"/>
        <w:rPr>
          <w:rFonts w:hint="default" w:ascii="Times New Roman" w:hAnsi="Times New Roman"/>
          <w:sz w:val="20"/>
          <w:szCs w:val="20"/>
          <w:lang w:val="en-US" w:eastAsia="zh-CN"/>
        </w:rPr>
      </w:pPr>
      <w:r>
        <w:rPr>
          <w:rFonts w:hint="default" w:ascii="Times New Roman" w:hAnsi="Times New Roman"/>
          <w:sz w:val="20"/>
          <w:szCs w:val="20"/>
          <w:lang w:val="en-US" w:eastAsia="zh-CN"/>
        </w:rPr>
        <w:drawing>
          <wp:inline distT="0" distB="0" distL="114300" distR="114300">
            <wp:extent cx="4503420" cy="1681480"/>
            <wp:effectExtent l="0" t="0" r="5080" b="7620"/>
            <wp:docPr id="3" name="图片 3" descr="1722940738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1722940738153"/>
                    <pic:cNvPicPr>
                      <a:picLocks noChangeAspect="1"/>
                    </pic:cNvPicPr>
                  </pic:nvPicPr>
                  <pic:blipFill>
                    <a:blip r:embed="rId5"/>
                    <a:stretch>
                      <a:fillRect/>
                    </a:stretch>
                  </pic:blipFill>
                  <pic:spPr>
                    <a:xfrm>
                      <a:off x="0" y="0"/>
                      <a:ext cx="4503420" cy="1681480"/>
                    </a:xfrm>
                    <a:prstGeom prst="rect">
                      <a:avLst/>
                    </a:prstGeom>
                  </pic:spPr>
                </pic:pic>
              </a:graphicData>
            </a:graphic>
          </wp:inline>
        </w:drawing>
      </w:r>
    </w:p>
    <w:p>
      <w:pPr>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8: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use above UE RB allocation for both calibration and formal simulation.</w:t>
      </w:r>
    </w:p>
    <w:p>
      <w:pPr>
        <w:spacing w:after="156" w:afterLines="50"/>
        <w:rPr>
          <w:rFonts w:hint="default" w:ascii="Times New Roman" w:hAnsi="Times New Roman" w:eastAsia="宋体"/>
          <w:b/>
          <w:bCs/>
          <w:sz w:val="20"/>
          <w:szCs w:val="20"/>
          <w:lang w:val="en-US" w:eastAsia="zh-CN"/>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9</w:t>
      </w:r>
      <w:r>
        <w:rPr>
          <w:rFonts w:hint="eastAsia" w:ascii="Times New Roman" w:hAnsi="Times New Roman"/>
          <w:b/>
          <w:bCs/>
          <w:sz w:val="20"/>
          <w:szCs w:val="20"/>
        </w:rPr>
        <w:t xml:space="preserve">: for existing UE/intermediate UE/ existing gNB/ reader of topology 1, the suggested value for adjacent RB Tx leakage and Rx selectivity is listed </w:t>
      </w:r>
      <w:r>
        <w:rPr>
          <w:rFonts w:hint="eastAsia" w:ascii="Times New Roman" w:hAnsi="Times New Roman"/>
          <w:b/>
          <w:bCs/>
          <w:sz w:val="20"/>
          <w:szCs w:val="20"/>
          <w:lang w:val="en-US" w:eastAsia="zh-CN"/>
        </w:rPr>
        <w:t xml:space="preserve">as </w:t>
      </w:r>
      <w:r>
        <w:rPr>
          <w:rFonts w:hint="eastAsia" w:ascii="Times New Roman" w:hAnsi="Times New Roman"/>
          <w:b/>
          <w:bCs/>
          <w:sz w:val="20"/>
          <w:szCs w:val="20"/>
        </w:rPr>
        <w:t xml:space="preserve">in above table. </w:t>
      </w:r>
      <w:r>
        <w:rPr>
          <w:rFonts w:hint="eastAsia" w:ascii="Times New Roman" w:hAnsi="Times New Roman"/>
          <w:b/>
          <w:bCs/>
          <w:sz w:val="20"/>
          <w:szCs w:val="20"/>
          <w:lang w:val="en-US" w:eastAsia="zh-CN"/>
        </w:rPr>
        <w:t>gNB vendors are encouraged to further check gNB performance.</w:t>
      </w:r>
    </w:p>
    <w:p>
      <w:pPr>
        <w:spacing w:after="156" w:afterLines="50"/>
        <w:rPr>
          <w:rFonts w:hint="default" w:ascii="Times New Roman" w:hAnsi="Times New Roman" w:eastAsia="宋体"/>
          <w:b/>
          <w:bCs/>
          <w:sz w:val="20"/>
          <w:szCs w:val="20"/>
          <w:highlight w:val="none"/>
          <w:lang w:val="en-US" w:eastAsia="zh-CN"/>
        </w:rPr>
      </w:pPr>
      <w:r>
        <w:rPr>
          <w:rFonts w:hint="eastAsia" w:ascii="Times New Roman" w:hAnsi="Times New Roman"/>
          <w:b/>
          <w:bCs/>
          <w:sz w:val="20"/>
          <w:szCs w:val="20"/>
          <w:highlight w:val="none"/>
          <w:lang w:val="en-US" w:eastAsia="zh-CN"/>
        </w:rPr>
        <w:t>Observation 7: OOK spectrum will much concentrate in the center frequency compared with BPSK. Besides, larger chip rate, the larger spectrum bandwidth and worse leakage performance. Compared with miller code, manchester code have worst leakage performance.</w:t>
      </w:r>
    </w:p>
    <w:p>
      <w:pPr>
        <w:spacing w:after="156" w:afterLines="50"/>
        <w:rPr>
          <w:rFonts w:ascii="Times New Roman" w:hAnsi="Times New Roman"/>
          <w:b/>
          <w:bCs/>
          <w:sz w:val="20"/>
          <w:szCs w:val="20"/>
          <w:highlight w:val="none"/>
        </w:rPr>
      </w:pPr>
      <w:r>
        <w:rPr>
          <w:rFonts w:hint="eastAsia" w:ascii="Times New Roman" w:hAnsi="Times New Roman"/>
          <w:b/>
          <w:bCs/>
          <w:sz w:val="20"/>
          <w:szCs w:val="20"/>
          <w:highlight w:val="none"/>
        </w:rPr>
        <w:t>Proposal 1</w:t>
      </w:r>
      <w:r>
        <w:rPr>
          <w:rFonts w:hint="eastAsia" w:ascii="Times New Roman" w:hAnsi="Times New Roman"/>
          <w:b/>
          <w:bCs/>
          <w:sz w:val="20"/>
          <w:szCs w:val="20"/>
          <w:highlight w:val="none"/>
          <w:lang w:val="en-US" w:eastAsia="zh-CN"/>
        </w:rPr>
        <w:t>0</w:t>
      </w:r>
      <w:r>
        <w:rPr>
          <w:rFonts w:hint="eastAsia" w:ascii="Times New Roman" w:hAnsi="Times New Roman"/>
          <w:b/>
          <w:bCs/>
          <w:sz w:val="20"/>
          <w:szCs w:val="20"/>
          <w:highlight w:val="none"/>
        </w:rPr>
        <w:t>: for device 1 and 2a, it</w:t>
      </w:r>
      <w:r>
        <w:rPr>
          <w:rFonts w:ascii="Times New Roman" w:hAnsi="Times New Roman"/>
          <w:b/>
          <w:bCs/>
          <w:sz w:val="20"/>
          <w:szCs w:val="20"/>
          <w:highlight w:val="none"/>
        </w:rPr>
        <w:t>’</w:t>
      </w:r>
      <w:r>
        <w:rPr>
          <w:rFonts w:hint="eastAsia" w:ascii="Times New Roman" w:hAnsi="Times New Roman"/>
          <w:b/>
          <w:bCs/>
          <w:sz w:val="20"/>
          <w:szCs w:val="20"/>
          <w:highlight w:val="none"/>
        </w:rPr>
        <w:t xml:space="preserve">s suggested to use following value for IBE with assuming </w:t>
      </w:r>
      <w:r>
        <w:rPr>
          <w:rFonts w:hint="eastAsia" w:ascii="Times New Roman" w:hAnsi="Times New Roman"/>
          <w:b/>
          <w:bCs/>
          <w:sz w:val="20"/>
          <w:szCs w:val="20"/>
          <w:highlight w:val="none"/>
          <w:lang w:val="en-US" w:eastAsia="zh-CN"/>
        </w:rPr>
        <w:t>7</w:t>
      </w:r>
      <w:r>
        <w:rPr>
          <w:rFonts w:hint="eastAsia" w:ascii="Times New Roman" w:hAnsi="Times New Roman"/>
          <w:b/>
          <w:bCs/>
          <w:sz w:val="20"/>
          <w:szCs w:val="20"/>
          <w:highlight w:val="none"/>
        </w:rPr>
        <w:t xml:space="preserve">kbps D2R date rate, Manchester code, </w:t>
      </w:r>
      <w:r>
        <w:rPr>
          <w:rFonts w:hint="eastAsia" w:ascii="Times New Roman" w:hAnsi="Times New Roman"/>
          <w:b/>
          <w:bCs/>
          <w:sz w:val="20"/>
          <w:szCs w:val="20"/>
          <w:highlight w:val="none"/>
          <w:lang w:val="en-US" w:eastAsia="zh-CN"/>
        </w:rPr>
        <w:t xml:space="preserve">1/3 code rate convolution code, </w:t>
      </w:r>
      <w:r>
        <w:rPr>
          <w:rFonts w:hint="eastAsia" w:ascii="Times New Roman" w:hAnsi="Times New Roman"/>
          <w:b/>
          <w:bCs/>
          <w:sz w:val="20"/>
          <w:szCs w:val="20"/>
          <w:highlight w:val="none"/>
        </w:rPr>
        <w:t>BPSK modulation scheme. Following assume</w:t>
      </w:r>
      <w:r>
        <w:rPr>
          <w:rFonts w:hint="eastAsia" w:ascii="Times New Roman" w:hAnsi="Times New Roman"/>
          <w:b/>
          <w:bCs/>
          <w:sz w:val="20"/>
          <w:szCs w:val="20"/>
          <w:highlight w:val="none"/>
          <w:lang w:val="en-US" w:eastAsia="zh-CN"/>
        </w:rPr>
        <w:t>s that</w:t>
      </w:r>
      <w:r>
        <w:rPr>
          <w:rFonts w:hint="eastAsia" w:ascii="Times New Roman" w:hAnsi="Times New Roman"/>
          <w:b/>
          <w:bCs/>
          <w:sz w:val="20"/>
          <w:szCs w:val="20"/>
          <w:highlight w:val="none"/>
        </w:rPr>
        <w:t xml:space="preserve"> Tx signal is at frequency center</w:t>
      </w:r>
    </w:p>
    <w:p>
      <w:pPr>
        <w:numPr>
          <w:ilvl w:val="0"/>
          <w:numId w:val="16"/>
        </w:numPr>
        <w:spacing w:after="156" w:afterLines="50"/>
        <w:rPr>
          <w:rFonts w:ascii="Times New Roman" w:hAnsi="Times New Roman"/>
          <w:b/>
          <w:bCs/>
          <w:sz w:val="20"/>
          <w:szCs w:val="20"/>
          <w:highlight w:val="none"/>
        </w:rPr>
      </w:pPr>
      <w:r>
        <w:rPr>
          <w:rFonts w:hint="eastAsia" w:ascii="Times New Roman" w:hAnsi="Times New Roman"/>
          <w:b/>
          <w:bCs/>
          <w:sz w:val="20"/>
          <w:szCs w:val="20"/>
          <w:highlight w:val="none"/>
          <w:lang w:val="en-US" w:eastAsia="zh-CN"/>
        </w:rPr>
        <w:t>16</w:t>
      </w:r>
      <w:r>
        <w:rPr>
          <w:rFonts w:hint="eastAsia" w:ascii="Times New Roman" w:hAnsi="Times New Roman"/>
          <w:b/>
          <w:bCs/>
          <w:sz w:val="20"/>
          <w:szCs w:val="20"/>
          <w:highlight w:val="none"/>
        </w:rPr>
        <w:t>dBc at the edge of center 1PRB, i.e. 90kHz offset from frequency center</w:t>
      </w:r>
    </w:p>
    <w:p>
      <w:pPr>
        <w:numPr>
          <w:ilvl w:val="0"/>
          <w:numId w:val="0"/>
        </w:numPr>
        <w:spacing w:after="156" w:afterLines="50"/>
        <w:rPr>
          <w:rFonts w:hint="default" w:ascii="Times New Roman" w:hAnsi="Times New Roman" w:eastAsia="宋体"/>
          <w:b/>
          <w:bCs/>
          <w:sz w:val="20"/>
          <w:szCs w:val="20"/>
          <w:highlight w:val="none"/>
          <w:lang w:val="en-US" w:eastAsia="zh-CN"/>
        </w:rPr>
      </w:pPr>
      <w:r>
        <w:rPr>
          <w:rFonts w:hint="eastAsia" w:ascii="Times New Roman" w:hAnsi="Times New Roman"/>
          <w:b/>
          <w:bCs/>
          <w:sz w:val="20"/>
          <w:szCs w:val="20"/>
          <w:highlight w:val="none"/>
          <w:lang w:val="en-US" w:eastAsia="zh-CN"/>
        </w:rPr>
        <w:t>Proposal 11: if other companies have different device leakage performance based on different parameter, RAN4 could finally assume two sets of assumptions for final simulation.</w:t>
      </w:r>
    </w:p>
    <w:p>
      <w:pPr>
        <w:spacing w:after="156" w:afterLines="50"/>
        <w:rPr>
          <w:rFonts w:hint="eastAsia" w:ascii="Times New Roman" w:hAnsi="Times New Roman"/>
          <w:b/>
          <w:bCs/>
          <w:sz w:val="20"/>
          <w:szCs w:val="20"/>
          <w:highlight w:val="none"/>
        </w:rPr>
      </w:pPr>
      <w:r>
        <w:rPr>
          <w:rFonts w:hint="eastAsia" w:ascii="Times New Roman" w:hAnsi="Times New Roman"/>
          <w:b/>
          <w:bCs/>
          <w:sz w:val="20"/>
          <w:szCs w:val="20"/>
          <w:highlight w:val="none"/>
        </w:rPr>
        <w:t xml:space="preserve">Proposal </w:t>
      </w:r>
      <w:r>
        <w:rPr>
          <w:rFonts w:hint="eastAsia" w:ascii="Times New Roman" w:hAnsi="Times New Roman"/>
          <w:b/>
          <w:bCs/>
          <w:sz w:val="20"/>
          <w:szCs w:val="20"/>
          <w:highlight w:val="none"/>
          <w:lang w:val="en-US" w:eastAsia="zh-CN"/>
        </w:rPr>
        <w:t>12</w:t>
      </w:r>
      <w:r>
        <w:rPr>
          <w:rFonts w:hint="eastAsia" w:ascii="Times New Roman" w:hAnsi="Times New Roman"/>
          <w:b/>
          <w:bCs/>
          <w:sz w:val="20"/>
          <w:szCs w:val="20"/>
          <w:highlight w:val="none"/>
        </w:rPr>
        <w:t>: it</w:t>
      </w:r>
      <w:r>
        <w:rPr>
          <w:rFonts w:ascii="Times New Roman" w:hAnsi="Times New Roman"/>
          <w:b/>
          <w:bCs/>
          <w:sz w:val="20"/>
          <w:szCs w:val="20"/>
          <w:highlight w:val="none"/>
        </w:rPr>
        <w:t>’</w:t>
      </w:r>
      <w:r>
        <w:rPr>
          <w:rFonts w:hint="eastAsia" w:ascii="Times New Roman" w:hAnsi="Times New Roman"/>
          <w:b/>
          <w:bCs/>
          <w:sz w:val="20"/>
          <w:szCs w:val="20"/>
          <w:highlight w:val="none"/>
        </w:rPr>
        <w:t xml:space="preserve">s suggested to use </w:t>
      </w:r>
      <w:r>
        <w:rPr>
          <w:rFonts w:hint="eastAsia" w:ascii="Times New Roman" w:hAnsi="Times New Roman"/>
          <w:b/>
          <w:bCs/>
          <w:sz w:val="20"/>
          <w:szCs w:val="20"/>
          <w:highlight w:val="none"/>
          <w:lang w:val="en-US" w:eastAsia="zh-CN"/>
        </w:rPr>
        <w:t>as much assumption in calibration phase as possible unless some parameters that are regarded as not reasonable based on initial results from calibration</w:t>
      </w:r>
      <w:r>
        <w:rPr>
          <w:rFonts w:hint="eastAsia" w:ascii="Times New Roman" w:hAnsi="Times New Roman"/>
          <w:b/>
          <w:bCs/>
          <w:sz w:val="20"/>
          <w:szCs w:val="20"/>
          <w:highlight w:val="none"/>
        </w:rPr>
        <w:t>.</w:t>
      </w:r>
    </w:p>
    <w:p>
      <w:pPr>
        <w:tabs>
          <w:tab w:val="left" w:pos="720"/>
        </w:tabs>
        <w:spacing w:after="156" w:afterLines="50"/>
        <w:rPr>
          <w:rFonts w:hint="eastAsia" w:ascii="Times New Roman" w:hAnsi="Times New Roman"/>
          <w:b/>
          <w:bCs/>
          <w:sz w:val="20"/>
          <w:szCs w:val="20"/>
        </w:rPr>
      </w:pPr>
      <w:r>
        <w:rPr>
          <w:rFonts w:hint="eastAsia" w:ascii="Times New Roman" w:hAnsi="Times New Roman"/>
          <w:b/>
          <w:bCs/>
          <w:sz w:val="20"/>
          <w:szCs w:val="20"/>
        </w:rPr>
        <w:t>Proposal 1</w:t>
      </w:r>
      <w:r>
        <w:rPr>
          <w:rFonts w:hint="eastAsia" w:ascii="Times New Roman" w:hAnsi="Times New Roman"/>
          <w:b/>
          <w:bCs/>
          <w:sz w:val="20"/>
          <w:szCs w:val="20"/>
          <w:lang w:val="en-US" w:eastAsia="zh-CN"/>
        </w:rPr>
        <w:t>3</w:t>
      </w:r>
      <w:r>
        <w:rPr>
          <w:rFonts w:hint="eastAsia" w:ascii="Times New Roman" w:hAnsi="Times New Roman"/>
          <w:b/>
          <w:bCs/>
          <w:sz w:val="20"/>
          <w:szCs w:val="20"/>
        </w:rPr>
        <w:t>: it</w:t>
      </w:r>
      <w:r>
        <w:rPr>
          <w:rFonts w:ascii="Times New Roman" w:hAnsi="Times New Roman"/>
          <w:b/>
          <w:bCs/>
          <w:sz w:val="20"/>
          <w:szCs w:val="20"/>
        </w:rPr>
        <w:t>’</w:t>
      </w:r>
      <w:r>
        <w:rPr>
          <w:rFonts w:hint="eastAsia" w:ascii="Times New Roman" w:hAnsi="Times New Roman"/>
          <w:b/>
          <w:bCs/>
          <w:sz w:val="20"/>
          <w:szCs w:val="20"/>
        </w:rPr>
        <w:t>s suggested to use the parameter in above table.</w:t>
      </w:r>
    </w:p>
    <w:p>
      <w:pPr>
        <w:tabs>
          <w:tab w:val="left" w:pos="720"/>
        </w:tabs>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14: when A-IoT reader as victim, the scaling factor is suggested as below to compensate different aggressor and victim bandwidth when calculating inter-system interference.</w:t>
      </w:r>
    </w:p>
    <w:p>
      <w:pPr>
        <w:tabs>
          <w:tab w:val="left" w:pos="720"/>
        </w:tabs>
        <w:spacing w:after="156" w:afterLines="5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Scaling factor = </w:t>
      </w:r>
      <m:oMath>
        <m:r>
          <m:rPr>
            <m:sty m:val="b"/>
          </m:rPr>
          <w:rPr>
            <w:rFonts w:hint="default" w:ascii="Cambria Math" w:hAnsi="Cambria Math" w:cs="Times New Roman"/>
            <w:kern w:val="2"/>
            <w:sz w:val="20"/>
            <w:szCs w:val="20"/>
            <w:lang w:val="en-US" w:eastAsia="zh-CN" w:bidi="ar-SA"/>
          </w:rPr>
          <m:t>10∗log10</m:t>
        </m:r>
        <m:d>
          <m:dPr>
            <m:ctrlPr>
              <w:rPr>
                <w:rFonts w:hint="default" w:ascii="Cambria Math" w:hAnsi="Cambria Math" w:cs="Times New Roman"/>
                <w:b/>
                <w:bCs/>
                <w:kern w:val="2"/>
                <w:sz w:val="20"/>
                <w:szCs w:val="20"/>
                <w:lang w:val="en-US" w:eastAsia="zh-CN" w:bidi="ar-SA"/>
              </w:rPr>
            </m:ctrlPr>
          </m:dPr>
          <m:e>
            <m:f>
              <m:fPr>
                <m:ctrlPr>
                  <w:rPr>
                    <w:rFonts w:hint="default" w:ascii="Cambria Math" w:hAnsi="Cambria Math" w:cs="Times New Roman"/>
                    <w:b/>
                    <w:bCs/>
                    <w:kern w:val="2"/>
                    <w:sz w:val="20"/>
                    <w:szCs w:val="20"/>
                    <w:lang w:val="en-US" w:eastAsia="zh-CN" w:bidi="ar-SA"/>
                  </w:rPr>
                </m:ctrlPr>
              </m:fPr>
              <m:num>
                <m:sSub>
                  <m:sSubPr>
                    <m:ctrlPr>
                      <w:rPr>
                        <w:rFonts w:hint="default" w:ascii="Cambria Math" w:hAnsi="Cambria Math" w:cs="Times New Roman"/>
                        <w:b/>
                        <w:bCs/>
                        <w:kern w:val="2"/>
                        <w:sz w:val="20"/>
                        <w:szCs w:val="20"/>
                        <w:lang w:val="en-US" w:eastAsia="zh-CN" w:bidi="ar-SA"/>
                      </w:rPr>
                    </m:ctrlPr>
                  </m:sSubPr>
                  <m:e>
                    <m:r>
                      <m:rPr>
                        <m:sty m:val="b"/>
                      </m:rPr>
                      <w:rPr>
                        <w:rFonts w:hint="default" w:ascii="Cambria Math" w:hAnsi="Cambria Math" w:cs="Times New Roman"/>
                        <w:kern w:val="2"/>
                        <w:sz w:val="20"/>
                        <w:szCs w:val="20"/>
                        <w:lang w:val="en-US" w:eastAsia="zh-CN" w:bidi="ar-SA"/>
                      </w:rPr>
                      <m:t>BW</m:t>
                    </m:r>
                    <m:ctrlPr>
                      <w:rPr>
                        <w:rFonts w:hint="default" w:ascii="Cambria Math" w:hAnsi="Cambria Math" w:cs="Times New Roman"/>
                        <w:b/>
                        <w:bCs/>
                        <w:kern w:val="2"/>
                        <w:sz w:val="20"/>
                        <w:szCs w:val="20"/>
                        <w:lang w:val="en-US" w:eastAsia="zh-CN" w:bidi="ar-SA"/>
                      </w:rPr>
                    </m:ctrlPr>
                  </m:e>
                  <m:sub>
                    <m:r>
                      <m:rPr>
                        <m:sty m:val="b"/>
                      </m:rPr>
                      <w:rPr>
                        <w:rFonts w:hint="default" w:ascii="Cambria Math" w:hAnsi="Cambria Math" w:cs="Times New Roman"/>
                        <w:kern w:val="2"/>
                        <w:sz w:val="20"/>
                        <w:szCs w:val="20"/>
                        <w:lang w:val="en-US" w:eastAsia="zh-CN" w:bidi="ar-SA"/>
                      </w:rPr>
                      <m:t>aggressor</m:t>
                    </m:r>
                    <m:ctrlPr>
                      <w:rPr>
                        <w:rFonts w:hint="default" w:ascii="Cambria Math" w:hAnsi="Cambria Math" w:cs="Times New Roman"/>
                        <w:b/>
                        <w:bCs/>
                        <w:kern w:val="2"/>
                        <w:sz w:val="20"/>
                        <w:szCs w:val="20"/>
                        <w:lang w:val="en-US" w:eastAsia="zh-CN" w:bidi="ar-SA"/>
                      </w:rPr>
                    </m:ctrlPr>
                  </m:sub>
                </m:sSub>
                <m:ctrlPr>
                  <w:rPr>
                    <w:rFonts w:hint="default" w:ascii="Cambria Math" w:hAnsi="Cambria Math" w:cs="Times New Roman"/>
                    <w:b/>
                    <w:bCs/>
                    <w:kern w:val="2"/>
                    <w:sz w:val="20"/>
                    <w:szCs w:val="20"/>
                    <w:lang w:val="en-US" w:eastAsia="zh-CN" w:bidi="ar-SA"/>
                  </w:rPr>
                </m:ctrlPr>
              </m:num>
              <m:den>
                <m:sSub>
                  <m:sSubPr>
                    <m:ctrlPr>
                      <w:rPr>
                        <w:rFonts w:hint="default" w:ascii="Cambria Math" w:hAnsi="Cambria Math" w:cs="Times New Roman"/>
                        <w:b/>
                        <w:bCs/>
                        <w:kern w:val="2"/>
                        <w:sz w:val="20"/>
                        <w:szCs w:val="20"/>
                        <w:lang w:val="en-US" w:eastAsia="zh-CN" w:bidi="ar-SA"/>
                      </w:rPr>
                    </m:ctrlPr>
                  </m:sSubPr>
                  <m:e>
                    <m:r>
                      <m:rPr>
                        <m:sty m:val="b"/>
                      </m:rPr>
                      <w:rPr>
                        <w:rFonts w:hint="default" w:ascii="Cambria Math" w:hAnsi="Cambria Math" w:cs="Times New Roman"/>
                        <w:kern w:val="2"/>
                        <w:sz w:val="20"/>
                        <w:szCs w:val="20"/>
                        <w:lang w:val="en-US" w:eastAsia="zh-CN" w:bidi="ar-SA"/>
                      </w:rPr>
                      <m:t>BW</m:t>
                    </m:r>
                    <m:ctrlPr>
                      <w:rPr>
                        <w:rFonts w:hint="default" w:ascii="Cambria Math" w:hAnsi="Cambria Math" w:cs="Times New Roman"/>
                        <w:b/>
                        <w:bCs/>
                        <w:kern w:val="2"/>
                        <w:sz w:val="20"/>
                        <w:szCs w:val="20"/>
                        <w:lang w:val="en-US" w:eastAsia="zh-CN" w:bidi="ar-SA"/>
                      </w:rPr>
                    </m:ctrlPr>
                  </m:e>
                  <m:sub>
                    <m:r>
                      <m:rPr>
                        <m:sty m:val="b"/>
                      </m:rPr>
                      <w:rPr>
                        <w:rFonts w:hint="default" w:ascii="Cambria Math" w:hAnsi="Cambria Math" w:cs="Times New Roman"/>
                        <w:kern w:val="2"/>
                        <w:sz w:val="20"/>
                        <w:szCs w:val="20"/>
                        <w:lang w:val="en-US" w:eastAsia="zh-CN" w:bidi="ar-SA"/>
                      </w:rPr>
                      <m:t>victim</m:t>
                    </m:r>
                    <m:ctrlPr>
                      <w:rPr>
                        <w:rFonts w:hint="default" w:ascii="Cambria Math" w:hAnsi="Cambria Math" w:cs="Times New Roman"/>
                        <w:b/>
                        <w:bCs/>
                        <w:kern w:val="2"/>
                        <w:sz w:val="20"/>
                        <w:szCs w:val="20"/>
                        <w:lang w:val="en-US" w:eastAsia="zh-CN" w:bidi="ar-SA"/>
                      </w:rPr>
                    </m:ctrlPr>
                  </m:sub>
                </m:sSub>
                <m:ctrlPr>
                  <w:rPr>
                    <w:rFonts w:hint="default" w:ascii="Cambria Math" w:hAnsi="Cambria Math" w:cs="Times New Roman"/>
                    <w:b/>
                    <w:bCs/>
                    <w:kern w:val="2"/>
                    <w:sz w:val="20"/>
                    <w:szCs w:val="20"/>
                    <w:lang w:val="en-US" w:eastAsia="zh-CN" w:bidi="ar-SA"/>
                  </w:rPr>
                </m:ctrlPr>
              </m:den>
            </m:f>
            <m:ctrlPr>
              <w:rPr>
                <w:rFonts w:hint="default" w:ascii="Cambria Math" w:hAnsi="Cambria Math" w:cs="Times New Roman"/>
                <w:b/>
                <w:bCs/>
                <w:kern w:val="2"/>
                <w:sz w:val="20"/>
                <w:szCs w:val="20"/>
                <w:lang w:val="en-US" w:eastAsia="zh-CN" w:bidi="ar-SA"/>
              </w:rPr>
            </m:ctrlPr>
          </m:e>
        </m:d>
      </m:oMath>
    </w:p>
    <w:p>
      <w:pPr>
        <w:tabs>
          <w:tab w:val="left" w:pos="720"/>
        </w:tabs>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Observation 8: for topology 1 when all 18 readers are activated simultaneously, the intra-system interference from other readers are much higher at device side. In some cases, the power of wanted signal and worst interference is comparable. Usually such severe interference is from nearest reader.</w:t>
      </w:r>
    </w:p>
    <w:p>
      <w:pPr>
        <w:tabs>
          <w:tab w:val="left" w:pos="720"/>
        </w:tabs>
        <w:spacing w:after="156" w:afterLines="5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15: for calibration purpose, all 18 topology 1 readers are activated simultaneously in the same factory.</w:t>
      </w:r>
    </w:p>
    <w:p>
      <w:pPr>
        <w:widowControl w:val="0"/>
        <w:numPr>
          <w:ilvl w:val="0"/>
          <w:numId w:val="0"/>
        </w:numPr>
        <w:tabs>
          <w:tab w:val="left" w:pos="720"/>
        </w:tabs>
        <w:spacing w:after="156" w:afterLines="50"/>
        <w:jc w:val="both"/>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16: the activation ratio of topology 1 reader is suggested as below:</w:t>
      </w:r>
    </w:p>
    <w:p>
      <w:pPr>
        <w:numPr>
          <w:ilvl w:val="0"/>
          <w:numId w:val="17"/>
        </w:numPr>
        <w:tabs>
          <w:tab w:val="left" w:pos="720"/>
          <w:tab w:val="clear" w:pos="-420"/>
        </w:tabs>
        <w:spacing w:after="156" w:afterLines="50"/>
        <w:ind w:left="516" w:leftChars="0" w:hanging="360" w:firstLineChars="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Divide all 18 readers into X blocks, 1 reader per block are activated simultaneously. Noted: we need to order the reader in each block, the reader that is located in the same relative location in each block would be blocked as the same index. only the reader with the same order index will be activated simultaneously. </w:t>
      </w:r>
    </w:p>
    <w:p>
      <w:pPr>
        <w:numPr>
          <w:ilvl w:val="0"/>
          <w:numId w:val="17"/>
        </w:numPr>
        <w:tabs>
          <w:tab w:val="left" w:pos="720"/>
          <w:tab w:val="clear" w:pos="-420"/>
        </w:tabs>
        <w:spacing w:after="156" w:afterLines="50"/>
        <w:ind w:left="516" w:leftChars="0" w:hanging="360" w:firstLineChars="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 xml:space="preserve"> X could be 1, 2, 3, if there is no consensus of X value, X could be based on companies report.</w:t>
      </w:r>
    </w:p>
    <w:p>
      <w:pPr>
        <w:spacing w:after="156" w:afterLines="50"/>
        <w:rPr>
          <w:rFonts w:hint="default" w:ascii="Times New Roman" w:hAnsi="Times New Roman"/>
          <w:b/>
          <w:bCs/>
          <w:sz w:val="20"/>
          <w:szCs w:val="20"/>
          <w:highlight w:val="none"/>
          <w:lang w:val="en-US" w:eastAsia="zh-CN"/>
        </w:rPr>
      </w:pPr>
      <w:r>
        <w:rPr>
          <w:rFonts w:hint="default" w:ascii="Times New Roman" w:hAnsi="Times New Roman"/>
          <w:b/>
          <w:bCs/>
          <w:sz w:val="20"/>
          <w:szCs w:val="20"/>
          <w:highlight w:val="none"/>
          <w:lang w:val="en-US" w:eastAsia="zh-CN"/>
        </w:rPr>
        <w:drawing>
          <wp:inline distT="0" distB="0" distL="114300" distR="114300">
            <wp:extent cx="6184900" cy="3242310"/>
            <wp:effectExtent l="0" t="0" r="0" b="8890"/>
            <wp:docPr id="5" name="图片 5" descr="1723084855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723084855452"/>
                    <pic:cNvPicPr>
                      <a:picLocks noChangeAspect="1"/>
                    </pic:cNvPicPr>
                  </pic:nvPicPr>
                  <pic:blipFill>
                    <a:blip r:embed="rId8"/>
                    <a:stretch>
                      <a:fillRect/>
                    </a:stretch>
                  </pic:blipFill>
                  <pic:spPr>
                    <a:xfrm>
                      <a:off x="0" y="0"/>
                      <a:ext cx="6184900" cy="3242310"/>
                    </a:xfrm>
                    <a:prstGeom prst="rect">
                      <a:avLst/>
                    </a:prstGeom>
                  </pic:spPr>
                </pic:pic>
              </a:graphicData>
            </a:graphic>
          </wp:inline>
        </w:drawing>
      </w:r>
    </w:p>
    <w:p>
      <w:pPr>
        <w:numPr>
          <w:ilvl w:val="0"/>
          <w:numId w:val="0"/>
        </w:numPr>
        <w:tabs>
          <w:tab w:val="left" w:pos="720"/>
        </w:tabs>
        <w:spacing w:after="156" w:afterLines="50"/>
        <w:rPr>
          <w:rFonts w:hint="eastAsia" w:ascii="Times New Roman" w:hAnsi="Times New Roman"/>
          <w:sz w:val="20"/>
          <w:szCs w:val="20"/>
          <w:highlight w:val="none"/>
          <w:lang w:val="en-US" w:eastAsia="zh-CN"/>
        </w:rPr>
      </w:pPr>
      <w:r>
        <w:rPr>
          <w:rFonts w:hint="eastAsia" w:ascii="Times New Roman" w:hAnsi="Times New Roman"/>
          <w:b/>
          <w:bCs/>
          <w:sz w:val="20"/>
          <w:szCs w:val="20"/>
          <w:highlight w:val="none"/>
          <w:lang w:val="en-US" w:eastAsia="zh-CN"/>
        </w:rPr>
        <w:t>Proposal 17: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randomly choose 2 readers simultaneously for topology 2.</w:t>
      </w:r>
    </w:p>
    <w:p>
      <w:pPr>
        <w:widowControl w:val="0"/>
        <w:numPr>
          <w:ilvl w:val="0"/>
          <w:numId w:val="0"/>
        </w:numPr>
        <w:tabs>
          <w:tab w:val="left" w:pos="720"/>
        </w:tabs>
        <w:spacing w:after="156" w:afterLines="50"/>
        <w:jc w:val="both"/>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18: for calibration purpose, 80% legacy indoor UE are unifrom distributed in the same factory/office as A-IoT system, i.e. there is no penetration loss between A-IoT system and legacy indoor UE.</w:t>
      </w:r>
    </w:p>
    <w:p>
      <w:pPr>
        <w:widowControl w:val="0"/>
        <w:numPr>
          <w:ilvl w:val="0"/>
          <w:numId w:val="0"/>
        </w:numPr>
        <w:tabs>
          <w:tab w:val="left" w:pos="720"/>
        </w:tabs>
        <w:spacing w:after="156" w:afterLines="50"/>
        <w:jc w:val="both"/>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19: for the existing indoor UE distribution, we have following suggestions.</w:t>
      </w:r>
    </w:p>
    <w:p>
      <w:pPr>
        <w:widowControl w:val="0"/>
        <w:numPr>
          <w:ilvl w:val="0"/>
          <w:numId w:val="17"/>
        </w:numPr>
        <w:tabs>
          <w:tab w:val="left" w:pos="720"/>
          <w:tab w:val="clear" w:pos="-420"/>
        </w:tabs>
        <w:spacing w:after="156" w:afterLines="50"/>
        <w:ind w:left="51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 xml:space="preserve">80% indoor UE among which </w:t>
      </w:r>
    </w:p>
    <w:p>
      <w:pPr>
        <w:widowControl w:val="0"/>
        <w:numPr>
          <w:ilvl w:val="1"/>
          <w:numId w:val="17"/>
        </w:numPr>
        <w:tabs>
          <w:tab w:val="left" w:pos="720"/>
          <w:tab w:val="clear" w:pos="-420"/>
        </w:tabs>
        <w:spacing w:after="156" w:afterLines="50"/>
        <w:ind w:left="123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X% legacy UE are uniform distributed in the same factory/office as A-IoT system in geographic, there is no penetration loss between legacy UE and A-IoT system</w:t>
      </w:r>
    </w:p>
    <w:p>
      <w:pPr>
        <w:widowControl w:val="0"/>
        <w:numPr>
          <w:ilvl w:val="1"/>
          <w:numId w:val="17"/>
        </w:numPr>
        <w:tabs>
          <w:tab w:val="left" w:pos="720"/>
          <w:tab w:val="clear" w:pos="-420"/>
        </w:tabs>
        <w:spacing w:after="156" w:afterLines="50"/>
        <w:ind w:left="123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(80-X)% legacy UE are uniform distributed in different factory/office as A-IoT system, we can assume 2 times penetration loss between legacy UE and A-IoT system</w:t>
      </w:r>
    </w:p>
    <w:p>
      <w:pPr>
        <w:widowControl w:val="0"/>
        <w:numPr>
          <w:ilvl w:val="1"/>
          <w:numId w:val="17"/>
        </w:numPr>
        <w:tabs>
          <w:tab w:val="left" w:pos="720"/>
          <w:tab w:val="clear" w:pos="-420"/>
        </w:tabs>
        <w:spacing w:after="156" w:afterLines="50"/>
        <w:ind w:left="123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X value can be 20%, 10%</w:t>
      </w:r>
    </w:p>
    <w:p>
      <w:pPr>
        <w:widowControl w:val="0"/>
        <w:numPr>
          <w:ilvl w:val="0"/>
          <w:numId w:val="0"/>
        </w:numPr>
        <w:tabs>
          <w:tab w:val="left" w:pos="720"/>
        </w:tabs>
        <w:spacing w:after="156" w:afterLines="50"/>
        <w:ind w:leftChars="0"/>
        <w:jc w:val="both"/>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20: we have following suggestion for penetration loss</w:t>
      </w:r>
    </w:p>
    <w:p>
      <w:pPr>
        <w:widowControl w:val="0"/>
        <w:numPr>
          <w:ilvl w:val="0"/>
          <w:numId w:val="20"/>
        </w:numPr>
        <w:tabs>
          <w:tab w:val="left" w:pos="720"/>
          <w:tab w:val="clear" w:pos="-420"/>
        </w:tabs>
        <w:spacing w:after="156" w:afterLines="50"/>
        <w:ind w:left="51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Use the equation of 7.4-2 in 38.901</w:t>
      </w:r>
    </w:p>
    <w:p>
      <w:pPr>
        <w:widowControl w:val="0"/>
        <w:numPr>
          <w:ilvl w:val="0"/>
          <w:numId w:val="20"/>
        </w:numPr>
        <w:tabs>
          <w:tab w:val="left" w:pos="720"/>
          <w:tab w:val="clear" w:pos="-420"/>
        </w:tabs>
        <w:spacing w:after="156" w:afterLines="50"/>
        <w:ind w:left="51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PLin = 0.5 * d2D-in where d2D-in is the distance to nearest factory/office boundary on the line between Tx and Rx point.</w:t>
      </w:r>
    </w:p>
    <w:p>
      <w:pPr>
        <w:widowControl w:val="0"/>
        <w:numPr>
          <w:ilvl w:val="1"/>
          <w:numId w:val="20"/>
        </w:numPr>
        <w:tabs>
          <w:tab w:val="left" w:pos="720"/>
          <w:tab w:val="clear" w:pos="-420"/>
        </w:tabs>
        <w:spacing w:after="156" w:afterLines="50"/>
        <w:ind w:left="123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For calibration purpose, no limitation of d2D-in</w:t>
      </w:r>
    </w:p>
    <w:p>
      <w:pPr>
        <w:widowControl w:val="0"/>
        <w:numPr>
          <w:ilvl w:val="1"/>
          <w:numId w:val="20"/>
        </w:numPr>
        <w:tabs>
          <w:tab w:val="left" w:pos="720"/>
          <w:tab w:val="clear" w:pos="-420"/>
        </w:tabs>
        <w:spacing w:after="156" w:afterLines="50"/>
        <w:ind w:left="1236" w:leftChars="0" w:hanging="360" w:firstLine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For formal purpose, max value of d2D-in is 25m</w:t>
      </w:r>
    </w:p>
    <w:p>
      <w:pPr>
        <w:widowControl w:val="0"/>
        <w:numPr>
          <w:ilvl w:val="0"/>
          <w:numId w:val="0"/>
        </w:numPr>
        <w:tabs>
          <w:tab w:val="left" w:pos="720"/>
        </w:tabs>
        <w:spacing w:after="156" w:afterLines="50"/>
        <w:jc w:val="both"/>
        <w:rPr>
          <w:rFonts w:hint="eastAsia"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21: we have following suggestion for pathloss of all links</w:t>
      </w:r>
    </w:p>
    <w:tbl>
      <w:tblPr>
        <w:tblStyle w:val="1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20"/>
        <w:gridCol w:w="3321"/>
        <w:gridCol w:w="332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p>
        </w:tc>
        <w:tc>
          <w:tcPr>
            <w:tcW w:w="3321"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D1T1</w:t>
            </w:r>
          </w:p>
        </w:tc>
        <w:tc>
          <w:tcPr>
            <w:tcW w:w="3321"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D2T2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Indoor legacy UE &lt;-&gt; indoor device</w:t>
            </w:r>
          </w:p>
        </w:tc>
        <w:tc>
          <w:tcPr>
            <w:tcW w:w="6642" w:type="dxa"/>
            <w:gridSpan w:val="2"/>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Indoor office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Indoor legacy UE &lt;-&gt; indoor reader</w:t>
            </w:r>
          </w:p>
        </w:tc>
        <w:tc>
          <w:tcPr>
            <w:tcW w:w="3321"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Indoor factory DH</w:t>
            </w:r>
          </w:p>
        </w:tc>
        <w:tc>
          <w:tcPr>
            <w:tcW w:w="3321"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Indoor office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Outdoor macro gNB &lt;-&gt; indoor device/indoor reader</w:t>
            </w:r>
          </w:p>
        </w:tc>
        <w:tc>
          <w:tcPr>
            <w:tcW w:w="6642" w:type="dxa"/>
            <w:gridSpan w:val="2"/>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PLb: Uma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Outdoor UE &lt;-&gt; indoor device/ D2T2 UE, i.e. UE&lt;-&gt;UE</w:t>
            </w:r>
          </w:p>
        </w:tc>
        <w:tc>
          <w:tcPr>
            <w:tcW w:w="6642" w:type="dxa"/>
            <w:gridSpan w:val="2"/>
          </w:tcPr>
          <w:p>
            <w:pPr>
              <w:widowControl w:val="0"/>
              <w:numPr>
                <w:ilvl w:val="0"/>
                <w:numId w:val="0"/>
              </w:numPr>
              <w:tabs>
                <w:tab w:val="left" w:pos="720"/>
              </w:tabs>
              <w:spacing w:before="120" w:after="156" w:afterLines="50" w:line="280" w:lineRule="atLeast"/>
              <w:jc w:val="both"/>
              <w:rPr>
                <w:rFonts w:hint="default" w:ascii="Times New Roman" w:hAnsi="Times New Roman"/>
                <w:b w:val="0"/>
                <w:bCs w:val="0"/>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PLb: Umi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20" w:type="dxa"/>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Outdoor UE &lt;-&gt; indoor D1T1 reader, i.e. UE&lt;-&gt; micro gNB</w:t>
            </w:r>
          </w:p>
        </w:tc>
        <w:tc>
          <w:tcPr>
            <w:tcW w:w="6642" w:type="dxa"/>
            <w:gridSpan w:val="2"/>
          </w:tcPr>
          <w:p>
            <w:pPr>
              <w:widowControl w:val="0"/>
              <w:numPr>
                <w:ilvl w:val="0"/>
                <w:numId w:val="0"/>
              </w:numPr>
              <w:tabs>
                <w:tab w:val="left" w:pos="720"/>
              </w:tabs>
              <w:spacing w:before="120" w:after="156" w:afterLines="50" w:line="280" w:lineRule="atLeast"/>
              <w:jc w:val="both"/>
              <w:rPr>
                <w:rFonts w:hint="default" w:ascii="Times New Roman" w:hAnsi="Times New Roman"/>
                <w:b/>
                <w:bCs/>
                <w:sz w:val="20"/>
                <w:szCs w:val="20"/>
                <w:highlight w:val="none"/>
                <w:vertAlign w:val="baseline"/>
                <w:lang w:val="en-US" w:eastAsia="zh-CN"/>
              </w:rPr>
            </w:pPr>
            <w:r>
              <w:rPr>
                <w:rFonts w:hint="eastAsia" w:ascii="Times New Roman" w:hAnsi="Times New Roman"/>
                <w:b/>
                <w:bCs/>
                <w:sz w:val="20"/>
                <w:szCs w:val="20"/>
                <w:highlight w:val="none"/>
                <w:vertAlign w:val="baseline"/>
                <w:lang w:val="en-US" w:eastAsia="zh-CN"/>
              </w:rPr>
              <w:t>PLb: UMi</w:t>
            </w:r>
          </w:p>
        </w:tc>
      </w:tr>
    </w:tbl>
    <w:p>
      <w:pPr>
        <w:spacing w:after="156" w:afterLines="50"/>
        <w:rPr>
          <w:rFonts w:hint="eastAsia" w:ascii="Times New Roman" w:hAnsi="Times New Roman"/>
          <w:b/>
          <w:bCs/>
          <w:sz w:val="20"/>
          <w:szCs w:val="20"/>
          <w:highlight w:val="none"/>
          <w:lang w:val="en-US" w:eastAsia="zh-CN"/>
        </w:rPr>
      </w:pPr>
    </w:p>
    <w:p>
      <w:pPr>
        <w:widowControl w:val="0"/>
        <w:numPr>
          <w:ilvl w:val="0"/>
          <w:numId w:val="0"/>
        </w:numPr>
        <w:tabs>
          <w:tab w:val="left" w:pos="720"/>
        </w:tabs>
        <w:spacing w:after="156" w:afterLines="50"/>
        <w:ind w:leftChars="0"/>
        <w:jc w:val="both"/>
        <w:rPr>
          <w:rFonts w:hint="default" w:ascii="Times New Roman" w:hAnsi="Times New Roman"/>
          <w:b/>
          <w:bCs/>
          <w:sz w:val="20"/>
          <w:szCs w:val="20"/>
          <w:highlight w:val="none"/>
          <w:lang w:val="en-US" w:eastAsia="zh-CN"/>
        </w:rPr>
      </w:pPr>
      <w:r>
        <w:rPr>
          <w:rFonts w:hint="eastAsia" w:ascii="Times New Roman" w:hAnsi="Times New Roman"/>
          <w:b/>
          <w:bCs/>
          <w:sz w:val="20"/>
          <w:szCs w:val="20"/>
          <w:highlight w:val="none"/>
          <w:lang w:val="en-US" w:eastAsia="zh-CN"/>
        </w:rPr>
        <w:t>Proposal 22: for other indoor factory related parameters that are not listed, it</w:t>
      </w:r>
      <w:r>
        <w:rPr>
          <w:rFonts w:hint="default" w:ascii="Times New Roman" w:hAnsi="Times New Roman"/>
          <w:b/>
          <w:bCs/>
          <w:sz w:val="20"/>
          <w:szCs w:val="20"/>
          <w:highlight w:val="none"/>
          <w:lang w:val="en-US" w:eastAsia="zh-CN"/>
        </w:rPr>
        <w:t>’</w:t>
      </w:r>
      <w:r>
        <w:rPr>
          <w:rFonts w:hint="eastAsia" w:ascii="Times New Roman" w:hAnsi="Times New Roman"/>
          <w:b/>
          <w:bCs/>
          <w:sz w:val="20"/>
          <w:szCs w:val="20"/>
          <w:highlight w:val="none"/>
          <w:lang w:val="en-US" w:eastAsia="zh-CN"/>
        </w:rPr>
        <w:t>s suggested to refer to 7.8.4 of TR 38.901.</w:t>
      </w:r>
    </w:p>
    <w:p>
      <w:pPr>
        <w:tabs>
          <w:tab w:val="left" w:pos="720"/>
        </w:tabs>
        <w:spacing w:after="156" w:afterLines="5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23: the antenna pattern of A-IoT micro gNB is listed as below</w:t>
      </w:r>
    </w:p>
    <w:p>
      <w:pPr>
        <w:widowControl w:val="0"/>
        <w:numPr>
          <w:ilvl w:val="0"/>
          <w:numId w:val="0"/>
        </w:numPr>
        <w:jc w:val="both"/>
      </w:pPr>
      <w:r>
        <w:drawing>
          <wp:inline distT="0" distB="0" distL="114300" distR="114300">
            <wp:extent cx="4876165" cy="1667510"/>
            <wp:effectExtent l="0" t="0" r="635" b="889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0"/>
                    <a:stretch>
                      <a:fillRect/>
                    </a:stretch>
                  </pic:blipFill>
                  <pic:spPr>
                    <a:xfrm>
                      <a:off x="0" y="0"/>
                      <a:ext cx="4876165" cy="1667510"/>
                    </a:xfrm>
                    <a:prstGeom prst="rect">
                      <a:avLst/>
                    </a:prstGeom>
                  </pic:spPr>
                </pic:pic>
              </a:graphicData>
            </a:graphic>
          </wp:inline>
        </w:drawing>
      </w:r>
    </w:p>
    <w:p>
      <w:pPr>
        <w:widowControl w:val="0"/>
        <w:numPr>
          <w:ilvl w:val="0"/>
          <w:numId w:val="22"/>
        </w:numPr>
        <w:ind w:left="516" w:leftChars="0" w:hanging="360" w:firstLineChars="0"/>
        <w:jc w:val="both"/>
        <w:rPr>
          <w:rFonts w:hint="default" w:ascii="Times New Roman" w:hAnsi="Times New Roman" w:cs="Times New Roman"/>
          <w:sz w:val="20"/>
          <w:szCs w:val="21"/>
        </w:rPr>
      </w:pPr>
      <w:r>
        <w:rPr>
          <w:rFonts w:hint="default" w:ascii="Times New Roman" w:hAnsi="Times New Roman" w:cs="Times New Roman"/>
          <w:sz w:val="20"/>
          <w:szCs w:val="21"/>
        </w:rPr>
        <w:t>1*1*1 antenna element</w:t>
      </w:r>
    </w:p>
    <w:p>
      <w:pPr>
        <w:widowControl w:val="0"/>
        <w:numPr>
          <w:ilvl w:val="0"/>
          <w:numId w:val="22"/>
        </w:numPr>
        <w:ind w:left="516" w:leftChars="0" w:hanging="360" w:firstLineChars="0"/>
        <w:jc w:val="both"/>
        <w:rPr>
          <w:rFonts w:hint="default" w:ascii="Times New Roman" w:hAnsi="Times New Roman" w:cs="Times New Roman"/>
          <w:sz w:val="20"/>
          <w:szCs w:val="21"/>
        </w:rPr>
      </w:pPr>
      <w:r>
        <w:rPr>
          <w:rFonts w:hint="default" w:ascii="Times New Roman" w:hAnsi="Times New Roman" w:cs="Times New Roman"/>
          <w:sz w:val="20"/>
          <w:szCs w:val="21"/>
        </w:rPr>
        <w:t>equals to omni-directional anenna pattern in GCG in horizontal</w:t>
      </w:r>
    </w:p>
    <w:p>
      <w:pPr>
        <w:tabs>
          <w:tab w:val="left" w:pos="720"/>
        </w:tabs>
        <w:spacing w:after="156" w:afterLines="50"/>
        <w:rPr>
          <w:rFonts w:hint="default" w:ascii="Times New Roman" w:hAnsi="Times New Roman"/>
          <w:b/>
          <w:bCs/>
          <w:sz w:val="20"/>
          <w:szCs w:val="20"/>
          <w:lang w:val="en-US" w:eastAsia="zh-CN"/>
        </w:rPr>
      </w:pPr>
      <w:r>
        <w:rPr>
          <w:rFonts w:hint="eastAsia" w:ascii="Times New Roman" w:hAnsi="Times New Roman"/>
          <w:b/>
          <w:bCs/>
          <w:sz w:val="20"/>
          <w:szCs w:val="20"/>
          <w:lang w:val="en-US" w:eastAsia="zh-CN"/>
        </w:rPr>
        <w:t>Proposal 24: the antenna pattern of NR macro gNB is listed as below</w:t>
      </w:r>
    </w:p>
    <w:p>
      <w:pPr>
        <w:numPr>
          <w:ilvl w:val="0"/>
          <w:numId w:val="23"/>
        </w:numPr>
        <w:tabs>
          <w:tab w:val="left" w:pos="720"/>
          <w:tab w:val="clear" w:pos="-420"/>
        </w:tabs>
        <w:spacing w:after="156" w:afterLines="50"/>
        <w:ind w:left="516" w:leftChars="0" w:hanging="360" w:firstLineChars="0"/>
        <w:rPr>
          <w:rFonts w:hint="default" w:ascii="Times New Roman" w:hAnsi="Times New Roman"/>
          <w:b/>
          <w:bCs/>
          <w:sz w:val="20"/>
          <w:szCs w:val="20"/>
          <w:lang w:val="en-US" w:eastAsia="zh-CN"/>
        </w:rPr>
      </w:pPr>
      <w:r>
        <w:rPr>
          <w:rFonts w:hint="default" w:ascii="Times New Roman" w:hAnsi="Times New Roman"/>
          <w:b/>
          <w:bCs/>
          <w:sz w:val="20"/>
          <w:szCs w:val="20"/>
          <w:lang w:val="en-US" w:eastAsia="zh-CN"/>
        </w:rPr>
        <w:t>Referring to AAS study TR 37.840 sub-clause 5.4.4, a passive antenna is currently modeled as a single radiating source according to definition in TR 36.814, Table A.2.1.1-2. The following Macro BS antenna pattern is proposed for A-IOT coexistence study.</w:t>
      </w:r>
    </w:p>
    <w:p>
      <w:pPr>
        <w:tabs>
          <w:tab w:val="left" w:pos="720"/>
        </w:tabs>
        <w:spacing w:after="156" w:afterLines="50"/>
        <w:rPr>
          <w:rFonts w:hint="default" w:ascii="Times New Roman" w:hAnsi="Times New Roman"/>
          <w:b/>
          <w:bCs/>
          <w:sz w:val="20"/>
          <w:szCs w:val="20"/>
          <w:lang w:val="en-US" w:eastAsia="zh-CN"/>
        </w:rPr>
      </w:pPr>
      <w:r>
        <w:drawing>
          <wp:inline distT="0" distB="0" distL="114300" distR="114300">
            <wp:extent cx="5229225" cy="3267075"/>
            <wp:effectExtent l="0" t="0" r="3175" b="9525"/>
            <wp:docPr id="7"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29"/>
                    <pic:cNvPicPr>
                      <a:picLocks noChangeAspect="1"/>
                    </pic:cNvPicPr>
                  </pic:nvPicPr>
                  <pic:blipFill>
                    <a:blip r:embed="rId11"/>
                    <a:stretch>
                      <a:fillRect/>
                    </a:stretch>
                  </pic:blipFill>
                  <pic:spPr>
                    <a:xfrm>
                      <a:off x="0" y="0"/>
                      <a:ext cx="5229225" cy="3267075"/>
                    </a:xfrm>
                    <a:prstGeom prst="rect">
                      <a:avLst/>
                    </a:prstGeom>
                  </pic:spPr>
                </pic:pic>
              </a:graphicData>
            </a:graphic>
          </wp:inline>
        </w:drawing>
      </w:r>
    </w:p>
    <w:p>
      <w:pPr>
        <w:numPr>
          <w:ilvl w:val="0"/>
          <w:numId w:val="23"/>
        </w:numPr>
        <w:spacing w:after="156" w:afterLines="50"/>
        <w:ind w:left="516" w:leftChars="0" w:hanging="36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Some further clarification of antenna pattern:</w:t>
      </w:r>
    </w:p>
    <w:p>
      <w:pPr>
        <w:numPr>
          <w:ilvl w:val="1"/>
          <w:numId w:val="23"/>
        </w:numPr>
        <w:spacing w:after="156" w:afterLines="50"/>
        <w:ind w:left="1236" w:leftChars="0" w:hanging="36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1*1*1 antenna element</w:t>
      </w:r>
    </w:p>
    <w:p>
      <w:pPr>
        <w:numPr>
          <w:ilvl w:val="1"/>
          <w:numId w:val="23"/>
        </w:numPr>
        <w:spacing w:after="156" w:afterLines="50"/>
        <w:ind w:left="1236" w:leftChars="0" w:hanging="360" w:firstLineChars="0"/>
        <w:rPr>
          <w:rFonts w:hint="eastAsia" w:ascii="Times New Roman" w:hAnsi="Times New Roman"/>
          <w:sz w:val="20"/>
          <w:szCs w:val="20"/>
          <w:lang w:val="en-US" w:eastAsia="zh-CN"/>
        </w:rPr>
      </w:pPr>
      <w:r>
        <w:rPr>
          <w:rFonts w:hint="eastAsia" w:ascii="Times New Roman" w:hAnsi="Times New Roman"/>
          <w:sz w:val="20"/>
          <w:szCs w:val="20"/>
          <w:lang w:val="en-US" w:eastAsia="zh-CN"/>
        </w:rPr>
        <w:t>BS point at fixed beam direction</w:t>
      </w:r>
    </w:p>
    <w:p>
      <w:pPr>
        <w:numPr>
          <w:ilvl w:val="2"/>
          <w:numId w:val="23"/>
        </w:numPr>
        <w:spacing w:after="156" w:afterLines="50"/>
        <w:ind w:left="1956" w:leftChars="0" w:hanging="360" w:firstLineChars="0"/>
        <w:rPr>
          <w:rFonts w:hint="eastAsia" w:ascii="Times New Roman" w:hAnsi="Times New Roman"/>
          <w:b/>
          <w:bCs/>
          <w:sz w:val="20"/>
          <w:szCs w:val="20"/>
          <w:highlight w:val="none"/>
          <w:lang w:val="en-US" w:eastAsia="zh-CN"/>
        </w:rPr>
      </w:pPr>
      <w:r>
        <w:rPr>
          <w:rFonts w:hint="eastAsia" w:ascii="Times New Roman" w:hAnsi="Times New Roman"/>
          <w:sz w:val="20"/>
          <w:szCs w:val="20"/>
          <w:lang w:val="en-US" w:eastAsia="zh-CN"/>
        </w:rPr>
        <w:t>vertical: θtilt + 90°</w:t>
      </w:r>
    </w:p>
    <w:p>
      <w:pPr>
        <w:numPr>
          <w:ilvl w:val="2"/>
          <w:numId w:val="23"/>
        </w:numPr>
        <w:spacing w:after="156" w:afterLines="50"/>
        <w:ind w:left="1956" w:leftChars="0" w:hanging="360" w:firstLineChars="0"/>
        <w:rPr>
          <w:rFonts w:hint="eastAsia" w:ascii="Times New Roman" w:hAnsi="Times New Roman"/>
          <w:b/>
          <w:bCs/>
          <w:sz w:val="20"/>
          <w:szCs w:val="20"/>
          <w:highlight w:val="none"/>
          <w:lang w:val="en-US" w:eastAsia="zh-CN"/>
        </w:rPr>
      </w:pPr>
      <w:r>
        <w:rPr>
          <w:rFonts w:hint="eastAsia" w:ascii="Times New Roman" w:hAnsi="Times New Roman"/>
          <w:sz w:val="20"/>
          <w:szCs w:val="20"/>
          <w:lang w:val="en-US" w:eastAsia="zh-CN"/>
        </w:rPr>
        <w:t>horizontal: 0, 120, 240°</w:t>
      </w:r>
    </w:p>
    <w:tbl>
      <w:tblPr>
        <w:tblStyle w:val="45"/>
        <w:tblW w:w="99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397"/>
        <w:gridCol w:w="3974"/>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20" w:hRule="atLeast"/>
        </w:trPr>
        <w:tc>
          <w:tcPr>
            <w:tcW w:w="3397" w:type="dxa"/>
          </w:tcPr>
          <w:p>
            <w:pPr>
              <w:rPr>
                <w:rFonts w:ascii="Times New Roman" w:hAnsi="Times New Roman"/>
                <w:b/>
                <w:bCs/>
                <w:sz w:val="20"/>
                <w:szCs w:val="20"/>
              </w:rPr>
            </w:pPr>
            <w:r>
              <w:rPr>
                <w:rFonts w:hint="eastAsia" w:ascii="Times New Roman" w:hAnsi="Times New Roman"/>
                <w:b/>
                <w:bCs/>
                <w:sz w:val="20"/>
                <w:szCs w:val="20"/>
                <w:lang w:val="en-US" w:eastAsia="zh-CN"/>
              </w:rPr>
              <w:t>CW</w:t>
            </w:r>
            <w:r>
              <w:rPr>
                <w:rFonts w:ascii="Times New Roman" w:hAnsi="Times New Roman"/>
                <w:b/>
                <w:bCs/>
                <w:sz w:val="20"/>
                <w:szCs w:val="20"/>
              </w:rPr>
              <w:t xml:space="preserve"> parameters</w:t>
            </w:r>
          </w:p>
        </w:tc>
        <w:tc>
          <w:tcPr>
            <w:tcW w:w="3974" w:type="dxa"/>
          </w:tcPr>
          <w:p>
            <w:pPr>
              <w:rPr>
                <w:rFonts w:ascii="Times New Roman" w:hAnsi="Times New Roman" w:eastAsiaTheme="minorEastAsia"/>
                <w:b/>
                <w:bCs/>
                <w:sz w:val="20"/>
                <w:szCs w:val="20"/>
              </w:rPr>
            </w:pPr>
            <w:r>
              <w:rPr>
                <w:rFonts w:ascii="Times New Roman" w:hAnsi="Times New Roman" w:eastAsiaTheme="minorEastAsia"/>
                <w:b/>
                <w:bCs/>
                <w:sz w:val="20"/>
                <w:szCs w:val="20"/>
              </w:rPr>
              <w:t>D1T1</w:t>
            </w:r>
          </w:p>
        </w:tc>
        <w:tc>
          <w:tcPr>
            <w:tcW w:w="2551" w:type="dxa"/>
          </w:tcPr>
          <w:p>
            <w:pPr>
              <w:overflowPunct w:val="0"/>
              <w:autoSpaceDE w:val="0"/>
              <w:autoSpaceDN w:val="0"/>
              <w:adjustRightInd w:val="0"/>
              <w:textAlignment w:val="baseline"/>
              <w:rPr>
                <w:rFonts w:ascii="Times New Roman" w:hAnsi="Times New Roman" w:eastAsiaTheme="minorEastAsia"/>
                <w:b/>
                <w:bCs/>
                <w:sz w:val="20"/>
                <w:szCs w:val="20"/>
              </w:rPr>
            </w:pPr>
            <w:r>
              <w:rPr>
                <w:rFonts w:ascii="Times New Roman" w:hAnsi="Times New Roman" w:eastAsiaTheme="minorEastAsia"/>
                <w:b/>
                <w:bCs/>
                <w:sz w:val="20"/>
                <w:szCs w:val="20"/>
              </w:rPr>
              <w:t xml:space="preserve">D2T2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397" w:type="dxa"/>
          </w:tcPr>
          <w:p>
            <w:pPr>
              <w:rPr>
                <w:rFonts w:ascii="Times New Roman" w:hAnsi="Times New Roman"/>
                <w:sz w:val="20"/>
                <w:szCs w:val="20"/>
              </w:rPr>
            </w:pPr>
            <w:r>
              <w:rPr>
                <w:rFonts w:ascii="Times New Roman" w:hAnsi="Times New Roman"/>
                <w:sz w:val="20"/>
                <w:szCs w:val="20"/>
              </w:rPr>
              <w:t>Tx power（dBm）</w:t>
            </w:r>
          </w:p>
        </w:tc>
        <w:tc>
          <w:tcPr>
            <w:tcW w:w="3974" w:type="dxa"/>
          </w:tcPr>
          <w:p>
            <w:pPr>
              <w:overflowPunct w:val="0"/>
              <w:autoSpaceDE w:val="0"/>
              <w:autoSpaceDN w:val="0"/>
              <w:adjustRightInd w:val="0"/>
              <w:textAlignment w:val="baseline"/>
              <w:rPr>
                <w:rFonts w:ascii="Times New Roman" w:hAnsi="Times New Roman"/>
                <w:sz w:val="20"/>
                <w:szCs w:val="20"/>
              </w:rPr>
            </w:pPr>
            <w:r>
              <w:rPr>
                <w:rFonts w:ascii="Times New Roman" w:hAnsi="Times New Roman"/>
                <w:sz w:val="20"/>
                <w:szCs w:val="20"/>
              </w:rPr>
              <w:t>If UL spectrum is used, UE Tx power is assumed, i.e. 23dBm</w:t>
            </w:r>
            <w:r>
              <w:rPr>
                <w:rFonts w:hint="eastAsia" w:ascii="Times New Roman" w:hAnsi="Times New Roman"/>
                <w:sz w:val="20"/>
                <w:szCs w:val="20"/>
              </w:rPr>
              <w:t xml:space="preserve"> baseline</w:t>
            </w:r>
          </w:p>
          <w:p>
            <w:pPr>
              <w:overflowPunct w:val="0"/>
              <w:autoSpaceDE w:val="0"/>
              <w:autoSpaceDN w:val="0"/>
              <w:adjustRightInd w:val="0"/>
              <w:textAlignment w:val="baseline"/>
              <w:rPr>
                <w:rFonts w:ascii="Times New Roman" w:hAnsi="Times New Roman"/>
                <w:sz w:val="20"/>
                <w:szCs w:val="20"/>
              </w:rPr>
            </w:pPr>
            <w:r>
              <w:rPr>
                <w:rFonts w:ascii="Times New Roman" w:hAnsi="Times New Roman" w:eastAsiaTheme="minorEastAsia"/>
                <w:sz w:val="20"/>
                <w:szCs w:val="20"/>
              </w:rPr>
              <w:t>If DL spectrum is used, AIOT micro-BS Tx power is assumed.</w:t>
            </w:r>
          </w:p>
        </w:tc>
        <w:tc>
          <w:tcPr>
            <w:tcW w:w="2551"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Theme="minorEastAsia"/>
                <w:sz w:val="20"/>
                <w:szCs w:val="20"/>
              </w:rPr>
              <w:t>Inter-mediate UE Tx power is assumed.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trPr>
        <w:tc>
          <w:tcPr>
            <w:tcW w:w="3397" w:type="dxa"/>
          </w:tcPr>
          <w:p>
            <w:pPr>
              <w:rPr>
                <w:rFonts w:ascii="Times New Roman" w:hAnsi="Times New Roman"/>
                <w:sz w:val="20"/>
                <w:szCs w:val="20"/>
              </w:rPr>
            </w:pPr>
            <w:r>
              <w:rPr>
                <w:rFonts w:hint="eastAsia" w:ascii="Times New Roman" w:hAnsi="Times New Roman"/>
                <w:sz w:val="20"/>
                <w:szCs w:val="20"/>
              </w:rPr>
              <w:t>Antenna gain</w:t>
            </w:r>
          </w:p>
        </w:tc>
        <w:tc>
          <w:tcPr>
            <w:tcW w:w="3974" w:type="dxa"/>
          </w:tcPr>
          <w:p>
            <w:pPr>
              <w:rPr>
                <w:rFonts w:ascii="Times New Roman" w:hAnsi="Times New Roman"/>
                <w:sz w:val="20"/>
                <w:szCs w:val="20"/>
              </w:rPr>
            </w:pPr>
            <w:r>
              <w:rPr>
                <w:rFonts w:ascii="Times New Roman" w:hAnsi="Times New Roman"/>
                <w:sz w:val="20"/>
                <w:szCs w:val="20"/>
              </w:rPr>
              <w:t xml:space="preserve">Same as AIOT </w:t>
            </w:r>
            <w:r>
              <w:rPr>
                <w:rFonts w:hint="eastAsia" w:ascii="Times New Roman" w:hAnsi="Times New Roman"/>
                <w:sz w:val="20"/>
                <w:szCs w:val="20"/>
              </w:rPr>
              <w:t>reader</w:t>
            </w:r>
          </w:p>
        </w:tc>
        <w:tc>
          <w:tcPr>
            <w:tcW w:w="2551" w:type="dxa"/>
          </w:tcPr>
          <w:p>
            <w:pPr>
              <w:overflowPunct w:val="0"/>
              <w:autoSpaceDE w:val="0"/>
              <w:autoSpaceDN w:val="0"/>
              <w:adjustRightInd w:val="0"/>
              <w:textAlignment w:val="baseline"/>
              <w:rPr>
                <w:rFonts w:ascii="Times New Roman" w:hAnsi="Times New Roman" w:eastAsiaTheme="minorEastAsia"/>
                <w:sz w:val="20"/>
                <w:szCs w:val="20"/>
              </w:rPr>
            </w:pPr>
            <w:r>
              <w:rPr>
                <w:rFonts w:ascii="Times New Roman" w:hAnsi="Times New Roman" w:eastAsiaTheme="minorEastAsia"/>
                <w:sz w:val="20"/>
                <w:szCs w:val="20"/>
              </w:rPr>
              <w:t>Same as inter-mediate UE</w:t>
            </w:r>
          </w:p>
        </w:tc>
      </w:tr>
    </w:tbl>
    <w:p>
      <w:pPr>
        <w:tabs>
          <w:tab w:val="left" w:pos="720"/>
        </w:tabs>
        <w:spacing w:after="156" w:afterLines="50"/>
        <w:rPr>
          <w:rFonts w:ascii="Times New Roman" w:hAnsi="Times New Roman"/>
          <w:b/>
          <w:bCs/>
          <w:sz w:val="20"/>
          <w:szCs w:val="20"/>
        </w:rPr>
      </w:pPr>
      <w:r>
        <w:rPr>
          <w:rFonts w:hint="eastAsia" w:ascii="Times New Roman" w:hAnsi="Times New Roman"/>
          <w:b/>
          <w:bCs/>
          <w:sz w:val="20"/>
          <w:szCs w:val="20"/>
        </w:rPr>
        <w:t xml:space="preserve">Proposal </w:t>
      </w:r>
      <w:r>
        <w:rPr>
          <w:rFonts w:hint="eastAsia" w:ascii="Times New Roman" w:hAnsi="Times New Roman"/>
          <w:b/>
          <w:bCs/>
          <w:sz w:val="20"/>
          <w:szCs w:val="20"/>
          <w:lang w:val="en-US" w:eastAsia="zh-CN"/>
        </w:rPr>
        <w:t>25</w:t>
      </w:r>
      <w:r>
        <w:rPr>
          <w:rFonts w:hint="eastAsia" w:ascii="Times New Roman" w:hAnsi="Times New Roman"/>
          <w:b/>
          <w:bCs/>
          <w:sz w:val="20"/>
          <w:szCs w:val="20"/>
        </w:rPr>
        <w:t>: it</w:t>
      </w:r>
      <w:r>
        <w:rPr>
          <w:rFonts w:ascii="Times New Roman" w:hAnsi="Times New Roman"/>
          <w:b/>
          <w:bCs/>
          <w:sz w:val="20"/>
          <w:szCs w:val="20"/>
        </w:rPr>
        <w:t>’</w:t>
      </w:r>
      <w:r>
        <w:rPr>
          <w:rFonts w:hint="eastAsia" w:ascii="Times New Roman" w:hAnsi="Times New Roman"/>
          <w:b/>
          <w:bCs/>
          <w:sz w:val="20"/>
          <w:szCs w:val="20"/>
        </w:rPr>
        <w:t>s suggested to use value in above table for AIoT CW</w:t>
      </w:r>
      <w:r>
        <w:rPr>
          <w:rFonts w:hint="eastAsia" w:ascii="Times New Roman" w:hAnsi="Times New Roman"/>
          <w:b/>
          <w:bCs/>
          <w:sz w:val="20"/>
          <w:szCs w:val="20"/>
          <w:lang w:val="en-US" w:eastAsia="zh-CN"/>
        </w:rPr>
        <w:t xml:space="preserve"> if finally approve to simulate CW in formal simulation</w:t>
      </w:r>
      <w:r>
        <w:rPr>
          <w:rFonts w:hint="eastAsia" w:ascii="Times New Roman" w:hAnsi="Times New Roman"/>
          <w:b/>
          <w:bCs/>
          <w:sz w:val="20"/>
          <w:szCs w:val="20"/>
        </w:rPr>
        <w:t>. Compared with RAN1, we add antenna gain requirement.</w:t>
      </w:r>
    </w:p>
    <w:p>
      <w:pPr>
        <w:tabs>
          <w:tab w:val="left" w:pos="720"/>
        </w:tabs>
        <w:spacing w:after="156" w:afterLines="50"/>
        <w:rPr>
          <w:rFonts w:hint="default" w:ascii="Times New Roman" w:hAnsi="Times New Roman" w:eastAsia="宋体"/>
          <w:b w:val="0"/>
          <w:bCs w:val="0"/>
          <w:sz w:val="20"/>
          <w:szCs w:val="20"/>
          <w:lang w:val="en-US" w:eastAsia="zh-CN"/>
        </w:rPr>
      </w:pPr>
    </w:p>
    <w:tbl>
      <w:tblPr>
        <w:tblStyle w:val="45"/>
        <w:tblW w:w="694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19"/>
        <w:gridCol w:w="2138"/>
        <w:gridCol w:w="19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3" w:hRule="atLeast"/>
        </w:trPr>
        <w:tc>
          <w:tcPr>
            <w:tcW w:w="2819" w:type="dxa"/>
          </w:tcPr>
          <w:p>
            <w:pPr>
              <w:rPr>
                <w:rFonts w:ascii="Times New Roman" w:hAnsi="Times New Roman"/>
                <w:b/>
                <w:bCs/>
                <w:sz w:val="20"/>
                <w:szCs w:val="20"/>
              </w:rPr>
            </w:pPr>
            <w:r>
              <w:rPr>
                <w:rFonts w:ascii="Times New Roman" w:hAnsi="Times New Roman"/>
                <w:b/>
                <w:bCs/>
                <w:sz w:val="20"/>
                <w:szCs w:val="20"/>
              </w:rPr>
              <w:t>A-IoT device parameters</w:t>
            </w:r>
          </w:p>
        </w:tc>
        <w:tc>
          <w:tcPr>
            <w:tcW w:w="2138" w:type="dxa"/>
          </w:tcPr>
          <w:p>
            <w:pPr>
              <w:rPr>
                <w:rFonts w:ascii="Times New Roman" w:hAnsi="Times New Roman"/>
                <w:b/>
                <w:bCs/>
                <w:sz w:val="20"/>
                <w:szCs w:val="20"/>
              </w:rPr>
            </w:pPr>
            <w:r>
              <w:rPr>
                <w:rFonts w:ascii="Times New Roman" w:hAnsi="Times New Roman"/>
                <w:b/>
                <w:bCs/>
                <w:sz w:val="20"/>
                <w:szCs w:val="20"/>
              </w:rPr>
              <w:t>Device 1</w:t>
            </w:r>
          </w:p>
        </w:tc>
        <w:tc>
          <w:tcPr>
            <w:tcW w:w="1984" w:type="dxa"/>
          </w:tcPr>
          <w:p>
            <w:pPr>
              <w:rPr>
                <w:rFonts w:ascii="Times New Roman" w:hAnsi="Times New Roman"/>
                <w:b/>
                <w:bCs/>
                <w:sz w:val="20"/>
                <w:szCs w:val="20"/>
              </w:rPr>
            </w:pPr>
            <w:r>
              <w:rPr>
                <w:rFonts w:ascii="Times New Roman" w:hAnsi="Times New Roman"/>
                <w:b/>
                <w:bCs/>
                <w:sz w:val="20"/>
                <w:szCs w:val="20"/>
              </w:rPr>
              <w:t>Device 2a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 xml:space="preserve">A-IoT device Tx power (dBm) </w:t>
            </w:r>
          </w:p>
        </w:tc>
        <w:tc>
          <w:tcPr>
            <w:tcW w:w="2138" w:type="dxa"/>
          </w:tcPr>
          <w:p>
            <w:pPr>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Calculated based on link analysis</w:t>
            </w:r>
          </w:p>
        </w:tc>
        <w:tc>
          <w:tcPr>
            <w:tcW w:w="1984" w:type="dxa"/>
          </w:tcPr>
          <w:p>
            <w:pPr>
              <w:rPr>
                <w:rFonts w:ascii="Times New Roman" w:hAnsi="Times New Roman"/>
                <w:sz w:val="20"/>
                <w:szCs w:val="20"/>
              </w:rPr>
            </w:pPr>
            <w:r>
              <w:rPr>
                <w:rFonts w:hint="eastAsia" w:ascii="Times New Roman" w:hAnsi="Times New Roman"/>
                <w:sz w:val="20"/>
                <w:szCs w:val="20"/>
                <w:lang w:val="en-US" w:eastAsia="zh-CN"/>
              </w:rPr>
              <w:t>Calculated based on link analysis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A-IoT device effective antenna gain per Tx or Rx branch (dBi)</w:t>
            </w:r>
          </w:p>
        </w:tc>
        <w:tc>
          <w:tcPr>
            <w:tcW w:w="2138" w:type="dxa"/>
          </w:tcPr>
          <w:p>
            <w:pPr>
              <w:rPr>
                <w:rFonts w:ascii="Times New Roman" w:hAnsi="Times New Roman"/>
                <w:sz w:val="20"/>
                <w:szCs w:val="20"/>
              </w:rPr>
            </w:pPr>
            <w:r>
              <w:rPr>
                <w:rFonts w:hint="eastAsia" w:ascii="Times New Roman" w:hAnsi="Times New Roman"/>
                <w:sz w:val="20"/>
                <w:szCs w:val="20"/>
              </w:rPr>
              <w:t xml:space="preserve">0 baseline </w:t>
            </w:r>
          </w:p>
          <w:p>
            <w:pPr>
              <w:rPr>
                <w:rFonts w:ascii="Times New Roman" w:hAnsi="Times New Roman"/>
                <w:sz w:val="20"/>
                <w:szCs w:val="20"/>
              </w:rPr>
            </w:pPr>
            <w:r>
              <w:rPr>
                <w:rFonts w:hint="eastAsia" w:ascii="Times New Roman" w:hAnsi="Times New Roman"/>
                <w:sz w:val="20"/>
                <w:szCs w:val="20"/>
              </w:rPr>
              <w:t>-3 optional</w:t>
            </w:r>
          </w:p>
        </w:tc>
        <w:tc>
          <w:tcPr>
            <w:tcW w:w="1984" w:type="dxa"/>
          </w:tcPr>
          <w:p>
            <w:pPr>
              <w:rPr>
                <w:rFonts w:ascii="Times New Roman" w:hAnsi="Times New Roman"/>
                <w:sz w:val="20"/>
                <w:szCs w:val="20"/>
              </w:rPr>
            </w:pPr>
            <w:r>
              <w:rPr>
                <w:rFonts w:hint="eastAsia" w:ascii="Times New Roman" w:hAnsi="Times New Roman"/>
                <w:sz w:val="20"/>
                <w:szCs w:val="20"/>
              </w:rPr>
              <w:t xml:space="preserve">0 baseline </w:t>
            </w:r>
          </w:p>
          <w:p>
            <w:pPr>
              <w:rPr>
                <w:rFonts w:ascii="Times New Roman" w:hAnsi="Times New Roman"/>
                <w:sz w:val="20"/>
                <w:szCs w:val="20"/>
              </w:rPr>
            </w:pPr>
            <w:r>
              <w:rPr>
                <w:rFonts w:hint="eastAsia" w:ascii="Times New Roman" w:hAnsi="Times New Roman"/>
                <w:sz w:val="20"/>
                <w:szCs w:val="20"/>
              </w:rPr>
              <w:t xml:space="preserve">-3 optional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3" w:hRule="atLeast"/>
        </w:trPr>
        <w:tc>
          <w:tcPr>
            <w:tcW w:w="2819" w:type="dxa"/>
          </w:tcPr>
          <w:p>
            <w:pPr>
              <w:rPr>
                <w:rFonts w:ascii="Times New Roman" w:hAnsi="Times New Roman"/>
                <w:sz w:val="20"/>
                <w:szCs w:val="20"/>
              </w:rPr>
            </w:pPr>
            <w:r>
              <w:rPr>
                <w:rFonts w:ascii="Times New Roman" w:hAnsi="Times New Roman"/>
                <w:sz w:val="20"/>
                <w:szCs w:val="20"/>
              </w:rPr>
              <w:t>A-IoT device reflection （backscatter）loss (dB)</w:t>
            </w:r>
          </w:p>
          <w:p>
            <w:pPr>
              <w:rPr>
                <w:rFonts w:ascii="Times New Roman" w:hAnsi="Times New Roman"/>
                <w:sz w:val="20"/>
                <w:szCs w:val="20"/>
              </w:rPr>
            </w:pPr>
            <w:r>
              <w:rPr>
                <w:rFonts w:ascii="Times New Roman" w:hAnsi="Times New Roman"/>
                <w:sz w:val="20"/>
                <w:szCs w:val="20"/>
              </w:rPr>
              <w:t>Note: due to, e.g., impedance mismatch</w:t>
            </w:r>
          </w:p>
        </w:tc>
        <w:tc>
          <w:tcPr>
            <w:tcW w:w="2138" w:type="dxa"/>
          </w:tcPr>
          <w:p>
            <w:pPr>
              <w:rPr>
                <w:rFonts w:ascii="Times New Roman" w:hAnsi="Times New Roman"/>
                <w:sz w:val="20"/>
                <w:szCs w:val="20"/>
              </w:rPr>
            </w:pPr>
            <w:r>
              <w:rPr>
                <w:rFonts w:ascii="Times New Roman" w:hAnsi="Times New Roman"/>
                <w:sz w:val="20"/>
                <w:szCs w:val="20"/>
              </w:rPr>
              <w:t>-6 dB and 0 dB for OOK  and BPSK</w:t>
            </w:r>
          </w:p>
        </w:tc>
        <w:tc>
          <w:tcPr>
            <w:tcW w:w="1984" w:type="dxa"/>
          </w:tcPr>
          <w:p>
            <w:pPr>
              <w:rPr>
                <w:rFonts w:ascii="Times New Roman" w:hAnsi="Times New Roman"/>
                <w:sz w:val="20"/>
                <w:szCs w:val="20"/>
              </w:rPr>
            </w:pPr>
            <w:r>
              <w:rPr>
                <w:rFonts w:ascii="Times New Roman" w:hAnsi="Times New Roman"/>
                <w:sz w:val="20"/>
                <w:szCs w:val="20"/>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A-IoT device power gain of reflection amplifier (dB)</w:t>
            </w:r>
          </w:p>
        </w:tc>
        <w:tc>
          <w:tcPr>
            <w:tcW w:w="2138" w:type="dxa"/>
          </w:tcPr>
          <w:p>
            <w:pPr>
              <w:rPr>
                <w:rFonts w:ascii="Times New Roman" w:hAnsi="Times New Roman"/>
                <w:sz w:val="20"/>
                <w:szCs w:val="20"/>
              </w:rPr>
            </w:pPr>
            <w:r>
              <w:rPr>
                <w:rFonts w:ascii="Times New Roman" w:hAnsi="Times New Roman"/>
                <w:sz w:val="20"/>
                <w:szCs w:val="20"/>
              </w:rPr>
              <w:t>N/A</w:t>
            </w:r>
          </w:p>
        </w:tc>
        <w:tc>
          <w:tcPr>
            <w:tcW w:w="1984" w:type="dxa"/>
          </w:tcPr>
          <w:p>
            <w:pPr>
              <w:rPr>
                <w:rFonts w:ascii="Times New Roman" w:hAnsi="Times New Roman"/>
                <w:sz w:val="20"/>
                <w:szCs w:val="20"/>
              </w:rPr>
            </w:pPr>
            <w:r>
              <w:rPr>
                <w:rFonts w:hint="eastAsia" w:ascii="Times New Roman" w:hAnsi="Times New Roman"/>
                <w:sz w:val="20"/>
                <w:szCs w:val="20"/>
              </w:rPr>
              <w:t>10dB as baseline</w:t>
            </w:r>
          </w:p>
          <w:p>
            <w:pPr>
              <w:rPr>
                <w:rFonts w:ascii="Times New Roman" w:hAnsi="Times New Roman"/>
                <w:sz w:val="20"/>
                <w:szCs w:val="20"/>
              </w:rPr>
            </w:pPr>
            <w:r>
              <w:rPr>
                <w:rFonts w:hint="eastAsia" w:ascii="Times New Roman" w:hAnsi="Times New Roman"/>
                <w:sz w:val="20"/>
                <w:szCs w:val="20"/>
              </w:rPr>
              <w:t>20dB as optional</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A-IoT Device receiver sensitivity (dBm)</w:t>
            </w:r>
          </w:p>
        </w:tc>
        <w:tc>
          <w:tcPr>
            <w:tcW w:w="2138" w:type="dxa"/>
          </w:tcPr>
          <w:p>
            <w:pPr>
              <w:rPr>
                <w:rFonts w:ascii="Times New Roman" w:hAnsi="Times New Roman"/>
                <w:sz w:val="20"/>
                <w:szCs w:val="20"/>
              </w:rPr>
            </w:pPr>
            <w:r>
              <w:rPr>
                <w:rFonts w:ascii="Times New Roman" w:hAnsi="Times New Roman"/>
                <w:sz w:val="20"/>
                <w:szCs w:val="20"/>
              </w:rPr>
              <w:t>-36</w:t>
            </w:r>
          </w:p>
        </w:tc>
        <w:tc>
          <w:tcPr>
            <w:tcW w:w="1984" w:type="dxa"/>
          </w:tcPr>
          <w:p>
            <w:pPr>
              <w:rPr>
                <w:rFonts w:ascii="Times New Roman" w:hAnsi="Times New Roman"/>
                <w:sz w:val="20"/>
                <w:szCs w:val="20"/>
              </w:rPr>
            </w:pPr>
            <w:r>
              <w:rPr>
                <w:rFonts w:ascii="Times New Roman" w:hAnsi="Times New Roman"/>
                <w:sz w:val="20"/>
                <w:szCs w:val="20"/>
              </w:rPr>
              <w:t>-46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19" w:hRule="atLeast"/>
        </w:trPr>
        <w:tc>
          <w:tcPr>
            <w:tcW w:w="2819" w:type="dxa"/>
          </w:tcPr>
          <w:p>
            <w:pPr>
              <w:rPr>
                <w:rFonts w:ascii="Times New Roman" w:hAnsi="Times New Roman"/>
                <w:sz w:val="20"/>
                <w:szCs w:val="20"/>
              </w:rPr>
            </w:pPr>
            <w:r>
              <w:rPr>
                <w:rFonts w:ascii="Times New Roman" w:hAnsi="Times New Roman"/>
                <w:sz w:val="20"/>
                <w:szCs w:val="20"/>
              </w:rPr>
              <w:t>Guard band</w:t>
            </w:r>
          </w:p>
        </w:tc>
        <w:tc>
          <w:tcPr>
            <w:tcW w:w="2138" w:type="dxa"/>
          </w:tcPr>
          <w:p>
            <w:pPr>
              <w:spacing w:after="156" w:afterLines="50"/>
              <w:rPr>
                <w:rFonts w:hint="default" w:ascii="Times New Roman" w:hAnsi="Times New Roman" w:eastAsia="宋体"/>
                <w:sz w:val="20"/>
                <w:szCs w:val="20"/>
                <w:lang w:val="en-US" w:eastAsia="zh-CN"/>
              </w:rPr>
            </w:pPr>
            <w:r>
              <w:rPr>
                <w:rFonts w:hint="eastAsia" w:ascii="Times New Roman" w:hAnsi="Times New Roman"/>
                <w:sz w:val="20"/>
                <w:szCs w:val="20"/>
                <w:lang w:val="en-US" w:eastAsia="zh-CN"/>
              </w:rPr>
              <w:t>0PRB</w:t>
            </w:r>
          </w:p>
        </w:tc>
        <w:tc>
          <w:tcPr>
            <w:tcW w:w="1984" w:type="dxa"/>
          </w:tcPr>
          <w:p>
            <w:pPr>
              <w:spacing w:after="156" w:afterLines="50"/>
              <w:rPr>
                <w:rFonts w:ascii="Times New Roman" w:hAnsi="Times New Roman"/>
                <w:sz w:val="20"/>
                <w:szCs w:val="20"/>
              </w:rPr>
            </w:pPr>
            <w:r>
              <w:rPr>
                <w:rFonts w:hint="eastAsia" w:ascii="Times New Roman" w:hAnsi="Times New Roman"/>
                <w:sz w:val="20"/>
                <w:szCs w:val="20"/>
                <w:lang w:val="en-US" w:eastAsia="zh-CN"/>
              </w:rPr>
              <w:t>0PRB</w:t>
            </w:r>
          </w:p>
        </w:tc>
      </w:tr>
    </w:tbl>
    <w:p>
      <w:pPr>
        <w:tabs>
          <w:tab w:val="left" w:pos="720"/>
        </w:tabs>
        <w:spacing w:after="156" w:afterLines="50"/>
        <w:rPr>
          <w:rFonts w:hint="eastAsia" w:ascii="Times New Roman" w:hAnsi="Times New Roman" w:eastAsia="宋体"/>
          <w:b/>
          <w:bCs/>
          <w:sz w:val="20"/>
          <w:szCs w:val="20"/>
          <w:lang w:val="en-US" w:eastAsia="zh-CN"/>
        </w:rPr>
      </w:pPr>
    </w:p>
    <w:p>
      <w:pPr>
        <w:tabs>
          <w:tab w:val="left" w:pos="720"/>
        </w:tabs>
        <w:spacing w:after="156" w:afterLines="50"/>
        <w:rPr>
          <w:rFonts w:hint="eastAsia" w:ascii="Times New Roman" w:hAnsi="Times New Roman"/>
          <w:b/>
          <w:bCs/>
          <w:sz w:val="20"/>
          <w:szCs w:val="20"/>
          <w:lang w:val="en-US" w:eastAsia="zh-CN"/>
        </w:rPr>
      </w:pPr>
      <w:r>
        <w:rPr>
          <w:rFonts w:hint="eastAsia" w:ascii="Times New Roman" w:hAnsi="Times New Roman"/>
          <w:b/>
          <w:bCs/>
          <w:sz w:val="20"/>
          <w:szCs w:val="20"/>
          <w:lang w:val="en-US" w:eastAsia="zh-CN"/>
        </w:rPr>
        <w:t>Proposal 26: for formal simulation, both device 1 and 2a are suggested and detailed parameters are listed as above.</w:t>
      </w:r>
    </w:p>
    <w:p>
      <w:pPr>
        <w:tabs>
          <w:tab w:val="left" w:pos="720"/>
        </w:tabs>
        <w:spacing w:after="156" w:afterLines="50"/>
        <w:rPr>
          <w:rFonts w:hint="eastAsia" w:ascii="Times New Roman" w:hAnsi="Times New Roman"/>
          <w:b/>
          <w:bCs/>
          <w:sz w:val="20"/>
          <w:szCs w:val="20"/>
          <w:highlight w:val="none"/>
          <w:lang w:val="en-US" w:eastAsia="zh-CN"/>
        </w:rPr>
      </w:pPr>
      <w:r>
        <w:rPr>
          <w:rFonts w:hint="eastAsia" w:ascii="Times New Roman" w:hAnsi="Times New Roman"/>
          <w:b/>
          <w:bCs/>
          <w:sz w:val="20"/>
          <w:szCs w:val="20"/>
          <w:lang w:val="en-US" w:eastAsia="zh-CN"/>
        </w:rPr>
        <w:t>Proposal 27: it</w:t>
      </w:r>
      <w:r>
        <w:rPr>
          <w:rFonts w:hint="default" w:ascii="Times New Roman" w:hAnsi="Times New Roman"/>
          <w:b/>
          <w:bCs/>
          <w:sz w:val="20"/>
          <w:szCs w:val="20"/>
          <w:lang w:val="en-US" w:eastAsia="zh-CN"/>
        </w:rPr>
        <w:t>’</w:t>
      </w:r>
      <w:r>
        <w:rPr>
          <w:rFonts w:hint="eastAsia" w:ascii="Times New Roman" w:hAnsi="Times New Roman"/>
          <w:b/>
          <w:bCs/>
          <w:sz w:val="20"/>
          <w:szCs w:val="20"/>
          <w:lang w:val="en-US" w:eastAsia="zh-CN"/>
        </w:rPr>
        <w:t>s suggested to focus on device 1 and 2a in study phase.</w:t>
      </w:r>
    </w:p>
    <w:p>
      <w:pPr>
        <w:keepNext/>
        <w:keepLines/>
        <w:widowControl/>
        <w:pBdr>
          <w:top w:val="single" w:color="auto" w:sz="12" w:space="1"/>
        </w:pBdr>
        <w:tabs>
          <w:tab w:val="left" w:pos="567"/>
        </w:tabs>
        <w:adjustRightInd w:val="0"/>
        <w:spacing w:before="240" w:after="180"/>
        <w:ind w:left="510" w:hanging="510"/>
        <w:outlineLvl w:val="0"/>
        <w:rPr>
          <w:rFonts w:ascii="Times New Roman" w:hAnsi="Times New Roman"/>
          <w:sz w:val="20"/>
          <w:szCs w:val="20"/>
        </w:rPr>
      </w:pPr>
      <w:r>
        <w:rPr>
          <w:rFonts w:ascii="Arial" w:hAnsi="Arial" w:eastAsiaTheme="minorEastAsia" w:cstheme="minorBidi"/>
          <w:sz w:val="32"/>
          <w:szCs w:val="36"/>
        </w:rPr>
        <w:t>4. Reference</w:t>
      </w:r>
    </w:p>
    <w:p>
      <w:pPr>
        <w:numPr>
          <w:ilvl w:val="0"/>
          <w:numId w:val="25"/>
        </w:numPr>
        <w:tabs>
          <w:tab w:val="right" w:pos="10440"/>
          <w:tab w:val="right" w:pos="13323"/>
        </w:tabs>
        <w:jc w:val="left"/>
        <w:rPr>
          <w:rFonts w:ascii="Times New Roman" w:hAnsi="Times New Roman"/>
          <w:sz w:val="20"/>
          <w:szCs w:val="20"/>
        </w:rPr>
      </w:pPr>
      <w:r>
        <w:rPr>
          <w:rFonts w:ascii="Times New Roman" w:hAnsi="Times New Roman"/>
          <w:sz w:val="20"/>
          <w:szCs w:val="20"/>
        </w:rPr>
        <w:t>R4-2406714</w:t>
      </w:r>
      <w:r>
        <w:rPr>
          <w:rFonts w:hint="eastAsia" w:ascii="Times New Roman" w:hAnsi="Times New Roman"/>
          <w:sz w:val="20"/>
          <w:szCs w:val="20"/>
        </w:rPr>
        <w:t>, WF on Ambient IoT in NR, CMCC</w:t>
      </w:r>
    </w:p>
    <w:p>
      <w:pPr>
        <w:numPr>
          <w:ilvl w:val="0"/>
          <w:numId w:val="25"/>
        </w:numPr>
        <w:tabs>
          <w:tab w:val="right" w:pos="10440"/>
          <w:tab w:val="right" w:pos="13323"/>
        </w:tabs>
        <w:jc w:val="left"/>
        <w:rPr>
          <w:rFonts w:ascii="Times New Roman" w:hAnsi="Times New Roman"/>
          <w:sz w:val="20"/>
          <w:szCs w:val="20"/>
        </w:rPr>
      </w:pPr>
      <w:r>
        <w:rPr>
          <w:rFonts w:ascii="Times New Roman" w:hAnsi="Times New Roman"/>
          <w:sz w:val="20"/>
          <w:szCs w:val="20"/>
        </w:rPr>
        <w:t>R4-2407008</w:t>
      </w:r>
      <w:r>
        <w:rPr>
          <w:rFonts w:hint="eastAsia" w:ascii="Times New Roman" w:hAnsi="Times New Roman"/>
          <w:sz w:val="20"/>
          <w:szCs w:val="20"/>
        </w:rPr>
        <w:t>, LS on Ambient-IoT evaluation scenarios and assumptions, CMCC</w:t>
      </w:r>
    </w:p>
    <w:sectPr>
      <w:headerReference r:id="rId3" w:type="default"/>
      <w:pgSz w:w="11906" w:h="16838"/>
      <w:pgMar w:top="144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Arial Unicode MS">
    <w:panose1 w:val="020B0604020202020204"/>
    <w:charset w:val="86"/>
    <w:family w:val="auto"/>
    <w:pitch w:val="default"/>
    <w:sig w:usb0="FFFFFFFF" w:usb1="E9FFFFFF" w:usb2="0000003F" w:usb3="00000000" w:csb0="603F01FF" w:csb1="FFFF0000"/>
  </w:font>
  <w:font w:name="MS Mincho">
    <w:panose1 w:val="02020609040205080304"/>
    <w:charset w:val="80"/>
    <w:family w:val="modern"/>
    <w:pitch w:val="default"/>
    <w:sig w:usb0="A00002BF" w:usb1="68C7FCFB" w:usb2="00000010" w:usb3="00000000" w:csb0="4002009F" w:csb1="DFD70000"/>
  </w:font>
  <w:font w:name="New York">
    <w:altName w:val="DejaVu Math TeX Gyre"/>
    <w:panose1 w:val="02040503060506020304"/>
    <w:charset w:val="00"/>
    <w:family w:val="roman"/>
    <w:pitch w:val="default"/>
    <w:sig w:usb0="00000000" w:usb1="00000000" w:usb2="00000000" w:usb3="00000000" w:csb0="00000001" w:csb1="00000000"/>
  </w:font>
  <w:font w:name="Yu Mincho">
    <w:altName w:val="MS Gothic"/>
    <w:panose1 w:val="00000000000000000000"/>
    <w:charset w:val="80"/>
    <w:family w:val="roman"/>
    <w:pitch w:val="default"/>
    <w:sig w:usb0="00000000" w:usb1="00000000" w:usb2="00000012" w:usb3="00000000" w:csb0="0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EB2C6E"/>
    <w:multiLevelType w:val="multilevel"/>
    <w:tmpl w:val="84EB2C6E"/>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G Times (WN)"/>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G Times (WN)"/>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G Times (WN)"/>
      </w:rPr>
    </w:lvl>
    <w:lvl w:ilvl="8" w:tentative="0">
      <w:start w:val="1"/>
      <w:numFmt w:val="bullet"/>
      <w:lvlText w:val=""/>
      <w:lvlJc w:val="left"/>
      <w:pPr>
        <w:tabs>
          <w:tab w:val="left" w:pos="-420"/>
        </w:tabs>
        <w:ind w:left="6276" w:hanging="360"/>
      </w:pPr>
      <w:rPr>
        <w:rFonts w:hint="default" w:ascii="Wingdings" w:hAnsi="Wingdings"/>
      </w:rPr>
    </w:lvl>
  </w:abstractNum>
  <w:abstractNum w:abstractNumId="1">
    <w:nsid w:val="9A2CCA60"/>
    <w:multiLevelType w:val="multilevel"/>
    <w:tmpl w:val="9A2CCA60"/>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G Times (WN)"/>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G Times (WN)"/>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G Times (WN)"/>
      </w:rPr>
    </w:lvl>
    <w:lvl w:ilvl="8" w:tentative="0">
      <w:start w:val="1"/>
      <w:numFmt w:val="bullet"/>
      <w:lvlText w:val=""/>
      <w:lvlJc w:val="left"/>
      <w:pPr>
        <w:tabs>
          <w:tab w:val="left" w:pos="-420"/>
        </w:tabs>
        <w:ind w:left="6276" w:hanging="360"/>
      </w:pPr>
      <w:rPr>
        <w:rFonts w:hint="default" w:ascii="Wingdings" w:hAnsi="Wingdings"/>
      </w:rPr>
    </w:lvl>
  </w:abstractNum>
  <w:abstractNum w:abstractNumId="2">
    <w:nsid w:val="A0B7F892"/>
    <w:multiLevelType w:val="singleLevel"/>
    <w:tmpl w:val="A0B7F892"/>
    <w:lvl w:ilvl="0" w:tentative="0">
      <w:start w:val="1"/>
      <w:numFmt w:val="bullet"/>
      <w:lvlText w:val=""/>
      <w:lvlJc w:val="left"/>
      <w:pPr>
        <w:ind w:left="420" w:hanging="420"/>
      </w:pPr>
      <w:rPr>
        <w:rFonts w:hint="default" w:ascii="Wingdings" w:hAnsi="Wingdings"/>
      </w:rPr>
    </w:lvl>
  </w:abstractNum>
  <w:abstractNum w:abstractNumId="3">
    <w:nsid w:val="B1DC732E"/>
    <w:multiLevelType w:val="singleLevel"/>
    <w:tmpl w:val="B1DC732E"/>
    <w:lvl w:ilvl="0" w:tentative="0">
      <w:start w:val="1"/>
      <w:numFmt w:val="bullet"/>
      <w:lvlText w:val=""/>
      <w:lvlJc w:val="left"/>
      <w:pPr>
        <w:ind w:left="420" w:hanging="420"/>
      </w:pPr>
      <w:rPr>
        <w:rFonts w:hint="default" w:ascii="Wingdings" w:hAnsi="Wingdings"/>
      </w:rPr>
    </w:lvl>
  </w:abstractNum>
  <w:abstractNum w:abstractNumId="4">
    <w:nsid w:val="B451B3BA"/>
    <w:multiLevelType w:val="multilevel"/>
    <w:tmpl w:val="B451B3BA"/>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5">
    <w:nsid w:val="C37267A3"/>
    <w:multiLevelType w:val="multilevel"/>
    <w:tmpl w:val="C37267A3"/>
    <w:lvl w:ilvl="0" w:tentative="0">
      <w:start w:val="1"/>
      <w:numFmt w:val="bullet"/>
      <w:lvlText w:val=""/>
      <w:lvlJc w:val="left"/>
      <w:pPr>
        <w:ind w:left="936" w:hanging="360"/>
      </w:pPr>
      <w:rPr>
        <w:rFonts w:hint="default" w:ascii="Symbol" w:hAnsi="Symbol"/>
        <w:lang w:val="en-GB"/>
      </w:rPr>
    </w:lvl>
    <w:lvl w:ilvl="1" w:tentative="0">
      <w:start w:val="1"/>
      <w:numFmt w:val="bullet"/>
      <w:lvlText w:val="o"/>
      <w:lvlJc w:val="left"/>
      <w:pPr>
        <w:ind w:left="1656" w:hanging="360"/>
      </w:pPr>
      <w:rPr>
        <w:rFonts w:hint="default" w:ascii="Courier New" w:hAnsi="Courier New" w:cs="宋体"/>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3096" w:hanging="360"/>
      </w:pPr>
      <w:rPr>
        <w:rFonts w:hint="default" w:ascii="Symbol" w:hAnsi="Symbol"/>
      </w:rPr>
    </w:lvl>
    <w:lvl w:ilvl="4" w:tentative="0">
      <w:start w:val="1"/>
      <w:numFmt w:val="bullet"/>
      <w:lvlText w:val="o"/>
      <w:lvlJc w:val="left"/>
      <w:pPr>
        <w:ind w:left="3816" w:hanging="360"/>
      </w:pPr>
      <w:rPr>
        <w:rFonts w:hint="default" w:ascii="Courier New" w:hAnsi="Courier New" w:cs="宋体"/>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宋体"/>
      </w:rPr>
    </w:lvl>
    <w:lvl w:ilvl="8" w:tentative="0">
      <w:start w:val="1"/>
      <w:numFmt w:val="bullet"/>
      <w:lvlText w:val=""/>
      <w:lvlJc w:val="left"/>
      <w:pPr>
        <w:ind w:left="6696" w:hanging="360"/>
      </w:pPr>
      <w:rPr>
        <w:rFonts w:hint="default" w:ascii="Wingdings" w:hAnsi="Wingdings"/>
      </w:rPr>
    </w:lvl>
  </w:abstractNum>
  <w:abstractNum w:abstractNumId="6">
    <w:nsid w:val="C8283EA7"/>
    <w:multiLevelType w:val="multilevel"/>
    <w:tmpl w:val="C8283EA7"/>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G Times (WN)"/>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G Times (WN)"/>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G Times (WN)"/>
      </w:rPr>
    </w:lvl>
    <w:lvl w:ilvl="8" w:tentative="0">
      <w:start w:val="1"/>
      <w:numFmt w:val="bullet"/>
      <w:lvlText w:val=""/>
      <w:lvlJc w:val="left"/>
      <w:pPr>
        <w:tabs>
          <w:tab w:val="left" w:pos="-420"/>
        </w:tabs>
        <w:ind w:left="6276" w:hanging="360"/>
      </w:pPr>
      <w:rPr>
        <w:rFonts w:hint="default" w:ascii="Wingdings" w:hAnsi="Wingdings"/>
      </w:rPr>
    </w:lvl>
  </w:abstractNum>
  <w:abstractNum w:abstractNumId="7">
    <w:nsid w:val="CD0769AB"/>
    <w:multiLevelType w:val="singleLevel"/>
    <w:tmpl w:val="CD0769AB"/>
    <w:lvl w:ilvl="0" w:tentative="0">
      <w:start w:val="1"/>
      <w:numFmt w:val="bullet"/>
      <w:lvlText w:val=""/>
      <w:lvlJc w:val="left"/>
      <w:pPr>
        <w:ind w:left="420" w:hanging="420"/>
      </w:pPr>
      <w:rPr>
        <w:rFonts w:hint="default" w:ascii="Wingdings" w:hAnsi="Wingdings"/>
      </w:rPr>
    </w:lvl>
  </w:abstractNum>
  <w:abstractNum w:abstractNumId="8">
    <w:nsid w:val="CEC7DD6D"/>
    <w:multiLevelType w:val="multilevel"/>
    <w:tmpl w:val="CEC7DD6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ascii="宋体" w:hAnsi="宋体" w:eastAsia="宋体" w:cs="宋体"/>
      </w:rPr>
    </w:lvl>
    <w:lvl w:ilvl="2" w:tentative="0">
      <w:start w:val="1"/>
      <w:numFmt w:val="decimal"/>
      <w:pStyle w:val="4"/>
      <w:lvlText w:val="%1.%2.%3."/>
      <w:lvlJc w:val="left"/>
      <w:pPr>
        <w:ind w:left="709" w:hanging="709"/>
      </w:pPr>
      <w:rPr>
        <w:rFonts w:hint="default" w:ascii="宋体" w:hAnsi="宋体" w:eastAsia="宋体" w:cs="宋体"/>
      </w:rPr>
    </w:lvl>
    <w:lvl w:ilvl="3" w:tentative="0">
      <w:start w:val="1"/>
      <w:numFmt w:val="decimal"/>
      <w:pStyle w:val="5"/>
      <w:lvlText w:val="%1.%2.%3.%4."/>
      <w:lvlJc w:val="left"/>
      <w:pPr>
        <w:ind w:left="850" w:hanging="850"/>
      </w:pPr>
      <w:rPr>
        <w:rFonts w:hint="default" w:ascii="宋体" w:hAnsi="宋体" w:eastAsia="宋体" w:cs="宋体"/>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9">
    <w:nsid w:val="D3618A78"/>
    <w:multiLevelType w:val="multilevel"/>
    <w:tmpl w:val="D3618A78"/>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G Times (WN)"/>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G Times (WN)"/>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G Times (WN)"/>
      </w:rPr>
    </w:lvl>
    <w:lvl w:ilvl="8" w:tentative="0">
      <w:start w:val="1"/>
      <w:numFmt w:val="bullet"/>
      <w:lvlText w:val=""/>
      <w:lvlJc w:val="left"/>
      <w:pPr>
        <w:tabs>
          <w:tab w:val="left" w:pos="-420"/>
        </w:tabs>
        <w:ind w:left="6276" w:hanging="360"/>
      </w:pPr>
      <w:rPr>
        <w:rFonts w:hint="default" w:ascii="Wingdings" w:hAnsi="Wingdings"/>
      </w:rPr>
    </w:lvl>
  </w:abstractNum>
  <w:abstractNum w:abstractNumId="10">
    <w:nsid w:val="DFAE1895"/>
    <w:multiLevelType w:val="singleLevel"/>
    <w:tmpl w:val="DFAE1895"/>
    <w:lvl w:ilvl="0" w:tentative="0">
      <w:start w:val="1"/>
      <w:numFmt w:val="decimal"/>
      <w:suff w:val="space"/>
      <w:lvlText w:val="[%1]"/>
      <w:lvlJc w:val="left"/>
    </w:lvl>
  </w:abstractNum>
  <w:abstractNum w:abstractNumId="11">
    <w:nsid w:val="E36BDDE0"/>
    <w:multiLevelType w:val="multilevel"/>
    <w:tmpl w:val="E36BDDE0"/>
    <w:lvl w:ilvl="0" w:tentative="0">
      <w:start w:val="1"/>
      <w:numFmt w:val="bullet"/>
      <w:lvlText w:val=""/>
      <w:lvlJc w:val="left"/>
      <w:pPr>
        <w:tabs>
          <w:tab w:val="left" w:pos="720"/>
        </w:tabs>
        <w:ind w:left="720" w:hanging="360"/>
      </w:pPr>
      <w:rPr>
        <w:rFonts w:hint="default" w:ascii="Symbol" w:hAnsi="Symbol"/>
        <w:sz w:val="20"/>
      </w:rPr>
    </w:lvl>
    <w:lvl w:ilvl="1" w:tentative="0">
      <w:start w:val="1"/>
      <w:numFmt w:val="bullet"/>
      <w:lvlText w:val=""/>
      <w:lvlJc w:val="left"/>
      <w:pPr>
        <w:tabs>
          <w:tab w:val="left" w:pos="1440"/>
        </w:tabs>
        <w:ind w:left="1440" w:hanging="360"/>
      </w:pPr>
      <w:rPr>
        <w:rFonts w:hint="default" w:ascii="Symbol" w:hAnsi="Symbol"/>
        <w:sz w:val="20"/>
      </w:rPr>
    </w:lvl>
    <w:lvl w:ilvl="2" w:tentative="0">
      <w:start w:val="1"/>
      <w:numFmt w:val="bullet"/>
      <w:lvlText w:val=""/>
      <w:lvlJc w:val="left"/>
      <w:pPr>
        <w:tabs>
          <w:tab w:val="left" w:pos="2160"/>
        </w:tabs>
        <w:ind w:left="2160" w:hanging="360"/>
      </w:pPr>
      <w:rPr>
        <w:rFonts w:hint="default" w:ascii="Symbol" w:hAnsi="Symbol"/>
        <w:sz w:val="20"/>
      </w:rPr>
    </w:lvl>
    <w:lvl w:ilvl="3" w:tentative="0">
      <w:start w:val="1"/>
      <w:numFmt w:val="bullet"/>
      <w:lvlText w:val=""/>
      <w:lvlJc w:val="left"/>
      <w:pPr>
        <w:tabs>
          <w:tab w:val="left" w:pos="2880"/>
        </w:tabs>
        <w:ind w:left="2880" w:hanging="360"/>
      </w:pPr>
      <w:rPr>
        <w:rFonts w:hint="default" w:ascii="Symbol" w:hAnsi="Symbol"/>
        <w:sz w:val="20"/>
      </w:rPr>
    </w:lvl>
    <w:lvl w:ilvl="4" w:tentative="0">
      <w:start w:val="1"/>
      <w:numFmt w:val="bullet"/>
      <w:lvlText w:val=""/>
      <w:lvlJc w:val="left"/>
      <w:pPr>
        <w:tabs>
          <w:tab w:val="left" w:pos="3600"/>
        </w:tabs>
        <w:ind w:left="3600" w:hanging="360"/>
      </w:pPr>
      <w:rPr>
        <w:rFonts w:hint="default" w:ascii="Symbol" w:hAnsi="Symbol"/>
        <w:sz w:val="20"/>
      </w:rPr>
    </w:lvl>
    <w:lvl w:ilvl="5" w:tentative="0">
      <w:start w:val="1"/>
      <w:numFmt w:val="bullet"/>
      <w:lvlText w:val=""/>
      <w:lvlJc w:val="left"/>
      <w:pPr>
        <w:tabs>
          <w:tab w:val="left" w:pos="4320"/>
        </w:tabs>
        <w:ind w:left="4320" w:hanging="360"/>
      </w:pPr>
      <w:rPr>
        <w:rFonts w:hint="default" w:ascii="Symbol" w:hAnsi="Symbol"/>
        <w:sz w:val="20"/>
      </w:rPr>
    </w:lvl>
    <w:lvl w:ilvl="6" w:tentative="0">
      <w:start w:val="1"/>
      <w:numFmt w:val="bullet"/>
      <w:lvlText w:val=""/>
      <w:lvlJc w:val="left"/>
      <w:pPr>
        <w:tabs>
          <w:tab w:val="left" w:pos="5040"/>
        </w:tabs>
        <w:ind w:left="5040" w:hanging="360"/>
      </w:pPr>
      <w:rPr>
        <w:rFonts w:hint="default" w:ascii="Symbol" w:hAnsi="Symbol"/>
        <w:sz w:val="20"/>
      </w:rPr>
    </w:lvl>
    <w:lvl w:ilvl="7" w:tentative="0">
      <w:start w:val="1"/>
      <w:numFmt w:val="bullet"/>
      <w:lvlText w:val=""/>
      <w:lvlJc w:val="left"/>
      <w:pPr>
        <w:tabs>
          <w:tab w:val="left" w:pos="5760"/>
        </w:tabs>
        <w:ind w:left="5760" w:hanging="360"/>
      </w:pPr>
      <w:rPr>
        <w:rFonts w:hint="default" w:ascii="Symbol" w:hAnsi="Symbol"/>
        <w:sz w:val="20"/>
      </w:rPr>
    </w:lvl>
    <w:lvl w:ilvl="8" w:tentative="0">
      <w:start w:val="1"/>
      <w:numFmt w:val="bullet"/>
      <w:lvlText w:val=""/>
      <w:lvlJc w:val="left"/>
      <w:pPr>
        <w:tabs>
          <w:tab w:val="left" w:pos="6480"/>
        </w:tabs>
        <w:ind w:left="6480" w:hanging="360"/>
      </w:pPr>
      <w:rPr>
        <w:rFonts w:hint="default" w:ascii="Symbol" w:hAnsi="Symbol"/>
        <w:sz w:val="20"/>
      </w:rPr>
    </w:lvl>
  </w:abstractNum>
  <w:abstractNum w:abstractNumId="12">
    <w:nsid w:val="E4D3498D"/>
    <w:multiLevelType w:val="multilevel"/>
    <w:tmpl w:val="E4D3498D"/>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G Times (WN)"/>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G Times (WN)"/>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G Times (WN)"/>
      </w:rPr>
    </w:lvl>
    <w:lvl w:ilvl="8" w:tentative="0">
      <w:start w:val="1"/>
      <w:numFmt w:val="bullet"/>
      <w:lvlText w:val=""/>
      <w:lvlJc w:val="left"/>
      <w:pPr>
        <w:tabs>
          <w:tab w:val="left" w:pos="-420"/>
        </w:tabs>
        <w:ind w:left="6276" w:hanging="360"/>
      </w:pPr>
      <w:rPr>
        <w:rFonts w:hint="default" w:ascii="Wingdings" w:hAnsi="Wingdings"/>
      </w:rPr>
    </w:lvl>
  </w:abstractNum>
  <w:abstractNum w:abstractNumId="13">
    <w:nsid w:val="E837B009"/>
    <w:multiLevelType w:val="singleLevel"/>
    <w:tmpl w:val="E837B009"/>
    <w:lvl w:ilvl="0" w:tentative="0">
      <w:start w:val="1"/>
      <w:numFmt w:val="bullet"/>
      <w:lvlText w:val=""/>
      <w:lvlJc w:val="left"/>
      <w:pPr>
        <w:ind w:left="420" w:hanging="420"/>
      </w:pPr>
      <w:rPr>
        <w:rFonts w:hint="default" w:ascii="Wingdings" w:hAnsi="Wingdings"/>
      </w:rPr>
    </w:lvl>
  </w:abstractNum>
  <w:abstractNum w:abstractNumId="14">
    <w:nsid w:val="F1778535"/>
    <w:multiLevelType w:val="multilevel"/>
    <w:tmpl w:val="F1778535"/>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G Times (WN)"/>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G Times (WN)"/>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G Times (WN)"/>
      </w:rPr>
    </w:lvl>
    <w:lvl w:ilvl="8" w:tentative="0">
      <w:start w:val="1"/>
      <w:numFmt w:val="bullet"/>
      <w:lvlText w:val=""/>
      <w:lvlJc w:val="left"/>
      <w:pPr>
        <w:tabs>
          <w:tab w:val="left" w:pos="-420"/>
        </w:tabs>
        <w:ind w:left="6276" w:hanging="360"/>
      </w:pPr>
      <w:rPr>
        <w:rFonts w:hint="default" w:ascii="Wingdings" w:hAnsi="Wingdings"/>
      </w:rPr>
    </w:lvl>
  </w:abstractNum>
  <w:abstractNum w:abstractNumId="15">
    <w:nsid w:val="044EE66C"/>
    <w:multiLevelType w:val="multilevel"/>
    <w:tmpl w:val="044EE66C"/>
    <w:lvl w:ilvl="0" w:tentative="0">
      <w:start w:val="2"/>
      <w:numFmt w:val="decimal"/>
      <w:suff w:val="space"/>
      <w:lvlText w:val="%1."/>
      <w:lvlJc w:val="left"/>
    </w:lvl>
    <w:lvl w:ilvl="1" w:tentative="0">
      <w:start w:val="1"/>
      <w:numFmt w:val="decimal"/>
      <w:suff w:val="space"/>
      <w:lvlText w:val="%1.%2"/>
      <w:lvlJc w:val="left"/>
      <w:pPr>
        <w:ind w:left="420" w:firstLine="0"/>
      </w:pPr>
      <w:rPr>
        <w:rFonts w:hint="default"/>
      </w:rPr>
    </w:lvl>
    <w:lvl w:ilvl="2" w:tentative="0">
      <w:start w:val="1"/>
      <w:numFmt w:val="decimal"/>
      <w:suff w:val="space"/>
      <w:lvlText w:val="%1.%2.%3"/>
      <w:lvlJc w:val="left"/>
      <w:pPr>
        <w:ind w:left="0" w:firstLine="0"/>
      </w:pPr>
      <w:rPr>
        <w:rFonts w:hint="default"/>
      </w:rPr>
    </w:lvl>
    <w:lvl w:ilvl="3" w:tentative="0">
      <w:start w:val="1"/>
      <w:numFmt w:val="decimal"/>
      <w:suff w:val="space"/>
      <w:lvlText w:val="%1.%2.%3.%4"/>
      <w:lvlJc w:val="left"/>
      <w:pPr>
        <w:ind w:left="0" w:firstLine="0"/>
      </w:pPr>
      <w:rPr>
        <w:rFonts w:hint="default"/>
      </w:rPr>
    </w:lvl>
    <w:lvl w:ilvl="4" w:tentative="0">
      <w:start w:val="1"/>
      <w:numFmt w:val="decimal"/>
      <w:suff w:val="space"/>
      <w:lvlText w:val="%1.%2.%3.%4.%5"/>
      <w:lvlJc w:val="left"/>
      <w:pPr>
        <w:ind w:left="0" w:firstLine="0"/>
      </w:pPr>
      <w:rPr>
        <w:rFonts w:hint="default"/>
      </w:rPr>
    </w:lvl>
    <w:lvl w:ilvl="5" w:tentative="0">
      <w:start w:val="1"/>
      <w:numFmt w:val="decimal"/>
      <w:suff w:val="space"/>
      <w:lvlText w:val="%1.%2.%3.%4.%5.%6"/>
      <w:lvlJc w:val="left"/>
      <w:pPr>
        <w:ind w:left="0" w:firstLine="0"/>
      </w:pPr>
      <w:rPr>
        <w:rFonts w:hint="default"/>
      </w:rPr>
    </w:lvl>
    <w:lvl w:ilvl="6" w:tentative="0">
      <w:start w:val="1"/>
      <w:numFmt w:val="decimal"/>
      <w:suff w:val="space"/>
      <w:lvlText w:val="%1.%2.%3.%4.%5.%6.%7"/>
      <w:lvlJc w:val="left"/>
      <w:pPr>
        <w:ind w:left="0" w:firstLine="0"/>
      </w:pPr>
      <w:rPr>
        <w:rFonts w:hint="default"/>
      </w:rPr>
    </w:lvl>
    <w:lvl w:ilvl="7" w:tentative="0">
      <w:start w:val="1"/>
      <w:numFmt w:val="decimal"/>
      <w:suff w:val="space"/>
      <w:lvlText w:val="%1.%2.%3.%4.%5.%6.%7.%8"/>
      <w:lvlJc w:val="left"/>
      <w:pPr>
        <w:ind w:left="0" w:firstLine="0"/>
      </w:pPr>
      <w:rPr>
        <w:rFonts w:hint="default"/>
      </w:rPr>
    </w:lvl>
    <w:lvl w:ilvl="8" w:tentative="0">
      <w:start w:val="1"/>
      <w:numFmt w:val="decimal"/>
      <w:suff w:val="space"/>
      <w:lvlText w:val="%1.%2.%3.%4.%5.%6.%7.%8.%9"/>
      <w:lvlJc w:val="left"/>
      <w:pPr>
        <w:ind w:left="0" w:firstLine="0"/>
      </w:pPr>
      <w:rPr>
        <w:rFonts w:hint="default"/>
      </w:rPr>
    </w:lvl>
  </w:abstractNum>
  <w:abstractNum w:abstractNumId="16">
    <w:nsid w:val="0F513A1C"/>
    <w:multiLevelType w:val="multilevel"/>
    <w:tmpl w:val="0F513A1C"/>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7">
    <w:nsid w:val="16462444"/>
    <w:multiLevelType w:val="multilevel"/>
    <w:tmpl w:val="16462444"/>
    <w:lvl w:ilvl="0" w:tentative="0">
      <w:start w:val="2"/>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8">
    <w:nsid w:val="1C3E1A23"/>
    <w:multiLevelType w:val="multilevel"/>
    <w:tmpl w:val="1C3E1A23"/>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19">
    <w:nsid w:val="295BD7DC"/>
    <w:multiLevelType w:val="multilevel"/>
    <w:tmpl w:val="295BD7DC"/>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G Times (WN)"/>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G Times (WN)"/>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G Times (WN)"/>
      </w:rPr>
    </w:lvl>
    <w:lvl w:ilvl="8" w:tentative="0">
      <w:start w:val="1"/>
      <w:numFmt w:val="bullet"/>
      <w:lvlText w:val=""/>
      <w:lvlJc w:val="left"/>
      <w:pPr>
        <w:tabs>
          <w:tab w:val="left" w:pos="-420"/>
        </w:tabs>
        <w:ind w:left="6276" w:hanging="360"/>
      </w:pPr>
      <w:rPr>
        <w:rFonts w:hint="default" w:ascii="Wingdings" w:hAnsi="Wingdings"/>
      </w:rPr>
    </w:lvl>
  </w:abstractNum>
  <w:abstractNum w:abstractNumId="20">
    <w:nsid w:val="30AF4D7E"/>
    <w:multiLevelType w:val="singleLevel"/>
    <w:tmpl w:val="30AF4D7E"/>
    <w:lvl w:ilvl="0" w:tentative="0">
      <w:start w:val="1"/>
      <w:numFmt w:val="bullet"/>
      <w:lvlText w:val=""/>
      <w:lvlJc w:val="left"/>
      <w:pPr>
        <w:ind w:left="420" w:hanging="420"/>
      </w:pPr>
      <w:rPr>
        <w:rFonts w:hint="default" w:ascii="Wingdings" w:hAnsi="Wingdings"/>
      </w:rPr>
    </w:lvl>
  </w:abstractNum>
  <w:abstractNum w:abstractNumId="21">
    <w:nsid w:val="5C271DFC"/>
    <w:multiLevelType w:val="multilevel"/>
    <w:tmpl w:val="5C271DFC"/>
    <w:lvl w:ilvl="0" w:tentative="0">
      <w:start w:val="2"/>
      <w:numFmt w:val="bullet"/>
      <w:lvlText w:val="-"/>
      <w:lvlJc w:val="left"/>
      <w:pPr>
        <w:ind w:left="440" w:hanging="440"/>
      </w:pPr>
      <w:rPr>
        <w:rFonts w:hint="default" w:ascii="Times New Roman" w:hAnsi="Times New Roman" w:eastAsia="Times New Roman"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22">
    <w:nsid w:val="6085269C"/>
    <w:multiLevelType w:val="singleLevel"/>
    <w:tmpl w:val="6085269C"/>
    <w:lvl w:ilvl="0" w:tentative="0">
      <w:start w:val="1"/>
      <w:numFmt w:val="bullet"/>
      <w:lvlText w:val=""/>
      <w:lvlJc w:val="left"/>
      <w:pPr>
        <w:ind w:left="420" w:hanging="420"/>
      </w:pPr>
      <w:rPr>
        <w:rFonts w:hint="default" w:ascii="Wingdings" w:hAnsi="Wingdings"/>
      </w:rPr>
    </w:lvl>
  </w:abstractNum>
  <w:abstractNum w:abstractNumId="23">
    <w:nsid w:val="717A6AA1"/>
    <w:multiLevelType w:val="multilevel"/>
    <w:tmpl w:val="717A6AA1"/>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G Times (WN)"/>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G Times (WN)"/>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G Times (WN)"/>
      </w:rPr>
    </w:lvl>
    <w:lvl w:ilvl="8" w:tentative="0">
      <w:start w:val="1"/>
      <w:numFmt w:val="bullet"/>
      <w:lvlText w:val=""/>
      <w:lvlJc w:val="left"/>
      <w:pPr>
        <w:tabs>
          <w:tab w:val="left" w:pos="-420"/>
        </w:tabs>
        <w:ind w:left="6276" w:hanging="360"/>
      </w:pPr>
      <w:rPr>
        <w:rFonts w:hint="default" w:ascii="Wingdings" w:hAnsi="Wingdings"/>
      </w:rPr>
    </w:lvl>
  </w:abstractNum>
  <w:abstractNum w:abstractNumId="24">
    <w:nsid w:val="73A8DCA0"/>
    <w:multiLevelType w:val="multilevel"/>
    <w:tmpl w:val="73A8DCA0"/>
    <w:lvl w:ilvl="0" w:tentative="0">
      <w:start w:val="1"/>
      <w:numFmt w:val="bullet"/>
      <w:lvlText w:val=""/>
      <w:lvlJc w:val="left"/>
      <w:pPr>
        <w:tabs>
          <w:tab w:val="left" w:pos="-420"/>
        </w:tabs>
        <w:ind w:left="516" w:hanging="360"/>
      </w:pPr>
      <w:rPr>
        <w:rFonts w:hint="default" w:ascii="Symbol" w:hAnsi="Symbol"/>
        <w:lang w:val="en-GB"/>
      </w:rPr>
    </w:lvl>
    <w:lvl w:ilvl="1" w:tentative="0">
      <w:start w:val="1"/>
      <w:numFmt w:val="bullet"/>
      <w:lvlText w:val="o"/>
      <w:lvlJc w:val="left"/>
      <w:pPr>
        <w:tabs>
          <w:tab w:val="left" w:pos="-420"/>
        </w:tabs>
        <w:ind w:left="1236" w:hanging="360"/>
      </w:pPr>
      <w:rPr>
        <w:rFonts w:hint="default" w:ascii="Courier New" w:hAnsi="Courier New" w:cs="CG Times (WN)"/>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G Times (WN)"/>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G Times (WN)"/>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8"/>
  </w:num>
  <w:num w:numId="2">
    <w:abstractNumId w:val="11"/>
  </w:num>
  <w:num w:numId="3">
    <w:abstractNumId w:val="15"/>
  </w:num>
  <w:num w:numId="4">
    <w:abstractNumId w:val="18"/>
  </w:num>
  <w:num w:numId="5">
    <w:abstractNumId w:val="14"/>
  </w:num>
  <w:num w:numId="6">
    <w:abstractNumId w:val="16"/>
  </w:num>
  <w:num w:numId="7">
    <w:abstractNumId w:val="4"/>
  </w:num>
  <w:num w:numId="8">
    <w:abstractNumId w:val="19"/>
  </w:num>
  <w:num w:numId="9">
    <w:abstractNumId w:val="2"/>
  </w:num>
  <w:num w:numId="10">
    <w:abstractNumId w:val="23"/>
  </w:num>
  <w:num w:numId="11">
    <w:abstractNumId w:val="9"/>
  </w:num>
  <w:num w:numId="12">
    <w:abstractNumId w:val="22"/>
  </w:num>
  <w:num w:numId="13">
    <w:abstractNumId w:val="24"/>
  </w:num>
  <w:num w:numId="14">
    <w:abstractNumId w:val="7"/>
  </w:num>
  <w:num w:numId="15">
    <w:abstractNumId w:val="21"/>
  </w:num>
  <w:num w:numId="16">
    <w:abstractNumId w:val="5"/>
  </w:num>
  <w:num w:numId="17">
    <w:abstractNumId w:val="12"/>
  </w:num>
  <w:num w:numId="18">
    <w:abstractNumId w:val="17"/>
  </w:num>
  <w:num w:numId="19">
    <w:abstractNumId w:val="13"/>
  </w:num>
  <w:num w:numId="20">
    <w:abstractNumId w:val="6"/>
  </w:num>
  <w:num w:numId="21">
    <w:abstractNumId w:val="3"/>
  </w:num>
  <w:num w:numId="22">
    <w:abstractNumId w:val="1"/>
  </w:num>
  <w:num w:numId="23">
    <w:abstractNumId w:val="0"/>
  </w:num>
  <w:num w:numId="24">
    <w:abstractNumId w:val="20"/>
  </w:num>
  <w:num w:numId="2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5618B"/>
    <w:rsid w:val="00000BE6"/>
    <w:rsid w:val="00002C4E"/>
    <w:rsid w:val="00002DFE"/>
    <w:rsid w:val="0000389F"/>
    <w:rsid w:val="000041CA"/>
    <w:rsid w:val="00004218"/>
    <w:rsid w:val="0000477F"/>
    <w:rsid w:val="00005E84"/>
    <w:rsid w:val="00006174"/>
    <w:rsid w:val="00006196"/>
    <w:rsid w:val="000111E9"/>
    <w:rsid w:val="0001126C"/>
    <w:rsid w:val="00011927"/>
    <w:rsid w:val="00012C96"/>
    <w:rsid w:val="000138E6"/>
    <w:rsid w:val="00013C21"/>
    <w:rsid w:val="000160EF"/>
    <w:rsid w:val="00016BC2"/>
    <w:rsid w:val="00020E5D"/>
    <w:rsid w:val="00021DD4"/>
    <w:rsid w:val="0002231B"/>
    <w:rsid w:val="000223C3"/>
    <w:rsid w:val="000224EE"/>
    <w:rsid w:val="00023A89"/>
    <w:rsid w:val="000241CD"/>
    <w:rsid w:val="00024959"/>
    <w:rsid w:val="00025E8F"/>
    <w:rsid w:val="00026146"/>
    <w:rsid w:val="00026563"/>
    <w:rsid w:val="0003025B"/>
    <w:rsid w:val="00030957"/>
    <w:rsid w:val="000317A5"/>
    <w:rsid w:val="000328EF"/>
    <w:rsid w:val="0003334A"/>
    <w:rsid w:val="00034492"/>
    <w:rsid w:val="00035DA1"/>
    <w:rsid w:val="000367A0"/>
    <w:rsid w:val="00036C02"/>
    <w:rsid w:val="00036D6A"/>
    <w:rsid w:val="00037971"/>
    <w:rsid w:val="00040C35"/>
    <w:rsid w:val="0004256C"/>
    <w:rsid w:val="00042571"/>
    <w:rsid w:val="00043E8D"/>
    <w:rsid w:val="00043F3D"/>
    <w:rsid w:val="00044652"/>
    <w:rsid w:val="000449E2"/>
    <w:rsid w:val="00044B31"/>
    <w:rsid w:val="0004539C"/>
    <w:rsid w:val="0004564B"/>
    <w:rsid w:val="0004616D"/>
    <w:rsid w:val="00050835"/>
    <w:rsid w:val="00051729"/>
    <w:rsid w:val="00051925"/>
    <w:rsid w:val="00052CB8"/>
    <w:rsid w:val="00052E16"/>
    <w:rsid w:val="00053BCE"/>
    <w:rsid w:val="000547BA"/>
    <w:rsid w:val="0005511F"/>
    <w:rsid w:val="0005591D"/>
    <w:rsid w:val="00055B1F"/>
    <w:rsid w:val="00057657"/>
    <w:rsid w:val="00057B7E"/>
    <w:rsid w:val="000606D3"/>
    <w:rsid w:val="00062456"/>
    <w:rsid w:val="00065984"/>
    <w:rsid w:val="000660F4"/>
    <w:rsid w:val="0006714C"/>
    <w:rsid w:val="00067233"/>
    <w:rsid w:val="00067A9F"/>
    <w:rsid w:val="00070B68"/>
    <w:rsid w:val="00070E60"/>
    <w:rsid w:val="00072662"/>
    <w:rsid w:val="000726EB"/>
    <w:rsid w:val="000728AA"/>
    <w:rsid w:val="00075657"/>
    <w:rsid w:val="00076555"/>
    <w:rsid w:val="00076807"/>
    <w:rsid w:val="00077008"/>
    <w:rsid w:val="0007788D"/>
    <w:rsid w:val="000803EE"/>
    <w:rsid w:val="000811BE"/>
    <w:rsid w:val="00081EC1"/>
    <w:rsid w:val="000821A7"/>
    <w:rsid w:val="000826EF"/>
    <w:rsid w:val="00082B6E"/>
    <w:rsid w:val="000849ED"/>
    <w:rsid w:val="00084B99"/>
    <w:rsid w:val="00085879"/>
    <w:rsid w:val="00085BA6"/>
    <w:rsid w:val="00085D8F"/>
    <w:rsid w:val="00085E61"/>
    <w:rsid w:val="00086B9F"/>
    <w:rsid w:val="00087747"/>
    <w:rsid w:val="00087810"/>
    <w:rsid w:val="00087A2B"/>
    <w:rsid w:val="000902B5"/>
    <w:rsid w:val="00090A5D"/>
    <w:rsid w:val="000915BB"/>
    <w:rsid w:val="00092C18"/>
    <w:rsid w:val="00093923"/>
    <w:rsid w:val="00094361"/>
    <w:rsid w:val="00094958"/>
    <w:rsid w:val="00095D91"/>
    <w:rsid w:val="00096311"/>
    <w:rsid w:val="000965F7"/>
    <w:rsid w:val="00096FF5"/>
    <w:rsid w:val="00097FBD"/>
    <w:rsid w:val="000A01AE"/>
    <w:rsid w:val="000A0963"/>
    <w:rsid w:val="000A0AE8"/>
    <w:rsid w:val="000A0AF7"/>
    <w:rsid w:val="000A0F64"/>
    <w:rsid w:val="000A2385"/>
    <w:rsid w:val="000A2EF0"/>
    <w:rsid w:val="000A3424"/>
    <w:rsid w:val="000A3F70"/>
    <w:rsid w:val="000A49BA"/>
    <w:rsid w:val="000A57C5"/>
    <w:rsid w:val="000A6969"/>
    <w:rsid w:val="000A760C"/>
    <w:rsid w:val="000A7904"/>
    <w:rsid w:val="000B032D"/>
    <w:rsid w:val="000B0633"/>
    <w:rsid w:val="000B3D40"/>
    <w:rsid w:val="000B3FE5"/>
    <w:rsid w:val="000B4DDB"/>
    <w:rsid w:val="000B518C"/>
    <w:rsid w:val="000B55D1"/>
    <w:rsid w:val="000B55F7"/>
    <w:rsid w:val="000B70D9"/>
    <w:rsid w:val="000B7D23"/>
    <w:rsid w:val="000B7F0C"/>
    <w:rsid w:val="000C13D1"/>
    <w:rsid w:val="000C1407"/>
    <w:rsid w:val="000C226C"/>
    <w:rsid w:val="000C2295"/>
    <w:rsid w:val="000C22BE"/>
    <w:rsid w:val="000C41DF"/>
    <w:rsid w:val="000C4A40"/>
    <w:rsid w:val="000C4E51"/>
    <w:rsid w:val="000C51A5"/>
    <w:rsid w:val="000C5B39"/>
    <w:rsid w:val="000C74C9"/>
    <w:rsid w:val="000D06CB"/>
    <w:rsid w:val="000D06F5"/>
    <w:rsid w:val="000D167A"/>
    <w:rsid w:val="000D16FB"/>
    <w:rsid w:val="000D1C7C"/>
    <w:rsid w:val="000D1F5A"/>
    <w:rsid w:val="000D2355"/>
    <w:rsid w:val="000D253B"/>
    <w:rsid w:val="000D27E9"/>
    <w:rsid w:val="000D2FC7"/>
    <w:rsid w:val="000D3028"/>
    <w:rsid w:val="000D38A7"/>
    <w:rsid w:val="000D3B1A"/>
    <w:rsid w:val="000D4338"/>
    <w:rsid w:val="000D58C0"/>
    <w:rsid w:val="000D5BDD"/>
    <w:rsid w:val="000D630F"/>
    <w:rsid w:val="000D633B"/>
    <w:rsid w:val="000D6A04"/>
    <w:rsid w:val="000D6FD9"/>
    <w:rsid w:val="000E001B"/>
    <w:rsid w:val="000E0496"/>
    <w:rsid w:val="000E09ED"/>
    <w:rsid w:val="000E25FF"/>
    <w:rsid w:val="000E348C"/>
    <w:rsid w:val="000E3ACD"/>
    <w:rsid w:val="000E4074"/>
    <w:rsid w:val="000E40CA"/>
    <w:rsid w:val="000E426E"/>
    <w:rsid w:val="000E43B1"/>
    <w:rsid w:val="000E4C06"/>
    <w:rsid w:val="000E6251"/>
    <w:rsid w:val="000E69BA"/>
    <w:rsid w:val="000E7663"/>
    <w:rsid w:val="000E7F07"/>
    <w:rsid w:val="000F0B4E"/>
    <w:rsid w:val="000F115E"/>
    <w:rsid w:val="000F145F"/>
    <w:rsid w:val="000F15DF"/>
    <w:rsid w:val="000F41BC"/>
    <w:rsid w:val="000F4E85"/>
    <w:rsid w:val="000F4F18"/>
    <w:rsid w:val="000F52CD"/>
    <w:rsid w:val="000F5E62"/>
    <w:rsid w:val="000F6C2C"/>
    <w:rsid w:val="000F700F"/>
    <w:rsid w:val="000F70C1"/>
    <w:rsid w:val="000F70C8"/>
    <w:rsid w:val="000F750E"/>
    <w:rsid w:val="000F7D73"/>
    <w:rsid w:val="0010004E"/>
    <w:rsid w:val="00100638"/>
    <w:rsid w:val="00100D0E"/>
    <w:rsid w:val="001011FD"/>
    <w:rsid w:val="00101EC1"/>
    <w:rsid w:val="0010268F"/>
    <w:rsid w:val="00102B4D"/>
    <w:rsid w:val="001033DA"/>
    <w:rsid w:val="001040DE"/>
    <w:rsid w:val="0010628D"/>
    <w:rsid w:val="0010688E"/>
    <w:rsid w:val="00107CAD"/>
    <w:rsid w:val="00110795"/>
    <w:rsid w:val="0011154A"/>
    <w:rsid w:val="0011233F"/>
    <w:rsid w:val="001137AE"/>
    <w:rsid w:val="001140D0"/>
    <w:rsid w:val="001141BD"/>
    <w:rsid w:val="00114E61"/>
    <w:rsid w:val="001155D6"/>
    <w:rsid w:val="0011636C"/>
    <w:rsid w:val="00116723"/>
    <w:rsid w:val="00116AE7"/>
    <w:rsid w:val="00117381"/>
    <w:rsid w:val="00117822"/>
    <w:rsid w:val="001203E7"/>
    <w:rsid w:val="0012056F"/>
    <w:rsid w:val="00122897"/>
    <w:rsid w:val="001229DE"/>
    <w:rsid w:val="001234EB"/>
    <w:rsid w:val="00123E6B"/>
    <w:rsid w:val="00123EFD"/>
    <w:rsid w:val="00125087"/>
    <w:rsid w:val="0012587A"/>
    <w:rsid w:val="0013029D"/>
    <w:rsid w:val="00131B3F"/>
    <w:rsid w:val="00132647"/>
    <w:rsid w:val="001326C6"/>
    <w:rsid w:val="001330E3"/>
    <w:rsid w:val="0013477E"/>
    <w:rsid w:val="00136C7A"/>
    <w:rsid w:val="001377DA"/>
    <w:rsid w:val="00137AA8"/>
    <w:rsid w:val="00137ADB"/>
    <w:rsid w:val="00137B91"/>
    <w:rsid w:val="00137BE3"/>
    <w:rsid w:val="00137E20"/>
    <w:rsid w:val="00140720"/>
    <w:rsid w:val="00141986"/>
    <w:rsid w:val="00142427"/>
    <w:rsid w:val="0014248C"/>
    <w:rsid w:val="001426C4"/>
    <w:rsid w:val="00142F50"/>
    <w:rsid w:val="00143120"/>
    <w:rsid w:val="0014396A"/>
    <w:rsid w:val="00143F1D"/>
    <w:rsid w:val="001469A6"/>
    <w:rsid w:val="00146ADC"/>
    <w:rsid w:val="00147B02"/>
    <w:rsid w:val="00150059"/>
    <w:rsid w:val="001502CC"/>
    <w:rsid w:val="001554DD"/>
    <w:rsid w:val="00155651"/>
    <w:rsid w:val="001560D6"/>
    <w:rsid w:val="00156DAC"/>
    <w:rsid w:val="00157E37"/>
    <w:rsid w:val="001606D6"/>
    <w:rsid w:val="00160888"/>
    <w:rsid w:val="001611C4"/>
    <w:rsid w:val="00161662"/>
    <w:rsid w:val="00163A38"/>
    <w:rsid w:val="00164384"/>
    <w:rsid w:val="00165020"/>
    <w:rsid w:val="0016673D"/>
    <w:rsid w:val="00167D5F"/>
    <w:rsid w:val="00170533"/>
    <w:rsid w:val="001710DA"/>
    <w:rsid w:val="00172290"/>
    <w:rsid w:val="001725F0"/>
    <w:rsid w:val="00173CED"/>
    <w:rsid w:val="001741D3"/>
    <w:rsid w:val="00176F93"/>
    <w:rsid w:val="001775D3"/>
    <w:rsid w:val="00177F4C"/>
    <w:rsid w:val="00180138"/>
    <w:rsid w:val="00180913"/>
    <w:rsid w:val="00181052"/>
    <w:rsid w:val="00182088"/>
    <w:rsid w:val="00182911"/>
    <w:rsid w:val="00182F03"/>
    <w:rsid w:val="00183E23"/>
    <w:rsid w:val="0018424B"/>
    <w:rsid w:val="00184340"/>
    <w:rsid w:val="00186210"/>
    <w:rsid w:val="0018699F"/>
    <w:rsid w:val="0018778C"/>
    <w:rsid w:val="00187A01"/>
    <w:rsid w:val="00191E0E"/>
    <w:rsid w:val="00194755"/>
    <w:rsid w:val="00194EBD"/>
    <w:rsid w:val="00195377"/>
    <w:rsid w:val="00197252"/>
    <w:rsid w:val="00197697"/>
    <w:rsid w:val="00197F64"/>
    <w:rsid w:val="001A04BE"/>
    <w:rsid w:val="001A08E2"/>
    <w:rsid w:val="001A22BD"/>
    <w:rsid w:val="001A3034"/>
    <w:rsid w:val="001A32E3"/>
    <w:rsid w:val="001A43E9"/>
    <w:rsid w:val="001A4EEC"/>
    <w:rsid w:val="001A59A4"/>
    <w:rsid w:val="001A63AE"/>
    <w:rsid w:val="001A7F9A"/>
    <w:rsid w:val="001B0FF3"/>
    <w:rsid w:val="001B725D"/>
    <w:rsid w:val="001B7973"/>
    <w:rsid w:val="001B7CE6"/>
    <w:rsid w:val="001C1A9A"/>
    <w:rsid w:val="001C3C52"/>
    <w:rsid w:val="001C4CAF"/>
    <w:rsid w:val="001C4DFD"/>
    <w:rsid w:val="001C5F68"/>
    <w:rsid w:val="001C63F1"/>
    <w:rsid w:val="001C6679"/>
    <w:rsid w:val="001C6E84"/>
    <w:rsid w:val="001C6F70"/>
    <w:rsid w:val="001C71A1"/>
    <w:rsid w:val="001C79BB"/>
    <w:rsid w:val="001C7A6D"/>
    <w:rsid w:val="001C7D16"/>
    <w:rsid w:val="001D0332"/>
    <w:rsid w:val="001D070F"/>
    <w:rsid w:val="001D109E"/>
    <w:rsid w:val="001D130E"/>
    <w:rsid w:val="001D4492"/>
    <w:rsid w:val="001D46CD"/>
    <w:rsid w:val="001D4833"/>
    <w:rsid w:val="001D5025"/>
    <w:rsid w:val="001D51C0"/>
    <w:rsid w:val="001D63C0"/>
    <w:rsid w:val="001D66A9"/>
    <w:rsid w:val="001D66E0"/>
    <w:rsid w:val="001D7806"/>
    <w:rsid w:val="001E0606"/>
    <w:rsid w:val="001E15AF"/>
    <w:rsid w:val="001E1E04"/>
    <w:rsid w:val="001E2427"/>
    <w:rsid w:val="001E2508"/>
    <w:rsid w:val="001E258A"/>
    <w:rsid w:val="001E338A"/>
    <w:rsid w:val="001E4BC8"/>
    <w:rsid w:val="001E5085"/>
    <w:rsid w:val="001E6F56"/>
    <w:rsid w:val="001E71AC"/>
    <w:rsid w:val="001E72BC"/>
    <w:rsid w:val="001E7AE1"/>
    <w:rsid w:val="001F1181"/>
    <w:rsid w:val="001F17EC"/>
    <w:rsid w:val="001F227B"/>
    <w:rsid w:val="001F2616"/>
    <w:rsid w:val="001F2ABF"/>
    <w:rsid w:val="001F2FBC"/>
    <w:rsid w:val="001F3187"/>
    <w:rsid w:val="001F4212"/>
    <w:rsid w:val="001F461F"/>
    <w:rsid w:val="001F6320"/>
    <w:rsid w:val="001F6630"/>
    <w:rsid w:val="00200E98"/>
    <w:rsid w:val="0020138B"/>
    <w:rsid w:val="00202428"/>
    <w:rsid w:val="0020301F"/>
    <w:rsid w:val="00203046"/>
    <w:rsid w:val="00203DEC"/>
    <w:rsid w:val="0020494F"/>
    <w:rsid w:val="002068E6"/>
    <w:rsid w:val="00211040"/>
    <w:rsid w:val="00211F9F"/>
    <w:rsid w:val="00212427"/>
    <w:rsid w:val="002131E0"/>
    <w:rsid w:val="00213A14"/>
    <w:rsid w:val="00214B90"/>
    <w:rsid w:val="00214D42"/>
    <w:rsid w:val="00215703"/>
    <w:rsid w:val="002159B3"/>
    <w:rsid w:val="00217A20"/>
    <w:rsid w:val="002210C0"/>
    <w:rsid w:val="002211D8"/>
    <w:rsid w:val="00221F31"/>
    <w:rsid w:val="00222116"/>
    <w:rsid w:val="00222860"/>
    <w:rsid w:val="00222A08"/>
    <w:rsid w:val="0022300D"/>
    <w:rsid w:val="00223A14"/>
    <w:rsid w:val="00224C40"/>
    <w:rsid w:val="00224E27"/>
    <w:rsid w:val="00226915"/>
    <w:rsid w:val="002314FD"/>
    <w:rsid w:val="002333B8"/>
    <w:rsid w:val="00233587"/>
    <w:rsid w:val="0023392F"/>
    <w:rsid w:val="00233B01"/>
    <w:rsid w:val="00234010"/>
    <w:rsid w:val="00235FEF"/>
    <w:rsid w:val="002361BE"/>
    <w:rsid w:val="0023622F"/>
    <w:rsid w:val="002370D6"/>
    <w:rsid w:val="002379D3"/>
    <w:rsid w:val="002401B1"/>
    <w:rsid w:val="002406C0"/>
    <w:rsid w:val="002408B1"/>
    <w:rsid w:val="002409CB"/>
    <w:rsid w:val="00242A91"/>
    <w:rsid w:val="00243B44"/>
    <w:rsid w:val="002446E8"/>
    <w:rsid w:val="002447D1"/>
    <w:rsid w:val="00244D08"/>
    <w:rsid w:val="00244DCD"/>
    <w:rsid w:val="00244F2E"/>
    <w:rsid w:val="002451EE"/>
    <w:rsid w:val="002452F2"/>
    <w:rsid w:val="00245C9B"/>
    <w:rsid w:val="00246D29"/>
    <w:rsid w:val="00247545"/>
    <w:rsid w:val="00247F8B"/>
    <w:rsid w:val="002501E8"/>
    <w:rsid w:val="00250C1F"/>
    <w:rsid w:val="00251CEC"/>
    <w:rsid w:val="002521CD"/>
    <w:rsid w:val="002524CE"/>
    <w:rsid w:val="00252AC2"/>
    <w:rsid w:val="00253AF9"/>
    <w:rsid w:val="0025420E"/>
    <w:rsid w:val="00255035"/>
    <w:rsid w:val="002564E9"/>
    <w:rsid w:val="00256E91"/>
    <w:rsid w:val="00257CD7"/>
    <w:rsid w:val="002628DD"/>
    <w:rsid w:val="00262B4C"/>
    <w:rsid w:val="002630BE"/>
    <w:rsid w:val="00263E14"/>
    <w:rsid w:val="0026417D"/>
    <w:rsid w:val="002643F2"/>
    <w:rsid w:val="0026484A"/>
    <w:rsid w:val="00264A81"/>
    <w:rsid w:val="00265211"/>
    <w:rsid w:val="00266120"/>
    <w:rsid w:val="0026774E"/>
    <w:rsid w:val="00270E88"/>
    <w:rsid w:val="00273723"/>
    <w:rsid w:val="00273C26"/>
    <w:rsid w:val="00273D06"/>
    <w:rsid w:val="00274A57"/>
    <w:rsid w:val="00275F0D"/>
    <w:rsid w:val="00276210"/>
    <w:rsid w:val="002773E8"/>
    <w:rsid w:val="00277AE1"/>
    <w:rsid w:val="00277E92"/>
    <w:rsid w:val="0028013D"/>
    <w:rsid w:val="00280536"/>
    <w:rsid w:val="00281110"/>
    <w:rsid w:val="0028164D"/>
    <w:rsid w:val="00281720"/>
    <w:rsid w:val="002817F4"/>
    <w:rsid w:val="00281BFF"/>
    <w:rsid w:val="00281D58"/>
    <w:rsid w:val="00282717"/>
    <w:rsid w:val="002833A3"/>
    <w:rsid w:val="00283AA9"/>
    <w:rsid w:val="00284C47"/>
    <w:rsid w:val="00284E14"/>
    <w:rsid w:val="00285780"/>
    <w:rsid w:val="00285BF7"/>
    <w:rsid w:val="00285E77"/>
    <w:rsid w:val="002868C1"/>
    <w:rsid w:val="0029022F"/>
    <w:rsid w:val="002922BF"/>
    <w:rsid w:val="00292FC0"/>
    <w:rsid w:val="002932E6"/>
    <w:rsid w:val="002946D1"/>
    <w:rsid w:val="00294A39"/>
    <w:rsid w:val="00296039"/>
    <w:rsid w:val="002967E4"/>
    <w:rsid w:val="002A0026"/>
    <w:rsid w:val="002A0610"/>
    <w:rsid w:val="002A0945"/>
    <w:rsid w:val="002A09B6"/>
    <w:rsid w:val="002A317E"/>
    <w:rsid w:val="002A44FF"/>
    <w:rsid w:val="002A4AB3"/>
    <w:rsid w:val="002A584D"/>
    <w:rsid w:val="002A62D7"/>
    <w:rsid w:val="002A733D"/>
    <w:rsid w:val="002A75A5"/>
    <w:rsid w:val="002A7ED3"/>
    <w:rsid w:val="002B0EF7"/>
    <w:rsid w:val="002B1386"/>
    <w:rsid w:val="002B1981"/>
    <w:rsid w:val="002B241D"/>
    <w:rsid w:val="002B2707"/>
    <w:rsid w:val="002B2F56"/>
    <w:rsid w:val="002B3F1E"/>
    <w:rsid w:val="002B5B3F"/>
    <w:rsid w:val="002B715D"/>
    <w:rsid w:val="002C098A"/>
    <w:rsid w:val="002C29FD"/>
    <w:rsid w:val="002C2CDA"/>
    <w:rsid w:val="002C4583"/>
    <w:rsid w:val="002C4601"/>
    <w:rsid w:val="002C59C0"/>
    <w:rsid w:val="002C6A8B"/>
    <w:rsid w:val="002C6F34"/>
    <w:rsid w:val="002D009B"/>
    <w:rsid w:val="002D12B5"/>
    <w:rsid w:val="002D2108"/>
    <w:rsid w:val="002D2388"/>
    <w:rsid w:val="002D289B"/>
    <w:rsid w:val="002D54B2"/>
    <w:rsid w:val="002D6388"/>
    <w:rsid w:val="002D6479"/>
    <w:rsid w:val="002D6937"/>
    <w:rsid w:val="002D6D05"/>
    <w:rsid w:val="002D6F2A"/>
    <w:rsid w:val="002D706F"/>
    <w:rsid w:val="002D726E"/>
    <w:rsid w:val="002D75B8"/>
    <w:rsid w:val="002D7DEE"/>
    <w:rsid w:val="002E0CA4"/>
    <w:rsid w:val="002E1212"/>
    <w:rsid w:val="002E23B9"/>
    <w:rsid w:val="002E389B"/>
    <w:rsid w:val="002E4D43"/>
    <w:rsid w:val="002E5905"/>
    <w:rsid w:val="002E5D85"/>
    <w:rsid w:val="002E767C"/>
    <w:rsid w:val="002F0378"/>
    <w:rsid w:val="002F0C66"/>
    <w:rsid w:val="002F0E6F"/>
    <w:rsid w:val="002F1412"/>
    <w:rsid w:val="002F3427"/>
    <w:rsid w:val="002F363D"/>
    <w:rsid w:val="002F4775"/>
    <w:rsid w:val="002F4B9F"/>
    <w:rsid w:val="002F52C9"/>
    <w:rsid w:val="002F6EBC"/>
    <w:rsid w:val="002F7E7F"/>
    <w:rsid w:val="00301B1D"/>
    <w:rsid w:val="00301E73"/>
    <w:rsid w:val="00302114"/>
    <w:rsid w:val="00302C9A"/>
    <w:rsid w:val="003042F7"/>
    <w:rsid w:val="0030517F"/>
    <w:rsid w:val="003052A2"/>
    <w:rsid w:val="0030539A"/>
    <w:rsid w:val="00305566"/>
    <w:rsid w:val="00306853"/>
    <w:rsid w:val="00307C7F"/>
    <w:rsid w:val="00310A06"/>
    <w:rsid w:val="00310B4B"/>
    <w:rsid w:val="003118A2"/>
    <w:rsid w:val="003119B8"/>
    <w:rsid w:val="003130A1"/>
    <w:rsid w:val="00314888"/>
    <w:rsid w:val="00314999"/>
    <w:rsid w:val="0031509D"/>
    <w:rsid w:val="003159FD"/>
    <w:rsid w:val="00316C05"/>
    <w:rsid w:val="00316DAE"/>
    <w:rsid w:val="00316FE6"/>
    <w:rsid w:val="003202FD"/>
    <w:rsid w:val="00321265"/>
    <w:rsid w:val="003212EF"/>
    <w:rsid w:val="0032140F"/>
    <w:rsid w:val="0032226D"/>
    <w:rsid w:val="003228F5"/>
    <w:rsid w:val="003237D2"/>
    <w:rsid w:val="00325EB5"/>
    <w:rsid w:val="0032603C"/>
    <w:rsid w:val="00326B3D"/>
    <w:rsid w:val="003300C5"/>
    <w:rsid w:val="00330D7C"/>
    <w:rsid w:val="00330FBB"/>
    <w:rsid w:val="003316DF"/>
    <w:rsid w:val="003320BB"/>
    <w:rsid w:val="00333F99"/>
    <w:rsid w:val="003348A0"/>
    <w:rsid w:val="00336C28"/>
    <w:rsid w:val="00337628"/>
    <w:rsid w:val="00337A7F"/>
    <w:rsid w:val="00340045"/>
    <w:rsid w:val="0034101C"/>
    <w:rsid w:val="00341BB8"/>
    <w:rsid w:val="003420CF"/>
    <w:rsid w:val="00342755"/>
    <w:rsid w:val="00343705"/>
    <w:rsid w:val="00343CB6"/>
    <w:rsid w:val="00345281"/>
    <w:rsid w:val="0034578A"/>
    <w:rsid w:val="003458DD"/>
    <w:rsid w:val="00345D3B"/>
    <w:rsid w:val="00346B8F"/>
    <w:rsid w:val="00347607"/>
    <w:rsid w:val="003476FF"/>
    <w:rsid w:val="00350D07"/>
    <w:rsid w:val="003512E8"/>
    <w:rsid w:val="0035206D"/>
    <w:rsid w:val="00352B4D"/>
    <w:rsid w:val="003532FA"/>
    <w:rsid w:val="00354080"/>
    <w:rsid w:val="003542AC"/>
    <w:rsid w:val="00354D4B"/>
    <w:rsid w:val="0035618E"/>
    <w:rsid w:val="003567C0"/>
    <w:rsid w:val="003572D1"/>
    <w:rsid w:val="00360585"/>
    <w:rsid w:val="00363ABA"/>
    <w:rsid w:val="003641E4"/>
    <w:rsid w:val="00364F85"/>
    <w:rsid w:val="0036541A"/>
    <w:rsid w:val="00366467"/>
    <w:rsid w:val="0036723A"/>
    <w:rsid w:val="0036727B"/>
    <w:rsid w:val="00367312"/>
    <w:rsid w:val="003677FB"/>
    <w:rsid w:val="00367A29"/>
    <w:rsid w:val="00367BC5"/>
    <w:rsid w:val="00370F86"/>
    <w:rsid w:val="00371172"/>
    <w:rsid w:val="00371B0F"/>
    <w:rsid w:val="00372120"/>
    <w:rsid w:val="003741FD"/>
    <w:rsid w:val="00374AF0"/>
    <w:rsid w:val="00375D11"/>
    <w:rsid w:val="00376121"/>
    <w:rsid w:val="003779F7"/>
    <w:rsid w:val="00377AB0"/>
    <w:rsid w:val="003805A0"/>
    <w:rsid w:val="003820B9"/>
    <w:rsid w:val="00382D05"/>
    <w:rsid w:val="00383660"/>
    <w:rsid w:val="003836CF"/>
    <w:rsid w:val="00383798"/>
    <w:rsid w:val="00384DEC"/>
    <w:rsid w:val="00387DE0"/>
    <w:rsid w:val="0039099D"/>
    <w:rsid w:val="003916B5"/>
    <w:rsid w:val="00392BAD"/>
    <w:rsid w:val="00392D98"/>
    <w:rsid w:val="003934F2"/>
    <w:rsid w:val="00394CDD"/>
    <w:rsid w:val="00395100"/>
    <w:rsid w:val="00395B8C"/>
    <w:rsid w:val="00396258"/>
    <w:rsid w:val="00396D76"/>
    <w:rsid w:val="003971FA"/>
    <w:rsid w:val="00397BAF"/>
    <w:rsid w:val="003A07B8"/>
    <w:rsid w:val="003A1D04"/>
    <w:rsid w:val="003A2130"/>
    <w:rsid w:val="003A30AB"/>
    <w:rsid w:val="003A3B4E"/>
    <w:rsid w:val="003A4245"/>
    <w:rsid w:val="003A49DF"/>
    <w:rsid w:val="003A6FBF"/>
    <w:rsid w:val="003A709C"/>
    <w:rsid w:val="003A79C0"/>
    <w:rsid w:val="003B1CDF"/>
    <w:rsid w:val="003B1FA7"/>
    <w:rsid w:val="003B231E"/>
    <w:rsid w:val="003B2374"/>
    <w:rsid w:val="003B3DC5"/>
    <w:rsid w:val="003B43D8"/>
    <w:rsid w:val="003B4B56"/>
    <w:rsid w:val="003B5148"/>
    <w:rsid w:val="003B5818"/>
    <w:rsid w:val="003B5E10"/>
    <w:rsid w:val="003B6612"/>
    <w:rsid w:val="003B74FC"/>
    <w:rsid w:val="003C24C4"/>
    <w:rsid w:val="003C261C"/>
    <w:rsid w:val="003C27C4"/>
    <w:rsid w:val="003C28A5"/>
    <w:rsid w:val="003C2F55"/>
    <w:rsid w:val="003C347D"/>
    <w:rsid w:val="003C39A7"/>
    <w:rsid w:val="003C466D"/>
    <w:rsid w:val="003C57A7"/>
    <w:rsid w:val="003C6757"/>
    <w:rsid w:val="003C6A82"/>
    <w:rsid w:val="003C7A12"/>
    <w:rsid w:val="003C7B4D"/>
    <w:rsid w:val="003D2ADD"/>
    <w:rsid w:val="003D38C7"/>
    <w:rsid w:val="003D3A57"/>
    <w:rsid w:val="003D3A7F"/>
    <w:rsid w:val="003D741A"/>
    <w:rsid w:val="003E0160"/>
    <w:rsid w:val="003E10D8"/>
    <w:rsid w:val="003E17AD"/>
    <w:rsid w:val="003E277F"/>
    <w:rsid w:val="003E309D"/>
    <w:rsid w:val="003E4359"/>
    <w:rsid w:val="003E5A30"/>
    <w:rsid w:val="003E5EF2"/>
    <w:rsid w:val="003E7BAA"/>
    <w:rsid w:val="003E7F0E"/>
    <w:rsid w:val="003F00D7"/>
    <w:rsid w:val="003F1C84"/>
    <w:rsid w:val="003F2035"/>
    <w:rsid w:val="003F2587"/>
    <w:rsid w:val="003F25E2"/>
    <w:rsid w:val="003F42A4"/>
    <w:rsid w:val="003F51E3"/>
    <w:rsid w:val="003F560A"/>
    <w:rsid w:val="003F7F29"/>
    <w:rsid w:val="004017E5"/>
    <w:rsid w:val="00403E79"/>
    <w:rsid w:val="0040406D"/>
    <w:rsid w:val="00405536"/>
    <w:rsid w:val="004100DE"/>
    <w:rsid w:val="00410B17"/>
    <w:rsid w:val="004111A1"/>
    <w:rsid w:val="004119D3"/>
    <w:rsid w:val="00411B75"/>
    <w:rsid w:val="00413198"/>
    <w:rsid w:val="00415279"/>
    <w:rsid w:val="004161E4"/>
    <w:rsid w:val="0041689A"/>
    <w:rsid w:val="00416DB1"/>
    <w:rsid w:val="004175A3"/>
    <w:rsid w:val="00417A3F"/>
    <w:rsid w:val="00417DB5"/>
    <w:rsid w:val="004206E1"/>
    <w:rsid w:val="004207F8"/>
    <w:rsid w:val="004220D7"/>
    <w:rsid w:val="00422DCE"/>
    <w:rsid w:val="00422E4F"/>
    <w:rsid w:val="00423805"/>
    <w:rsid w:val="004259E8"/>
    <w:rsid w:val="00426FA5"/>
    <w:rsid w:val="0042784A"/>
    <w:rsid w:val="00427A81"/>
    <w:rsid w:val="00427D11"/>
    <w:rsid w:val="0043006D"/>
    <w:rsid w:val="00430342"/>
    <w:rsid w:val="00430A60"/>
    <w:rsid w:val="00431546"/>
    <w:rsid w:val="0043307A"/>
    <w:rsid w:val="00434694"/>
    <w:rsid w:val="00434E36"/>
    <w:rsid w:val="004354E1"/>
    <w:rsid w:val="00437BD1"/>
    <w:rsid w:val="00440184"/>
    <w:rsid w:val="0044126A"/>
    <w:rsid w:val="0044165B"/>
    <w:rsid w:val="0044191B"/>
    <w:rsid w:val="00441B32"/>
    <w:rsid w:val="0044386A"/>
    <w:rsid w:val="00443A0D"/>
    <w:rsid w:val="00443A65"/>
    <w:rsid w:val="00443AA8"/>
    <w:rsid w:val="00443CB9"/>
    <w:rsid w:val="0044454A"/>
    <w:rsid w:val="00444D85"/>
    <w:rsid w:val="00445856"/>
    <w:rsid w:val="00446CA1"/>
    <w:rsid w:val="00450AB2"/>
    <w:rsid w:val="00452D97"/>
    <w:rsid w:val="00452E40"/>
    <w:rsid w:val="004541E1"/>
    <w:rsid w:val="00455E60"/>
    <w:rsid w:val="00456777"/>
    <w:rsid w:val="00456965"/>
    <w:rsid w:val="0046114F"/>
    <w:rsid w:val="004618C8"/>
    <w:rsid w:val="00461E88"/>
    <w:rsid w:val="00461F16"/>
    <w:rsid w:val="0046318B"/>
    <w:rsid w:val="00463461"/>
    <w:rsid w:val="004640AB"/>
    <w:rsid w:val="0046461C"/>
    <w:rsid w:val="00465531"/>
    <w:rsid w:val="004666F1"/>
    <w:rsid w:val="0046682E"/>
    <w:rsid w:val="00470573"/>
    <w:rsid w:val="00470A03"/>
    <w:rsid w:val="00470C5A"/>
    <w:rsid w:val="00471045"/>
    <w:rsid w:val="00472B38"/>
    <w:rsid w:val="004733FB"/>
    <w:rsid w:val="0047357D"/>
    <w:rsid w:val="00473E19"/>
    <w:rsid w:val="0047423D"/>
    <w:rsid w:val="00475009"/>
    <w:rsid w:val="00475182"/>
    <w:rsid w:val="0047689D"/>
    <w:rsid w:val="00477590"/>
    <w:rsid w:val="00477DED"/>
    <w:rsid w:val="00480F1F"/>
    <w:rsid w:val="0048130A"/>
    <w:rsid w:val="004814F7"/>
    <w:rsid w:val="004825C6"/>
    <w:rsid w:val="00483893"/>
    <w:rsid w:val="00484073"/>
    <w:rsid w:val="00484901"/>
    <w:rsid w:val="00484934"/>
    <w:rsid w:val="0048494B"/>
    <w:rsid w:val="0048586D"/>
    <w:rsid w:val="00485F10"/>
    <w:rsid w:val="0048642B"/>
    <w:rsid w:val="00486747"/>
    <w:rsid w:val="00486C6F"/>
    <w:rsid w:val="004903AD"/>
    <w:rsid w:val="00490804"/>
    <w:rsid w:val="004908A9"/>
    <w:rsid w:val="00490D96"/>
    <w:rsid w:val="004922D4"/>
    <w:rsid w:val="0049231C"/>
    <w:rsid w:val="0049240C"/>
    <w:rsid w:val="00493D76"/>
    <w:rsid w:val="0049466A"/>
    <w:rsid w:val="00494B61"/>
    <w:rsid w:val="004956B2"/>
    <w:rsid w:val="004970EB"/>
    <w:rsid w:val="004A0511"/>
    <w:rsid w:val="004A0D82"/>
    <w:rsid w:val="004A1622"/>
    <w:rsid w:val="004A3E25"/>
    <w:rsid w:val="004A3F95"/>
    <w:rsid w:val="004A4122"/>
    <w:rsid w:val="004A4965"/>
    <w:rsid w:val="004A5660"/>
    <w:rsid w:val="004A583B"/>
    <w:rsid w:val="004A5996"/>
    <w:rsid w:val="004A5AD1"/>
    <w:rsid w:val="004A6E76"/>
    <w:rsid w:val="004A7F9C"/>
    <w:rsid w:val="004B0211"/>
    <w:rsid w:val="004B13B3"/>
    <w:rsid w:val="004B1424"/>
    <w:rsid w:val="004B179D"/>
    <w:rsid w:val="004B1C55"/>
    <w:rsid w:val="004B2330"/>
    <w:rsid w:val="004B2E50"/>
    <w:rsid w:val="004B312E"/>
    <w:rsid w:val="004B3ACD"/>
    <w:rsid w:val="004B4E16"/>
    <w:rsid w:val="004B6C9D"/>
    <w:rsid w:val="004B7ECF"/>
    <w:rsid w:val="004C0275"/>
    <w:rsid w:val="004C046C"/>
    <w:rsid w:val="004C04CB"/>
    <w:rsid w:val="004C0923"/>
    <w:rsid w:val="004C2071"/>
    <w:rsid w:val="004C2097"/>
    <w:rsid w:val="004C27F1"/>
    <w:rsid w:val="004C4033"/>
    <w:rsid w:val="004D1EF3"/>
    <w:rsid w:val="004D4695"/>
    <w:rsid w:val="004D48AD"/>
    <w:rsid w:val="004D5F7E"/>
    <w:rsid w:val="004D6171"/>
    <w:rsid w:val="004D6FD2"/>
    <w:rsid w:val="004D7559"/>
    <w:rsid w:val="004E11C5"/>
    <w:rsid w:val="004E12A8"/>
    <w:rsid w:val="004E1789"/>
    <w:rsid w:val="004E1A33"/>
    <w:rsid w:val="004E1EF7"/>
    <w:rsid w:val="004E2782"/>
    <w:rsid w:val="004E2887"/>
    <w:rsid w:val="004E31F6"/>
    <w:rsid w:val="004E3836"/>
    <w:rsid w:val="004E3A93"/>
    <w:rsid w:val="004E3B73"/>
    <w:rsid w:val="004E45D9"/>
    <w:rsid w:val="004E4CFA"/>
    <w:rsid w:val="004E6011"/>
    <w:rsid w:val="004E613C"/>
    <w:rsid w:val="004E64DB"/>
    <w:rsid w:val="004E6B5E"/>
    <w:rsid w:val="004E7582"/>
    <w:rsid w:val="004E7B3E"/>
    <w:rsid w:val="004F0B06"/>
    <w:rsid w:val="004F0FC0"/>
    <w:rsid w:val="004F125E"/>
    <w:rsid w:val="004F5464"/>
    <w:rsid w:val="004F5F34"/>
    <w:rsid w:val="004F5F6B"/>
    <w:rsid w:val="005008DD"/>
    <w:rsid w:val="00500DD8"/>
    <w:rsid w:val="00503695"/>
    <w:rsid w:val="00503C75"/>
    <w:rsid w:val="00503CC1"/>
    <w:rsid w:val="00504054"/>
    <w:rsid w:val="00505085"/>
    <w:rsid w:val="00505325"/>
    <w:rsid w:val="0050558D"/>
    <w:rsid w:val="0050587B"/>
    <w:rsid w:val="00505AC8"/>
    <w:rsid w:val="0050631F"/>
    <w:rsid w:val="00506EC3"/>
    <w:rsid w:val="0051054D"/>
    <w:rsid w:val="0051263F"/>
    <w:rsid w:val="0051494E"/>
    <w:rsid w:val="00514DEF"/>
    <w:rsid w:val="00514E78"/>
    <w:rsid w:val="00515E8F"/>
    <w:rsid w:val="005169B2"/>
    <w:rsid w:val="00516DDF"/>
    <w:rsid w:val="00517014"/>
    <w:rsid w:val="0052106B"/>
    <w:rsid w:val="005210CA"/>
    <w:rsid w:val="00521416"/>
    <w:rsid w:val="00521658"/>
    <w:rsid w:val="0052276E"/>
    <w:rsid w:val="0052385C"/>
    <w:rsid w:val="00523A16"/>
    <w:rsid w:val="005242FE"/>
    <w:rsid w:val="005247B7"/>
    <w:rsid w:val="00526FF4"/>
    <w:rsid w:val="0052721A"/>
    <w:rsid w:val="005275FC"/>
    <w:rsid w:val="005300FD"/>
    <w:rsid w:val="00530310"/>
    <w:rsid w:val="00530EF6"/>
    <w:rsid w:val="00533274"/>
    <w:rsid w:val="00533968"/>
    <w:rsid w:val="00534AAF"/>
    <w:rsid w:val="005353CD"/>
    <w:rsid w:val="00535995"/>
    <w:rsid w:val="005359F9"/>
    <w:rsid w:val="005378E8"/>
    <w:rsid w:val="0054069E"/>
    <w:rsid w:val="00540AFE"/>
    <w:rsid w:val="00540D6E"/>
    <w:rsid w:val="00541226"/>
    <w:rsid w:val="0054187F"/>
    <w:rsid w:val="00541A8D"/>
    <w:rsid w:val="00542EDC"/>
    <w:rsid w:val="00543CB3"/>
    <w:rsid w:val="005443B7"/>
    <w:rsid w:val="00544D5D"/>
    <w:rsid w:val="00544F04"/>
    <w:rsid w:val="005453E4"/>
    <w:rsid w:val="005459C3"/>
    <w:rsid w:val="00546142"/>
    <w:rsid w:val="00546DF1"/>
    <w:rsid w:val="005507CB"/>
    <w:rsid w:val="00551058"/>
    <w:rsid w:val="00551AA7"/>
    <w:rsid w:val="00552CDB"/>
    <w:rsid w:val="005532DF"/>
    <w:rsid w:val="00553635"/>
    <w:rsid w:val="00554E1D"/>
    <w:rsid w:val="0055537F"/>
    <w:rsid w:val="0055608C"/>
    <w:rsid w:val="00556595"/>
    <w:rsid w:val="00556A8C"/>
    <w:rsid w:val="00556B41"/>
    <w:rsid w:val="00557237"/>
    <w:rsid w:val="005578A7"/>
    <w:rsid w:val="00557B2A"/>
    <w:rsid w:val="005602D5"/>
    <w:rsid w:val="00561728"/>
    <w:rsid w:val="0056268B"/>
    <w:rsid w:val="005641B8"/>
    <w:rsid w:val="005651D7"/>
    <w:rsid w:val="00566223"/>
    <w:rsid w:val="00566A9F"/>
    <w:rsid w:val="00567DF7"/>
    <w:rsid w:val="00567E02"/>
    <w:rsid w:val="005722FC"/>
    <w:rsid w:val="00572CC7"/>
    <w:rsid w:val="005764B2"/>
    <w:rsid w:val="00576DA2"/>
    <w:rsid w:val="0057796C"/>
    <w:rsid w:val="0058053B"/>
    <w:rsid w:val="00580670"/>
    <w:rsid w:val="0058142F"/>
    <w:rsid w:val="005815B1"/>
    <w:rsid w:val="005826E8"/>
    <w:rsid w:val="00582FB6"/>
    <w:rsid w:val="00583A1F"/>
    <w:rsid w:val="0058515D"/>
    <w:rsid w:val="0058676E"/>
    <w:rsid w:val="005874D8"/>
    <w:rsid w:val="00587E7B"/>
    <w:rsid w:val="00591008"/>
    <w:rsid w:val="0059188D"/>
    <w:rsid w:val="00592106"/>
    <w:rsid w:val="005922E0"/>
    <w:rsid w:val="00592AD8"/>
    <w:rsid w:val="00592B00"/>
    <w:rsid w:val="005932E0"/>
    <w:rsid w:val="00593391"/>
    <w:rsid w:val="00594A61"/>
    <w:rsid w:val="00594C77"/>
    <w:rsid w:val="005957E0"/>
    <w:rsid w:val="00596300"/>
    <w:rsid w:val="00597A68"/>
    <w:rsid w:val="005A2F9D"/>
    <w:rsid w:val="005A407F"/>
    <w:rsid w:val="005A52B5"/>
    <w:rsid w:val="005A64C4"/>
    <w:rsid w:val="005A6668"/>
    <w:rsid w:val="005A7C55"/>
    <w:rsid w:val="005B10D7"/>
    <w:rsid w:val="005B1AA8"/>
    <w:rsid w:val="005B2A74"/>
    <w:rsid w:val="005B32AA"/>
    <w:rsid w:val="005B368A"/>
    <w:rsid w:val="005B45AB"/>
    <w:rsid w:val="005B4A79"/>
    <w:rsid w:val="005B5B4F"/>
    <w:rsid w:val="005B7524"/>
    <w:rsid w:val="005B7DE2"/>
    <w:rsid w:val="005C0DC7"/>
    <w:rsid w:val="005C6829"/>
    <w:rsid w:val="005C6AE1"/>
    <w:rsid w:val="005C6E38"/>
    <w:rsid w:val="005C7684"/>
    <w:rsid w:val="005C7AF1"/>
    <w:rsid w:val="005D0B6E"/>
    <w:rsid w:val="005D0C74"/>
    <w:rsid w:val="005D1D6D"/>
    <w:rsid w:val="005D1F83"/>
    <w:rsid w:val="005D2156"/>
    <w:rsid w:val="005D2995"/>
    <w:rsid w:val="005D3A0C"/>
    <w:rsid w:val="005D3E37"/>
    <w:rsid w:val="005D498C"/>
    <w:rsid w:val="005D5DE3"/>
    <w:rsid w:val="005D6192"/>
    <w:rsid w:val="005D69DD"/>
    <w:rsid w:val="005D7F7F"/>
    <w:rsid w:val="005E050E"/>
    <w:rsid w:val="005E1867"/>
    <w:rsid w:val="005E318A"/>
    <w:rsid w:val="005E37F0"/>
    <w:rsid w:val="005E39EA"/>
    <w:rsid w:val="005E521D"/>
    <w:rsid w:val="005E52A7"/>
    <w:rsid w:val="005E5317"/>
    <w:rsid w:val="005E5F43"/>
    <w:rsid w:val="005E633F"/>
    <w:rsid w:val="005E6DE2"/>
    <w:rsid w:val="005E7594"/>
    <w:rsid w:val="005E7DAC"/>
    <w:rsid w:val="005F099F"/>
    <w:rsid w:val="005F0C6B"/>
    <w:rsid w:val="005F110B"/>
    <w:rsid w:val="005F1C9C"/>
    <w:rsid w:val="005F22C2"/>
    <w:rsid w:val="005F2A4A"/>
    <w:rsid w:val="005F38EE"/>
    <w:rsid w:val="005F3B84"/>
    <w:rsid w:val="005F4056"/>
    <w:rsid w:val="005F5651"/>
    <w:rsid w:val="005F5A22"/>
    <w:rsid w:val="005F745A"/>
    <w:rsid w:val="00601076"/>
    <w:rsid w:val="006012DA"/>
    <w:rsid w:val="00601A2F"/>
    <w:rsid w:val="006033C7"/>
    <w:rsid w:val="006042B8"/>
    <w:rsid w:val="006044E9"/>
    <w:rsid w:val="00606402"/>
    <w:rsid w:val="00606644"/>
    <w:rsid w:val="00606F5F"/>
    <w:rsid w:val="00607FD5"/>
    <w:rsid w:val="0061007F"/>
    <w:rsid w:val="006116A1"/>
    <w:rsid w:val="00612000"/>
    <w:rsid w:val="00612375"/>
    <w:rsid w:val="00612917"/>
    <w:rsid w:val="00614160"/>
    <w:rsid w:val="00614CC8"/>
    <w:rsid w:val="00614CFA"/>
    <w:rsid w:val="00616292"/>
    <w:rsid w:val="006179F5"/>
    <w:rsid w:val="0062237F"/>
    <w:rsid w:val="006225ED"/>
    <w:rsid w:val="00624355"/>
    <w:rsid w:val="006244B7"/>
    <w:rsid w:val="00624638"/>
    <w:rsid w:val="00624854"/>
    <w:rsid w:val="00624D28"/>
    <w:rsid w:val="00624FA9"/>
    <w:rsid w:val="00625778"/>
    <w:rsid w:val="0062733F"/>
    <w:rsid w:val="00627D11"/>
    <w:rsid w:val="00630129"/>
    <w:rsid w:val="00630434"/>
    <w:rsid w:val="0063090B"/>
    <w:rsid w:val="00630D0A"/>
    <w:rsid w:val="00632431"/>
    <w:rsid w:val="00632675"/>
    <w:rsid w:val="006329E7"/>
    <w:rsid w:val="0063439D"/>
    <w:rsid w:val="0063484E"/>
    <w:rsid w:val="00635913"/>
    <w:rsid w:val="00635C2B"/>
    <w:rsid w:val="00635F47"/>
    <w:rsid w:val="006402FA"/>
    <w:rsid w:val="006407FC"/>
    <w:rsid w:val="00640AE4"/>
    <w:rsid w:val="00640FF0"/>
    <w:rsid w:val="0064113E"/>
    <w:rsid w:val="00642C37"/>
    <w:rsid w:val="00643A45"/>
    <w:rsid w:val="0064440D"/>
    <w:rsid w:val="00645994"/>
    <w:rsid w:val="0064608F"/>
    <w:rsid w:val="0064688B"/>
    <w:rsid w:val="0064770F"/>
    <w:rsid w:val="00650061"/>
    <w:rsid w:val="00650BA3"/>
    <w:rsid w:val="00651903"/>
    <w:rsid w:val="0065331A"/>
    <w:rsid w:val="0065407A"/>
    <w:rsid w:val="00654517"/>
    <w:rsid w:val="00654CB1"/>
    <w:rsid w:val="0065538B"/>
    <w:rsid w:val="00655B16"/>
    <w:rsid w:val="00655FBB"/>
    <w:rsid w:val="00661508"/>
    <w:rsid w:val="00662241"/>
    <w:rsid w:val="00662FCE"/>
    <w:rsid w:val="00663B36"/>
    <w:rsid w:val="00665342"/>
    <w:rsid w:val="006657D9"/>
    <w:rsid w:val="00665B97"/>
    <w:rsid w:val="00666079"/>
    <w:rsid w:val="00666FC6"/>
    <w:rsid w:val="00666FE5"/>
    <w:rsid w:val="00667691"/>
    <w:rsid w:val="00667B90"/>
    <w:rsid w:val="0067015D"/>
    <w:rsid w:val="0067312A"/>
    <w:rsid w:val="006758FA"/>
    <w:rsid w:val="0067601A"/>
    <w:rsid w:val="00676D4C"/>
    <w:rsid w:val="00676E11"/>
    <w:rsid w:val="0067721F"/>
    <w:rsid w:val="006776D4"/>
    <w:rsid w:val="00677828"/>
    <w:rsid w:val="006813C6"/>
    <w:rsid w:val="006819D7"/>
    <w:rsid w:val="00682788"/>
    <w:rsid w:val="00682AA7"/>
    <w:rsid w:val="0068317C"/>
    <w:rsid w:val="00684ADA"/>
    <w:rsid w:val="00685378"/>
    <w:rsid w:val="00685C56"/>
    <w:rsid w:val="00685C81"/>
    <w:rsid w:val="0068642A"/>
    <w:rsid w:val="00686437"/>
    <w:rsid w:val="00686CBD"/>
    <w:rsid w:val="00687FBA"/>
    <w:rsid w:val="00691B85"/>
    <w:rsid w:val="0069227D"/>
    <w:rsid w:val="00693539"/>
    <w:rsid w:val="006941CA"/>
    <w:rsid w:val="00695570"/>
    <w:rsid w:val="0069575E"/>
    <w:rsid w:val="00695DA0"/>
    <w:rsid w:val="00695DDB"/>
    <w:rsid w:val="00696996"/>
    <w:rsid w:val="006A0117"/>
    <w:rsid w:val="006A0A07"/>
    <w:rsid w:val="006A0D75"/>
    <w:rsid w:val="006A2E24"/>
    <w:rsid w:val="006A571E"/>
    <w:rsid w:val="006A57EA"/>
    <w:rsid w:val="006A6B04"/>
    <w:rsid w:val="006A750A"/>
    <w:rsid w:val="006A7954"/>
    <w:rsid w:val="006A7EBB"/>
    <w:rsid w:val="006B014E"/>
    <w:rsid w:val="006B039D"/>
    <w:rsid w:val="006B06CA"/>
    <w:rsid w:val="006B0BB5"/>
    <w:rsid w:val="006B0C19"/>
    <w:rsid w:val="006B101D"/>
    <w:rsid w:val="006B1D20"/>
    <w:rsid w:val="006B4AD6"/>
    <w:rsid w:val="006B4B3C"/>
    <w:rsid w:val="006B7FA7"/>
    <w:rsid w:val="006C0481"/>
    <w:rsid w:val="006C14A0"/>
    <w:rsid w:val="006C15A6"/>
    <w:rsid w:val="006C1772"/>
    <w:rsid w:val="006C17CE"/>
    <w:rsid w:val="006C1FC4"/>
    <w:rsid w:val="006C2048"/>
    <w:rsid w:val="006C2173"/>
    <w:rsid w:val="006C240A"/>
    <w:rsid w:val="006C2FE1"/>
    <w:rsid w:val="006C3EB1"/>
    <w:rsid w:val="006C5D13"/>
    <w:rsid w:val="006C5F24"/>
    <w:rsid w:val="006C60AC"/>
    <w:rsid w:val="006D0155"/>
    <w:rsid w:val="006D0267"/>
    <w:rsid w:val="006D11DF"/>
    <w:rsid w:val="006D314F"/>
    <w:rsid w:val="006D4D27"/>
    <w:rsid w:val="006D4FB0"/>
    <w:rsid w:val="006D57BF"/>
    <w:rsid w:val="006D58E6"/>
    <w:rsid w:val="006D5B25"/>
    <w:rsid w:val="006D62AD"/>
    <w:rsid w:val="006D7C07"/>
    <w:rsid w:val="006E0CEA"/>
    <w:rsid w:val="006E0E47"/>
    <w:rsid w:val="006E1825"/>
    <w:rsid w:val="006E1914"/>
    <w:rsid w:val="006E2047"/>
    <w:rsid w:val="006E3B58"/>
    <w:rsid w:val="006E3DE3"/>
    <w:rsid w:val="006E4B0B"/>
    <w:rsid w:val="006E5816"/>
    <w:rsid w:val="006E5911"/>
    <w:rsid w:val="006E59FD"/>
    <w:rsid w:val="006E5B04"/>
    <w:rsid w:val="006E78BD"/>
    <w:rsid w:val="006E7B77"/>
    <w:rsid w:val="006F0917"/>
    <w:rsid w:val="006F0C64"/>
    <w:rsid w:val="006F1C31"/>
    <w:rsid w:val="006F2E59"/>
    <w:rsid w:val="006F385A"/>
    <w:rsid w:val="006F410A"/>
    <w:rsid w:val="006F49E6"/>
    <w:rsid w:val="006F4CB3"/>
    <w:rsid w:val="006F4FDF"/>
    <w:rsid w:val="006F551A"/>
    <w:rsid w:val="006F7F5F"/>
    <w:rsid w:val="00700588"/>
    <w:rsid w:val="007021D8"/>
    <w:rsid w:val="00702A9F"/>
    <w:rsid w:val="007032BB"/>
    <w:rsid w:val="00704004"/>
    <w:rsid w:val="007048D3"/>
    <w:rsid w:val="007069AC"/>
    <w:rsid w:val="00710904"/>
    <w:rsid w:val="00711223"/>
    <w:rsid w:val="007123C7"/>
    <w:rsid w:val="007125BA"/>
    <w:rsid w:val="00712DB0"/>
    <w:rsid w:val="00714FA7"/>
    <w:rsid w:val="00715328"/>
    <w:rsid w:val="00715C19"/>
    <w:rsid w:val="00715E9D"/>
    <w:rsid w:val="00715F25"/>
    <w:rsid w:val="007164AB"/>
    <w:rsid w:val="007169C4"/>
    <w:rsid w:val="00716E29"/>
    <w:rsid w:val="00717EE5"/>
    <w:rsid w:val="007212ED"/>
    <w:rsid w:val="00722317"/>
    <w:rsid w:val="007230FF"/>
    <w:rsid w:val="00724EF7"/>
    <w:rsid w:val="00725311"/>
    <w:rsid w:val="00725C2F"/>
    <w:rsid w:val="0072669A"/>
    <w:rsid w:val="0073058E"/>
    <w:rsid w:val="007309C0"/>
    <w:rsid w:val="00730F30"/>
    <w:rsid w:val="007321B4"/>
    <w:rsid w:val="00732781"/>
    <w:rsid w:val="00732F2E"/>
    <w:rsid w:val="007334C3"/>
    <w:rsid w:val="00733C4F"/>
    <w:rsid w:val="00733F7E"/>
    <w:rsid w:val="00735679"/>
    <w:rsid w:val="007360BE"/>
    <w:rsid w:val="00740339"/>
    <w:rsid w:val="00742665"/>
    <w:rsid w:val="00742930"/>
    <w:rsid w:val="00743202"/>
    <w:rsid w:val="00743F77"/>
    <w:rsid w:val="0074547A"/>
    <w:rsid w:val="0074649D"/>
    <w:rsid w:val="00752533"/>
    <w:rsid w:val="00753269"/>
    <w:rsid w:val="007533D9"/>
    <w:rsid w:val="007535A2"/>
    <w:rsid w:val="0075394A"/>
    <w:rsid w:val="00754328"/>
    <w:rsid w:val="0075463E"/>
    <w:rsid w:val="00754B4E"/>
    <w:rsid w:val="007554A1"/>
    <w:rsid w:val="00755C00"/>
    <w:rsid w:val="00755C18"/>
    <w:rsid w:val="007561D1"/>
    <w:rsid w:val="00756CD6"/>
    <w:rsid w:val="00757359"/>
    <w:rsid w:val="00757BB7"/>
    <w:rsid w:val="00757D2F"/>
    <w:rsid w:val="00757DB1"/>
    <w:rsid w:val="00757F08"/>
    <w:rsid w:val="0076111D"/>
    <w:rsid w:val="007628E3"/>
    <w:rsid w:val="00762F9F"/>
    <w:rsid w:val="0076540A"/>
    <w:rsid w:val="007655D8"/>
    <w:rsid w:val="00766235"/>
    <w:rsid w:val="00766289"/>
    <w:rsid w:val="0076776F"/>
    <w:rsid w:val="00767C58"/>
    <w:rsid w:val="00767E21"/>
    <w:rsid w:val="00767E66"/>
    <w:rsid w:val="00770941"/>
    <w:rsid w:val="00770F1D"/>
    <w:rsid w:val="00771BF6"/>
    <w:rsid w:val="007727DA"/>
    <w:rsid w:val="0077409E"/>
    <w:rsid w:val="00774C38"/>
    <w:rsid w:val="00775D4C"/>
    <w:rsid w:val="00775F30"/>
    <w:rsid w:val="007760E1"/>
    <w:rsid w:val="007776FD"/>
    <w:rsid w:val="00780FBC"/>
    <w:rsid w:val="007811B6"/>
    <w:rsid w:val="007815EC"/>
    <w:rsid w:val="0078267E"/>
    <w:rsid w:val="007827C9"/>
    <w:rsid w:val="00782AF0"/>
    <w:rsid w:val="00782B2B"/>
    <w:rsid w:val="00782BD4"/>
    <w:rsid w:val="0078319E"/>
    <w:rsid w:val="00783CF1"/>
    <w:rsid w:val="007844C0"/>
    <w:rsid w:val="007845C4"/>
    <w:rsid w:val="007848E9"/>
    <w:rsid w:val="007853A7"/>
    <w:rsid w:val="00785624"/>
    <w:rsid w:val="007860BB"/>
    <w:rsid w:val="007861BF"/>
    <w:rsid w:val="007872D4"/>
    <w:rsid w:val="00787C89"/>
    <w:rsid w:val="00787EC7"/>
    <w:rsid w:val="00791112"/>
    <w:rsid w:val="0079192F"/>
    <w:rsid w:val="00791E4F"/>
    <w:rsid w:val="00791ED1"/>
    <w:rsid w:val="00791F89"/>
    <w:rsid w:val="00792658"/>
    <w:rsid w:val="007932ED"/>
    <w:rsid w:val="007940D7"/>
    <w:rsid w:val="00795B9A"/>
    <w:rsid w:val="00796BB4"/>
    <w:rsid w:val="00797203"/>
    <w:rsid w:val="007A0FF1"/>
    <w:rsid w:val="007A109A"/>
    <w:rsid w:val="007A1DC1"/>
    <w:rsid w:val="007A22E6"/>
    <w:rsid w:val="007A246D"/>
    <w:rsid w:val="007A2714"/>
    <w:rsid w:val="007A3193"/>
    <w:rsid w:val="007A3D70"/>
    <w:rsid w:val="007A41E0"/>
    <w:rsid w:val="007A5322"/>
    <w:rsid w:val="007A6BD0"/>
    <w:rsid w:val="007A6CF2"/>
    <w:rsid w:val="007A7156"/>
    <w:rsid w:val="007A73CF"/>
    <w:rsid w:val="007A7617"/>
    <w:rsid w:val="007B1AEA"/>
    <w:rsid w:val="007B2F1E"/>
    <w:rsid w:val="007B336D"/>
    <w:rsid w:val="007B4889"/>
    <w:rsid w:val="007B7303"/>
    <w:rsid w:val="007B7458"/>
    <w:rsid w:val="007B7C4A"/>
    <w:rsid w:val="007C115B"/>
    <w:rsid w:val="007C1EE8"/>
    <w:rsid w:val="007C1FDC"/>
    <w:rsid w:val="007C35E2"/>
    <w:rsid w:val="007C4281"/>
    <w:rsid w:val="007C4C51"/>
    <w:rsid w:val="007C5027"/>
    <w:rsid w:val="007C5671"/>
    <w:rsid w:val="007C5DB3"/>
    <w:rsid w:val="007C5E63"/>
    <w:rsid w:val="007C6E1E"/>
    <w:rsid w:val="007D0FE7"/>
    <w:rsid w:val="007D4B4F"/>
    <w:rsid w:val="007D6A53"/>
    <w:rsid w:val="007D7BFA"/>
    <w:rsid w:val="007E0CD9"/>
    <w:rsid w:val="007E198A"/>
    <w:rsid w:val="007E3355"/>
    <w:rsid w:val="007E3AD6"/>
    <w:rsid w:val="007E43BA"/>
    <w:rsid w:val="007E44CC"/>
    <w:rsid w:val="007E5162"/>
    <w:rsid w:val="007E555D"/>
    <w:rsid w:val="007E63C9"/>
    <w:rsid w:val="007E6785"/>
    <w:rsid w:val="007E76F8"/>
    <w:rsid w:val="007E78E7"/>
    <w:rsid w:val="007F1B38"/>
    <w:rsid w:val="007F1BFD"/>
    <w:rsid w:val="007F1E29"/>
    <w:rsid w:val="007F2265"/>
    <w:rsid w:val="007F2AA5"/>
    <w:rsid w:val="007F39E8"/>
    <w:rsid w:val="007F4113"/>
    <w:rsid w:val="007F4FE8"/>
    <w:rsid w:val="007F69A1"/>
    <w:rsid w:val="007F6ADD"/>
    <w:rsid w:val="007F6EDB"/>
    <w:rsid w:val="007F7D61"/>
    <w:rsid w:val="007F7EB6"/>
    <w:rsid w:val="008013C3"/>
    <w:rsid w:val="00803032"/>
    <w:rsid w:val="008037BF"/>
    <w:rsid w:val="00803DC4"/>
    <w:rsid w:val="00804ED9"/>
    <w:rsid w:val="0080605A"/>
    <w:rsid w:val="0080629B"/>
    <w:rsid w:val="00806730"/>
    <w:rsid w:val="00807677"/>
    <w:rsid w:val="00807DA0"/>
    <w:rsid w:val="008103EA"/>
    <w:rsid w:val="00810598"/>
    <w:rsid w:val="00812A06"/>
    <w:rsid w:val="00812AC5"/>
    <w:rsid w:val="00812D5B"/>
    <w:rsid w:val="00813619"/>
    <w:rsid w:val="00813834"/>
    <w:rsid w:val="00814CD5"/>
    <w:rsid w:val="0081515D"/>
    <w:rsid w:val="0081591F"/>
    <w:rsid w:val="00817449"/>
    <w:rsid w:val="008179E7"/>
    <w:rsid w:val="00817B5D"/>
    <w:rsid w:val="00817F8C"/>
    <w:rsid w:val="00820630"/>
    <w:rsid w:val="00820CC2"/>
    <w:rsid w:val="008224E6"/>
    <w:rsid w:val="008227A6"/>
    <w:rsid w:val="00824080"/>
    <w:rsid w:val="00824152"/>
    <w:rsid w:val="00824A4D"/>
    <w:rsid w:val="00825207"/>
    <w:rsid w:val="00826711"/>
    <w:rsid w:val="00830A5F"/>
    <w:rsid w:val="008319F7"/>
    <w:rsid w:val="0083337E"/>
    <w:rsid w:val="00833568"/>
    <w:rsid w:val="00834A55"/>
    <w:rsid w:val="00834B97"/>
    <w:rsid w:val="0083511F"/>
    <w:rsid w:val="008355B0"/>
    <w:rsid w:val="008371AB"/>
    <w:rsid w:val="008374B8"/>
    <w:rsid w:val="00837A80"/>
    <w:rsid w:val="00840184"/>
    <w:rsid w:val="00840819"/>
    <w:rsid w:val="00840F95"/>
    <w:rsid w:val="00841618"/>
    <w:rsid w:val="00842B46"/>
    <w:rsid w:val="00842C6B"/>
    <w:rsid w:val="008434F6"/>
    <w:rsid w:val="00843BD4"/>
    <w:rsid w:val="00844D25"/>
    <w:rsid w:val="00844E3D"/>
    <w:rsid w:val="0084584D"/>
    <w:rsid w:val="008471B7"/>
    <w:rsid w:val="00850E66"/>
    <w:rsid w:val="008516F9"/>
    <w:rsid w:val="0085183E"/>
    <w:rsid w:val="00851F1C"/>
    <w:rsid w:val="00852499"/>
    <w:rsid w:val="00853050"/>
    <w:rsid w:val="0085332D"/>
    <w:rsid w:val="008545FE"/>
    <w:rsid w:val="00855019"/>
    <w:rsid w:val="00856F1E"/>
    <w:rsid w:val="00857600"/>
    <w:rsid w:val="008621C7"/>
    <w:rsid w:val="00862D36"/>
    <w:rsid w:val="00863171"/>
    <w:rsid w:val="00865DA4"/>
    <w:rsid w:val="0086612E"/>
    <w:rsid w:val="0086676B"/>
    <w:rsid w:val="00872F12"/>
    <w:rsid w:val="00873799"/>
    <w:rsid w:val="0087419F"/>
    <w:rsid w:val="00874CD1"/>
    <w:rsid w:val="00875A53"/>
    <w:rsid w:val="0087668A"/>
    <w:rsid w:val="00876BF1"/>
    <w:rsid w:val="00877494"/>
    <w:rsid w:val="00877612"/>
    <w:rsid w:val="0087762C"/>
    <w:rsid w:val="00880666"/>
    <w:rsid w:val="008811D7"/>
    <w:rsid w:val="0088218A"/>
    <w:rsid w:val="00884341"/>
    <w:rsid w:val="00884D26"/>
    <w:rsid w:val="008863A6"/>
    <w:rsid w:val="008863D9"/>
    <w:rsid w:val="0088712A"/>
    <w:rsid w:val="00887F82"/>
    <w:rsid w:val="008911A1"/>
    <w:rsid w:val="00891D3D"/>
    <w:rsid w:val="008937F8"/>
    <w:rsid w:val="008939BB"/>
    <w:rsid w:val="00893DD5"/>
    <w:rsid w:val="00895047"/>
    <w:rsid w:val="00895331"/>
    <w:rsid w:val="0089606D"/>
    <w:rsid w:val="00896BAB"/>
    <w:rsid w:val="00896BFA"/>
    <w:rsid w:val="008975D1"/>
    <w:rsid w:val="008A0A4A"/>
    <w:rsid w:val="008A0FC1"/>
    <w:rsid w:val="008A25D3"/>
    <w:rsid w:val="008A285E"/>
    <w:rsid w:val="008A2B37"/>
    <w:rsid w:val="008A38F3"/>
    <w:rsid w:val="008A3D9C"/>
    <w:rsid w:val="008A5F2B"/>
    <w:rsid w:val="008A675E"/>
    <w:rsid w:val="008A74E9"/>
    <w:rsid w:val="008A778E"/>
    <w:rsid w:val="008B034E"/>
    <w:rsid w:val="008B0C7A"/>
    <w:rsid w:val="008B153C"/>
    <w:rsid w:val="008B1F6A"/>
    <w:rsid w:val="008B317F"/>
    <w:rsid w:val="008B381B"/>
    <w:rsid w:val="008B4C84"/>
    <w:rsid w:val="008B590D"/>
    <w:rsid w:val="008B6ABF"/>
    <w:rsid w:val="008B7337"/>
    <w:rsid w:val="008B7D42"/>
    <w:rsid w:val="008C0AFC"/>
    <w:rsid w:val="008C2ADE"/>
    <w:rsid w:val="008C2DCD"/>
    <w:rsid w:val="008C30AE"/>
    <w:rsid w:val="008C315B"/>
    <w:rsid w:val="008C33C2"/>
    <w:rsid w:val="008C3477"/>
    <w:rsid w:val="008C3721"/>
    <w:rsid w:val="008C5A9F"/>
    <w:rsid w:val="008C5F5F"/>
    <w:rsid w:val="008C659D"/>
    <w:rsid w:val="008C787F"/>
    <w:rsid w:val="008D07C3"/>
    <w:rsid w:val="008D1D07"/>
    <w:rsid w:val="008D2904"/>
    <w:rsid w:val="008D3C99"/>
    <w:rsid w:val="008D3ECE"/>
    <w:rsid w:val="008D46CE"/>
    <w:rsid w:val="008D49B0"/>
    <w:rsid w:val="008D626A"/>
    <w:rsid w:val="008D6DEF"/>
    <w:rsid w:val="008E005A"/>
    <w:rsid w:val="008E0ED1"/>
    <w:rsid w:val="008E1075"/>
    <w:rsid w:val="008E1B58"/>
    <w:rsid w:val="008E2274"/>
    <w:rsid w:val="008E2363"/>
    <w:rsid w:val="008E2A97"/>
    <w:rsid w:val="008E2C48"/>
    <w:rsid w:val="008E2EDD"/>
    <w:rsid w:val="008E4462"/>
    <w:rsid w:val="008E6B18"/>
    <w:rsid w:val="008E7511"/>
    <w:rsid w:val="008E77DA"/>
    <w:rsid w:val="008E7EE9"/>
    <w:rsid w:val="008F1D32"/>
    <w:rsid w:val="008F29AD"/>
    <w:rsid w:val="008F4135"/>
    <w:rsid w:val="008F4240"/>
    <w:rsid w:val="008F4E72"/>
    <w:rsid w:val="008F6020"/>
    <w:rsid w:val="008F6333"/>
    <w:rsid w:val="008F7C8A"/>
    <w:rsid w:val="00900A03"/>
    <w:rsid w:val="00900A13"/>
    <w:rsid w:val="0090374C"/>
    <w:rsid w:val="00903842"/>
    <w:rsid w:val="00904951"/>
    <w:rsid w:val="0090604C"/>
    <w:rsid w:val="00906ACD"/>
    <w:rsid w:val="00907127"/>
    <w:rsid w:val="009077D2"/>
    <w:rsid w:val="00910214"/>
    <w:rsid w:val="0091086C"/>
    <w:rsid w:val="00910D98"/>
    <w:rsid w:val="009111AB"/>
    <w:rsid w:val="009117AF"/>
    <w:rsid w:val="009133E6"/>
    <w:rsid w:val="00913B2C"/>
    <w:rsid w:val="00913F8E"/>
    <w:rsid w:val="00914261"/>
    <w:rsid w:val="009156D4"/>
    <w:rsid w:val="00915CD0"/>
    <w:rsid w:val="00915D99"/>
    <w:rsid w:val="0091658D"/>
    <w:rsid w:val="00916731"/>
    <w:rsid w:val="009177D2"/>
    <w:rsid w:val="009203B0"/>
    <w:rsid w:val="00920D4C"/>
    <w:rsid w:val="00921E24"/>
    <w:rsid w:val="00922580"/>
    <w:rsid w:val="00923904"/>
    <w:rsid w:val="00923D12"/>
    <w:rsid w:val="00924167"/>
    <w:rsid w:val="00925CD2"/>
    <w:rsid w:val="009269CA"/>
    <w:rsid w:val="00926D09"/>
    <w:rsid w:val="00926F46"/>
    <w:rsid w:val="00927081"/>
    <w:rsid w:val="00927AA5"/>
    <w:rsid w:val="00931FE0"/>
    <w:rsid w:val="0093223F"/>
    <w:rsid w:val="00932F45"/>
    <w:rsid w:val="00933126"/>
    <w:rsid w:val="00934C2C"/>
    <w:rsid w:val="009352E1"/>
    <w:rsid w:val="00935C4C"/>
    <w:rsid w:val="00936AFE"/>
    <w:rsid w:val="009403A3"/>
    <w:rsid w:val="009410C1"/>
    <w:rsid w:val="00941C8D"/>
    <w:rsid w:val="009430B2"/>
    <w:rsid w:val="00943224"/>
    <w:rsid w:val="00943230"/>
    <w:rsid w:val="00944882"/>
    <w:rsid w:val="00945965"/>
    <w:rsid w:val="00945F2D"/>
    <w:rsid w:val="009472A6"/>
    <w:rsid w:val="00952904"/>
    <w:rsid w:val="0095292A"/>
    <w:rsid w:val="00953299"/>
    <w:rsid w:val="009533C0"/>
    <w:rsid w:val="009533EA"/>
    <w:rsid w:val="009544CC"/>
    <w:rsid w:val="009547EC"/>
    <w:rsid w:val="009550A5"/>
    <w:rsid w:val="00955290"/>
    <w:rsid w:val="00955F0E"/>
    <w:rsid w:val="00956081"/>
    <w:rsid w:val="00956A92"/>
    <w:rsid w:val="0096160D"/>
    <w:rsid w:val="0096366C"/>
    <w:rsid w:val="009643C5"/>
    <w:rsid w:val="0096622C"/>
    <w:rsid w:val="00966C59"/>
    <w:rsid w:val="009676F8"/>
    <w:rsid w:val="009701D3"/>
    <w:rsid w:val="00970397"/>
    <w:rsid w:val="0097225F"/>
    <w:rsid w:val="009726BD"/>
    <w:rsid w:val="0097597F"/>
    <w:rsid w:val="00976411"/>
    <w:rsid w:val="00976CEF"/>
    <w:rsid w:val="009772EB"/>
    <w:rsid w:val="009774CE"/>
    <w:rsid w:val="009774E9"/>
    <w:rsid w:val="009776A3"/>
    <w:rsid w:val="00977818"/>
    <w:rsid w:val="00977BAB"/>
    <w:rsid w:val="00977CEF"/>
    <w:rsid w:val="00980AA9"/>
    <w:rsid w:val="00980ED4"/>
    <w:rsid w:val="0098119F"/>
    <w:rsid w:val="009819B7"/>
    <w:rsid w:val="00981CF9"/>
    <w:rsid w:val="009841F0"/>
    <w:rsid w:val="00984DB5"/>
    <w:rsid w:val="0098611E"/>
    <w:rsid w:val="00986C35"/>
    <w:rsid w:val="009870E1"/>
    <w:rsid w:val="00987D82"/>
    <w:rsid w:val="00987E61"/>
    <w:rsid w:val="00990867"/>
    <w:rsid w:val="00991586"/>
    <w:rsid w:val="00991F86"/>
    <w:rsid w:val="009933E2"/>
    <w:rsid w:val="009934D0"/>
    <w:rsid w:val="009945F0"/>
    <w:rsid w:val="00995764"/>
    <w:rsid w:val="00995A7C"/>
    <w:rsid w:val="009962DF"/>
    <w:rsid w:val="00996B36"/>
    <w:rsid w:val="00996CCF"/>
    <w:rsid w:val="00997189"/>
    <w:rsid w:val="009A0F15"/>
    <w:rsid w:val="009A1D5B"/>
    <w:rsid w:val="009A1FDC"/>
    <w:rsid w:val="009A293D"/>
    <w:rsid w:val="009A2F0E"/>
    <w:rsid w:val="009A3118"/>
    <w:rsid w:val="009A35F1"/>
    <w:rsid w:val="009A6801"/>
    <w:rsid w:val="009A684A"/>
    <w:rsid w:val="009A775B"/>
    <w:rsid w:val="009B03A9"/>
    <w:rsid w:val="009B06DB"/>
    <w:rsid w:val="009B0F1D"/>
    <w:rsid w:val="009B17B0"/>
    <w:rsid w:val="009B1C54"/>
    <w:rsid w:val="009B1EA2"/>
    <w:rsid w:val="009B23D6"/>
    <w:rsid w:val="009B2847"/>
    <w:rsid w:val="009B293E"/>
    <w:rsid w:val="009B2ABD"/>
    <w:rsid w:val="009B496D"/>
    <w:rsid w:val="009B650A"/>
    <w:rsid w:val="009B7A85"/>
    <w:rsid w:val="009C04FD"/>
    <w:rsid w:val="009C107C"/>
    <w:rsid w:val="009C2060"/>
    <w:rsid w:val="009C3C78"/>
    <w:rsid w:val="009C51D0"/>
    <w:rsid w:val="009C550B"/>
    <w:rsid w:val="009C74C7"/>
    <w:rsid w:val="009D0D2C"/>
    <w:rsid w:val="009D0D57"/>
    <w:rsid w:val="009D161A"/>
    <w:rsid w:val="009D1B3D"/>
    <w:rsid w:val="009D302B"/>
    <w:rsid w:val="009D3546"/>
    <w:rsid w:val="009D3917"/>
    <w:rsid w:val="009D462F"/>
    <w:rsid w:val="009D466C"/>
    <w:rsid w:val="009D6114"/>
    <w:rsid w:val="009D7E18"/>
    <w:rsid w:val="009E0162"/>
    <w:rsid w:val="009E25C2"/>
    <w:rsid w:val="009E31BE"/>
    <w:rsid w:val="009E36A8"/>
    <w:rsid w:val="009E5CE7"/>
    <w:rsid w:val="009E5DF4"/>
    <w:rsid w:val="009E6064"/>
    <w:rsid w:val="009E75B5"/>
    <w:rsid w:val="009E7D05"/>
    <w:rsid w:val="009F048A"/>
    <w:rsid w:val="009F0C3A"/>
    <w:rsid w:val="009F143F"/>
    <w:rsid w:val="009F152E"/>
    <w:rsid w:val="009F1C22"/>
    <w:rsid w:val="009F1FCB"/>
    <w:rsid w:val="009F2894"/>
    <w:rsid w:val="009F3277"/>
    <w:rsid w:val="009F3F3B"/>
    <w:rsid w:val="009F414D"/>
    <w:rsid w:val="009F5C07"/>
    <w:rsid w:val="009F5C4A"/>
    <w:rsid w:val="009F649D"/>
    <w:rsid w:val="009F6F3E"/>
    <w:rsid w:val="009F7435"/>
    <w:rsid w:val="009F761F"/>
    <w:rsid w:val="009F7C13"/>
    <w:rsid w:val="00A01397"/>
    <w:rsid w:val="00A02067"/>
    <w:rsid w:val="00A0299A"/>
    <w:rsid w:val="00A04464"/>
    <w:rsid w:val="00A07772"/>
    <w:rsid w:val="00A07F01"/>
    <w:rsid w:val="00A104FF"/>
    <w:rsid w:val="00A106F7"/>
    <w:rsid w:val="00A10BFD"/>
    <w:rsid w:val="00A11224"/>
    <w:rsid w:val="00A11BF7"/>
    <w:rsid w:val="00A12F53"/>
    <w:rsid w:val="00A13062"/>
    <w:rsid w:val="00A13C9E"/>
    <w:rsid w:val="00A1407A"/>
    <w:rsid w:val="00A164D7"/>
    <w:rsid w:val="00A1660C"/>
    <w:rsid w:val="00A1685E"/>
    <w:rsid w:val="00A178D0"/>
    <w:rsid w:val="00A2219A"/>
    <w:rsid w:val="00A24C2D"/>
    <w:rsid w:val="00A24E75"/>
    <w:rsid w:val="00A24F28"/>
    <w:rsid w:val="00A25102"/>
    <w:rsid w:val="00A27728"/>
    <w:rsid w:val="00A27A2C"/>
    <w:rsid w:val="00A27A67"/>
    <w:rsid w:val="00A301E4"/>
    <w:rsid w:val="00A302B3"/>
    <w:rsid w:val="00A306FA"/>
    <w:rsid w:val="00A318DD"/>
    <w:rsid w:val="00A31EA9"/>
    <w:rsid w:val="00A31EC4"/>
    <w:rsid w:val="00A321D3"/>
    <w:rsid w:val="00A324B9"/>
    <w:rsid w:val="00A32DA4"/>
    <w:rsid w:val="00A334FE"/>
    <w:rsid w:val="00A33A97"/>
    <w:rsid w:val="00A34346"/>
    <w:rsid w:val="00A34CCB"/>
    <w:rsid w:val="00A3653C"/>
    <w:rsid w:val="00A3780F"/>
    <w:rsid w:val="00A37E3F"/>
    <w:rsid w:val="00A4009E"/>
    <w:rsid w:val="00A40346"/>
    <w:rsid w:val="00A41A8D"/>
    <w:rsid w:val="00A42CA4"/>
    <w:rsid w:val="00A4314D"/>
    <w:rsid w:val="00A4361E"/>
    <w:rsid w:val="00A44BEA"/>
    <w:rsid w:val="00A44C3D"/>
    <w:rsid w:val="00A4728D"/>
    <w:rsid w:val="00A5007F"/>
    <w:rsid w:val="00A505F0"/>
    <w:rsid w:val="00A51424"/>
    <w:rsid w:val="00A52035"/>
    <w:rsid w:val="00A52122"/>
    <w:rsid w:val="00A522AE"/>
    <w:rsid w:val="00A52E98"/>
    <w:rsid w:val="00A53151"/>
    <w:rsid w:val="00A5364D"/>
    <w:rsid w:val="00A542D6"/>
    <w:rsid w:val="00A5459F"/>
    <w:rsid w:val="00A54B2D"/>
    <w:rsid w:val="00A55A32"/>
    <w:rsid w:val="00A55B66"/>
    <w:rsid w:val="00A56572"/>
    <w:rsid w:val="00A569DC"/>
    <w:rsid w:val="00A60442"/>
    <w:rsid w:val="00A604FF"/>
    <w:rsid w:val="00A612E4"/>
    <w:rsid w:val="00A62763"/>
    <w:rsid w:val="00A6302A"/>
    <w:rsid w:val="00A6349C"/>
    <w:rsid w:val="00A63861"/>
    <w:rsid w:val="00A643FB"/>
    <w:rsid w:val="00A64429"/>
    <w:rsid w:val="00A6455A"/>
    <w:rsid w:val="00A65830"/>
    <w:rsid w:val="00A660CF"/>
    <w:rsid w:val="00A66409"/>
    <w:rsid w:val="00A666A3"/>
    <w:rsid w:val="00A71B7E"/>
    <w:rsid w:val="00A71E1F"/>
    <w:rsid w:val="00A7270F"/>
    <w:rsid w:val="00A727A4"/>
    <w:rsid w:val="00A73990"/>
    <w:rsid w:val="00A74469"/>
    <w:rsid w:val="00A764CF"/>
    <w:rsid w:val="00A776C7"/>
    <w:rsid w:val="00A803F2"/>
    <w:rsid w:val="00A8105F"/>
    <w:rsid w:val="00A84352"/>
    <w:rsid w:val="00A84F99"/>
    <w:rsid w:val="00A84FB6"/>
    <w:rsid w:val="00A86328"/>
    <w:rsid w:val="00A86386"/>
    <w:rsid w:val="00A865C8"/>
    <w:rsid w:val="00A868BC"/>
    <w:rsid w:val="00A86F8F"/>
    <w:rsid w:val="00A90D66"/>
    <w:rsid w:val="00A91436"/>
    <w:rsid w:val="00A916E9"/>
    <w:rsid w:val="00A91EDF"/>
    <w:rsid w:val="00A923A1"/>
    <w:rsid w:val="00A92576"/>
    <w:rsid w:val="00A9286B"/>
    <w:rsid w:val="00A928CA"/>
    <w:rsid w:val="00A93DAE"/>
    <w:rsid w:val="00A93FE7"/>
    <w:rsid w:val="00A94F0A"/>
    <w:rsid w:val="00A95C6E"/>
    <w:rsid w:val="00A95E18"/>
    <w:rsid w:val="00A96319"/>
    <w:rsid w:val="00A9632A"/>
    <w:rsid w:val="00A96555"/>
    <w:rsid w:val="00AA1108"/>
    <w:rsid w:val="00AA2A02"/>
    <w:rsid w:val="00AA307C"/>
    <w:rsid w:val="00AA3782"/>
    <w:rsid w:val="00AA3CEA"/>
    <w:rsid w:val="00AA5C3E"/>
    <w:rsid w:val="00AA6BF3"/>
    <w:rsid w:val="00AA727D"/>
    <w:rsid w:val="00AA7C27"/>
    <w:rsid w:val="00AB1972"/>
    <w:rsid w:val="00AB19C7"/>
    <w:rsid w:val="00AB2A0E"/>
    <w:rsid w:val="00AB3997"/>
    <w:rsid w:val="00AB58F9"/>
    <w:rsid w:val="00AB5C94"/>
    <w:rsid w:val="00AB63B3"/>
    <w:rsid w:val="00AB72EA"/>
    <w:rsid w:val="00AB755E"/>
    <w:rsid w:val="00AB7DE4"/>
    <w:rsid w:val="00AC03F9"/>
    <w:rsid w:val="00AC15BB"/>
    <w:rsid w:val="00AC1CAB"/>
    <w:rsid w:val="00AC1F16"/>
    <w:rsid w:val="00AC2905"/>
    <w:rsid w:val="00AC37B8"/>
    <w:rsid w:val="00AC384E"/>
    <w:rsid w:val="00AC552D"/>
    <w:rsid w:val="00AC7124"/>
    <w:rsid w:val="00AC7DC0"/>
    <w:rsid w:val="00AD032D"/>
    <w:rsid w:val="00AD0882"/>
    <w:rsid w:val="00AD1321"/>
    <w:rsid w:val="00AD1852"/>
    <w:rsid w:val="00AD18D6"/>
    <w:rsid w:val="00AD1C8F"/>
    <w:rsid w:val="00AD1DE4"/>
    <w:rsid w:val="00AD355C"/>
    <w:rsid w:val="00AD3988"/>
    <w:rsid w:val="00AD3B14"/>
    <w:rsid w:val="00AD4BEA"/>
    <w:rsid w:val="00AD7DE9"/>
    <w:rsid w:val="00AE057C"/>
    <w:rsid w:val="00AE0D56"/>
    <w:rsid w:val="00AE12C0"/>
    <w:rsid w:val="00AE206A"/>
    <w:rsid w:val="00AE2CD8"/>
    <w:rsid w:val="00AE2D8D"/>
    <w:rsid w:val="00AE2E55"/>
    <w:rsid w:val="00AE3031"/>
    <w:rsid w:val="00AE3A35"/>
    <w:rsid w:val="00AE4849"/>
    <w:rsid w:val="00AE4A8A"/>
    <w:rsid w:val="00AE4BF1"/>
    <w:rsid w:val="00AE4CCB"/>
    <w:rsid w:val="00AE5335"/>
    <w:rsid w:val="00AE6994"/>
    <w:rsid w:val="00AE6A80"/>
    <w:rsid w:val="00AE72DB"/>
    <w:rsid w:val="00AE730D"/>
    <w:rsid w:val="00AE7326"/>
    <w:rsid w:val="00AF050F"/>
    <w:rsid w:val="00AF08DE"/>
    <w:rsid w:val="00AF1FAA"/>
    <w:rsid w:val="00AF3637"/>
    <w:rsid w:val="00AF39E0"/>
    <w:rsid w:val="00AF4202"/>
    <w:rsid w:val="00AF471D"/>
    <w:rsid w:val="00AF499A"/>
    <w:rsid w:val="00B01224"/>
    <w:rsid w:val="00B01F4E"/>
    <w:rsid w:val="00B025A1"/>
    <w:rsid w:val="00B02AC8"/>
    <w:rsid w:val="00B02E1E"/>
    <w:rsid w:val="00B03AE4"/>
    <w:rsid w:val="00B040A1"/>
    <w:rsid w:val="00B0421D"/>
    <w:rsid w:val="00B058A5"/>
    <w:rsid w:val="00B05EB4"/>
    <w:rsid w:val="00B073BC"/>
    <w:rsid w:val="00B07442"/>
    <w:rsid w:val="00B12225"/>
    <w:rsid w:val="00B129D0"/>
    <w:rsid w:val="00B12C3D"/>
    <w:rsid w:val="00B13E3F"/>
    <w:rsid w:val="00B14EBC"/>
    <w:rsid w:val="00B15D42"/>
    <w:rsid w:val="00B2067F"/>
    <w:rsid w:val="00B23C21"/>
    <w:rsid w:val="00B23EDC"/>
    <w:rsid w:val="00B243F0"/>
    <w:rsid w:val="00B2463B"/>
    <w:rsid w:val="00B24975"/>
    <w:rsid w:val="00B24DE4"/>
    <w:rsid w:val="00B252F7"/>
    <w:rsid w:val="00B26232"/>
    <w:rsid w:val="00B27501"/>
    <w:rsid w:val="00B2755B"/>
    <w:rsid w:val="00B27909"/>
    <w:rsid w:val="00B27BE3"/>
    <w:rsid w:val="00B31EAB"/>
    <w:rsid w:val="00B35354"/>
    <w:rsid w:val="00B37699"/>
    <w:rsid w:val="00B377F6"/>
    <w:rsid w:val="00B37979"/>
    <w:rsid w:val="00B404AC"/>
    <w:rsid w:val="00B40727"/>
    <w:rsid w:val="00B41104"/>
    <w:rsid w:val="00B42166"/>
    <w:rsid w:val="00B42F70"/>
    <w:rsid w:val="00B43A50"/>
    <w:rsid w:val="00B44276"/>
    <w:rsid w:val="00B44D02"/>
    <w:rsid w:val="00B460A9"/>
    <w:rsid w:val="00B46B5C"/>
    <w:rsid w:val="00B4766A"/>
    <w:rsid w:val="00B50532"/>
    <w:rsid w:val="00B50B15"/>
    <w:rsid w:val="00B51DD2"/>
    <w:rsid w:val="00B51FE3"/>
    <w:rsid w:val="00B52205"/>
    <w:rsid w:val="00B5289C"/>
    <w:rsid w:val="00B528FB"/>
    <w:rsid w:val="00B52B42"/>
    <w:rsid w:val="00B53CF8"/>
    <w:rsid w:val="00B5443A"/>
    <w:rsid w:val="00B54DC1"/>
    <w:rsid w:val="00B5545D"/>
    <w:rsid w:val="00B5573E"/>
    <w:rsid w:val="00B559E5"/>
    <w:rsid w:val="00B55AEB"/>
    <w:rsid w:val="00B55BFB"/>
    <w:rsid w:val="00B5655E"/>
    <w:rsid w:val="00B570C0"/>
    <w:rsid w:val="00B57983"/>
    <w:rsid w:val="00B61B8B"/>
    <w:rsid w:val="00B61BB4"/>
    <w:rsid w:val="00B62881"/>
    <w:rsid w:val="00B639F9"/>
    <w:rsid w:val="00B63BBF"/>
    <w:rsid w:val="00B63D4B"/>
    <w:rsid w:val="00B64BB8"/>
    <w:rsid w:val="00B652C3"/>
    <w:rsid w:val="00B654E9"/>
    <w:rsid w:val="00B6633E"/>
    <w:rsid w:val="00B66809"/>
    <w:rsid w:val="00B67798"/>
    <w:rsid w:val="00B70686"/>
    <w:rsid w:val="00B70F53"/>
    <w:rsid w:val="00B7156D"/>
    <w:rsid w:val="00B71639"/>
    <w:rsid w:val="00B7311D"/>
    <w:rsid w:val="00B73BD3"/>
    <w:rsid w:val="00B77E7E"/>
    <w:rsid w:val="00B77F05"/>
    <w:rsid w:val="00B8012C"/>
    <w:rsid w:val="00B80673"/>
    <w:rsid w:val="00B80BF7"/>
    <w:rsid w:val="00B81D56"/>
    <w:rsid w:val="00B82048"/>
    <w:rsid w:val="00B828DB"/>
    <w:rsid w:val="00B8314E"/>
    <w:rsid w:val="00B83F58"/>
    <w:rsid w:val="00B8433E"/>
    <w:rsid w:val="00B84918"/>
    <w:rsid w:val="00B85C8A"/>
    <w:rsid w:val="00B85EE0"/>
    <w:rsid w:val="00B868F0"/>
    <w:rsid w:val="00B869E4"/>
    <w:rsid w:val="00B9099F"/>
    <w:rsid w:val="00B931E3"/>
    <w:rsid w:val="00B9324B"/>
    <w:rsid w:val="00B94F08"/>
    <w:rsid w:val="00B94FBC"/>
    <w:rsid w:val="00B9535D"/>
    <w:rsid w:val="00B95A66"/>
    <w:rsid w:val="00B95AA2"/>
    <w:rsid w:val="00B95B62"/>
    <w:rsid w:val="00B95C52"/>
    <w:rsid w:val="00B95F02"/>
    <w:rsid w:val="00B96025"/>
    <w:rsid w:val="00B96AF4"/>
    <w:rsid w:val="00B97C07"/>
    <w:rsid w:val="00BA04F2"/>
    <w:rsid w:val="00BA3304"/>
    <w:rsid w:val="00BA4783"/>
    <w:rsid w:val="00BA4C32"/>
    <w:rsid w:val="00BA4C4F"/>
    <w:rsid w:val="00BA59F2"/>
    <w:rsid w:val="00BA5AF0"/>
    <w:rsid w:val="00BA6595"/>
    <w:rsid w:val="00BA6A53"/>
    <w:rsid w:val="00BA765B"/>
    <w:rsid w:val="00BA7A38"/>
    <w:rsid w:val="00BA7A67"/>
    <w:rsid w:val="00BB0A7E"/>
    <w:rsid w:val="00BB1995"/>
    <w:rsid w:val="00BB285D"/>
    <w:rsid w:val="00BB29AD"/>
    <w:rsid w:val="00BB3F8F"/>
    <w:rsid w:val="00BB41C5"/>
    <w:rsid w:val="00BB5BF1"/>
    <w:rsid w:val="00BB6619"/>
    <w:rsid w:val="00BB6F22"/>
    <w:rsid w:val="00BB7221"/>
    <w:rsid w:val="00BB72CE"/>
    <w:rsid w:val="00BB74FF"/>
    <w:rsid w:val="00BB7F2B"/>
    <w:rsid w:val="00BC05A5"/>
    <w:rsid w:val="00BC0D7F"/>
    <w:rsid w:val="00BC21E1"/>
    <w:rsid w:val="00BC320D"/>
    <w:rsid w:val="00BC4161"/>
    <w:rsid w:val="00BC5AC5"/>
    <w:rsid w:val="00BC71D8"/>
    <w:rsid w:val="00BD0394"/>
    <w:rsid w:val="00BD1B05"/>
    <w:rsid w:val="00BD28BC"/>
    <w:rsid w:val="00BD30C7"/>
    <w:rsid w:val="00BD3874"/>
    <w:rsid w:val="00BD4247"/>
    <w:rsid w:val="00BD49A8"/>
    <w:rsid w:val="00BD7072"/>
    <w:rsid w:val="00BD790A"/>
    <w:rsid w:val="00BD7DD0"/>
    <w:rsid w:val="00BE03DC"/>
    <w:rsid w:val="00BE09C2"/>
    <w:rsid w:val="00BE0CF9"/>
    <w:rsid w:val="00BE138C"/>
    <w:rsid w:val="00BE1DA0"/>
    <w:rsid w:val="00BE230E"/>
    <w:rsid w:val="00BE2C95"/>
    <w:rsid w:val="00BE3102"/>
    <w:rsid w:val="00BE6193"/>
    <w:rsid w:val="00BE69F2"/>
    <w:rsid w:val="00BE73A0"/>
    <w:rsid w:val="00BE746D"/>
    <w:rsid w:val="00BE79B7"/>
    <w:rsid w:val="00BF02B8"/>
    <w:rsid w:val="00BF03DC"/>
    <w:rsid w:val="00BF0FCB"/>
    <w:rsid w:val="00BF345A"/>
    <w:rsid w:val="00BF3CC9"/>
    <w:rsid w:val="00BF46E4"/>
    <w:rsid w:val="00BF5A85"/>
    <w:rsid w:val="00BF6796"/>
    <w:rsid w:val="00BF6D86"/>
    <w:rsid w:val="00BF718A"/>
    <w:rsid w:val="00BF7B74"/>
    <w:rsid w:val="00C00B46"/>
    <w:rsid w:val="00C01291"/>
    <w:rsid w:val="00C01B87"/>
    <w:rsid w:val="00C01F24"/>
    <w:rsid w:val="00C02428"/>
    <w:rsid w:val="00C030D7"/>
    <w:rsid w:val="00C034CE"/>
    <w:rsid w:val="00C03B4C"/>
    <w:rsid w:val="00C0421A"/>
    <w:rsid w:val="00C05033"/>
    <w:rsid w:val="00C05FF9"/>
    <w:rsid w:val="00C0617E"/>
    <w:rsid w:val="00C062FC"/>
    <w:rsid w:val="00C105FF"/>
    <w:rsid w:val="00C1061D"/>
    <w:rsid w:val="00C10797"/>
    <w:rsid w:val="00C10C29"/>
    <w:rsid w:val="00C14D53"/>
    <w:rsid w:val="00C15B2F"/>
    <w:rsid w:val="00C15D66"/>
    <w:rsid w:val="00C16AEC"/>
    <w:rsid w:val="00C17984"/>
    <w:rsid w:val="00C20161"/>
    <w:rsid w:val="00C2034A"/>
    <w:rsid w:val="00C205EB"/>
    <w:rsid w:val="00C21451"/>
    <w:rsid w:val="00C21853"/>
    <w:rsid w:val="00C22238"/>
    <w:rsid w:val="00C24C9D"/>
    <w:rsid w:val="00C24D7D"/>
    <w:rsid w:val="00C24DA1"/>
    <w:rsid w:val="00C27070"/>
    <w:rsid w:val="00C270E9"/>
    <w:rsid w:val="00C273E3"/>
    <w:rsid w:val="00C279FE"/>
    <w:rsid w:val="00C3036A"/>
    <w:rsid w:val="00C3036C"/>
    <w:rsid w:val="00C3096D"/>
    <w:rsid w:val="00C3099D"/>
    <w:rsid w:val="00C3233C"/>
    <w:rsid w:val="00C32EBC"/>
    <w:rsid w:val="00C339EF"/>
    <w:rsid w:val="00C33BD2"/>
    <w:rsid w:val="00C35037"/>
    <w:rsid w:val="00C351A8"/>
    <w:rsid w:val="00C3657E"/>
    <w:rsid w:val="00C37A93"/>
    <w:rsid w:val="00C406DC"/>
    <w:rsid w:val="00C412C3"/>
    <w:rsid w:val="00C41873"/>
    <w:rsid w:val="00C418E8"/>
    <w:rsid w:val="00C42308"/>
    <w:rsid w:val="00C4295C"/>
    <w:rsid w:val="00C446D7"/>
    <w:rsid w:val="00C5059D"/>
    <w:rsid w:val="00C51587"/>
    <w:rsid w:val="00C52A47"/>
    <w:rsid w:val="00C5325C"/>
    <w:rsid w:val="00C5342B"/>
    <w:rsid w:val="00C53434"/>
    <w:rsid w:val="00C54A4F"/>
    <w:rsid w:val="00C54DAD"/>
    <w:rsid w:val="00C54E91"/>
    <w:rsid w:val="00C55813"/>
    <w:rsid w:val="00C558FE"/>
    <w:rsid w:val="00C57B25"/>
    <w:rsid w:val="00C612FA"/>
    <w:rsid w:val="00C62AAE"/>
    <w:rsid w:val="00C63A08"/>
    <w:rsid w:val="00C63E5C"/>
    <w:rsid w:val="00C64C4F"/>
    <w:rsid w:val="00C65985"/>
    <w:rsid w:val="00C65A88"/>
    <w:rsid w:val="00C65BE1"/>
    <w:rsid w:val="00C71100"/>
    <w:rsid w:val="00C71C9A"/>
    <w:rsid w:val="00C722F2"/>
    <w:rsid w:val="00C74360"/>
    <w:rsid w:val="00C75570"/>
    <w:rsid w:val="00C75FE8"/>
    <w:rsid w:val="00C7648D"/>
    <w:rsid w:val="00C76957"/>
    <w:rsid w:val="00C76C19"/>
    <w:rsid w:val="00C76DCB"/>
    <w:rsid w:val="00C808ED"/>
    <w:rsid w:val="00C80C04"/>
    <w:rsid w:val="00C80D55"/>
    <w:rsid w:val="00C8111F"/>
    <w:rsid w:val="00C81147"/>
    <w:rsid w:val="00C814CE"/>
    <w:rsid w:val="00C81770"/>
    <w:rsid w:val="00C826DB"/>
    <w:rsid w:val="00C83876"/>
    <w:rsid w:val="00C85A9D"/>
    <w:rsid w:val="00C875B4"/>
    <w:rsid w:val="00C90163"/>
    <w:rsid w:val="00C903FF"/>
    <w:rsid w:val="00C90824"/>
    <w:rsid w:val="00C912D9"/>
    <w:rsid w:val="00C93184"/>
    <w:rsid w:val="00C94732"/>
    <w:rsid w:val="00C968C3"/>
    <w:rsid w:val="00C9703D"/>
    <w:rsid w:val="00C970DC"/>
    <w:rsid w:val="00C97103"/>
    <w:rsid w:val="00C97E18"/>
    <w:rsid w:val="00CA09D3"/>
    <w:rsid w:val="00CA1788"/>
    <w:rsid w:val="00CA1E69"/>
    <w:rsid w:val="00CA2A8B"/>
    <w:rsid w:val="00CA2C7A"/>
    <w:rsid w:val="00CA2DFD"/>
    <w:rsid w:val="00CA3D6F"/>
    <w:rsid w:val="00CA3DAE"/>
    <w:rsid w:val="00CA5C9B"/>
    <w:rsid w:val="00CA6209"/>
    <w:rsid w:val="00CA7347"/>
    <w:rsid w:val="00CB112F"/>
    <w:rsid w:val="00CB14F6"/>
    <w:rsid w:val="00CB1CF1"/>
    <w:rsid w:val="00CB28EA"/>
    <w:rsid w:val="00CB40C4"/>
    <w:rsid w:val="00CB45E7"/>
    <w:rsid w:val="00CB547E"/>
    <w:rsid w:val="00CB6CF9"/>
    <w:rsid w:val="00CB6DD9"/>
    <w:rsid w:val="00CB7ADB"/>
    <w:rsid w:val="00CB7B20"/>
    <w:rsid w:val="00CB7C62"/>
    <w:rsid w:val="00CC0CB4"/>
    <w:rsid w:val="00CC200D"/>
    <w:rsid w:val="00CC3CEF"/>
    <w:rsid w:val="00CC4CA8"/>
    <w:rsid w:val="00CC4CD6"/>
    <w:rsid w:val="00CC4DFE"/>
    <w:rsid w:val="00CC5284"/>
    <w:rsid w:val="00CC5EAF"/>
    <w:rsid w:val="00CC6A79"/>
    <w:rsid w:val="00CC6FEB"/>
    <w:rsid w:val="00CC7F5B"/>
    <w:rsid w:val="00CD0DDF"/>
    <w:rsid w:val="00CD1906"/>
    <w:rsid w:val="00CD21C9"/>
    <w:rsid w:val="00CD2AB4"/>
    <w:rsid w:val="00CD381A"/>
    <w:rsid w:val="00CD5B89"/>
    <w:rsid w:val="00CD5BE2"/>
    <w:rsid w:val="00CD6A30"/>
    <w:rsid w:val="00CD6C68"/>
    <w:rsid w:val="00CD74B4"/>
    <w:rsid w:val="00CD7FEA"/>
    <w:rsid w:val="00CE4474"/>
    <w:rsid w:val="00CE5E70"/>
    <w:rsid w:val="00CE7379"/>
    <w:rsid w:val="00CF0EDF"/>
    <w:rsid w:val="00CF12B7"/>
    <w:rsid w:val="00CF3694"/>
    <w:rsid w:val="00CF4B90"/>
    <w:rsid w:val="00CF52A2"/>
    <w:rsid w:val="00CF5D49"/>
    <w:rsid w:val="00CF7148"/>
    <w:rsid w:val="00D01B04"/>
    <w:rsid w:val="00D022BE"/>
    <w:rsid w:val="00D032DC"/>
    <w:rsid w:val="00D03817"/>
    <w:rsid w:val="00D03B05"/>
    <w:rsid w:val="00D048C8"/>
    <w:rsid w:val="00D053F4"/>
    <w:rsid w:val="00D06EE4"/>
    <w:rsid w:val="00D075DB"/>
    <w:rsid w:val="00D07939"/>
    <w:rsid w:val="00D10683"/>
    <w:rsid w:val="00D1116E"/>
    <w:rsid w:val="00D11FDB"/>
    <w:rsid w:val="00D13116"/>
    <w:rsid w:val="00D139FA"/>
    <w:rsid w:val="00D145F2"/>
    <w:rsid w:val="00D14905"/>
    <w:rsid w:val="00D14C2D"/>
    <w:rsid w:val="00D14C9F"/>
    <w:rsid w:val="00D14DEC"/>
    <w:rsid w:val="00D156D6"/>
    <w:rsid w:val="00D15975"/>
    <w:rsid w:val="00D16BD0"/>
    <w:rsid w:val="00D17602"/>
    <w:rsid w:val="00D21173"/>
    <w:rsid w:val="00D213B6"/>
    <w:rsid w:val="00D213E7"/>
    <w:rsid w:val="00D2151E"/>
    <w:rsid w:val="00D23A2D"/>
    <w:rsid w:val="00D241FE"/>
    <w:rsid w:val="00D25C7F"/>
    <w:rsid w:val="00D25E40"/>
    <w:rsid w:val="00D26737"/>
    <w:rsid w:val="00D26F79"/>
    <w:rsid w:val="00D276EB"/>
    <w:rsid w:val="00D31606"/>
    <w:rsid w:val="00D31BF1"/>
    <w:rsid w:val="00D31C40"/>
    <w:rsid w:val="00D33E2E"/>
    <w:rsid w:val="00D34174"/>
    <w:rsid w:val="00D3452E"/>
    <w:rsid w:val="00D34866"/>
    <w:rsid w:val="00D36541"/>
    <w:rsid w:val="00D368B4"/>
    <w:rsid w:val="00D37333"/>
    <w:rsid w:val="00D3778F"/>
    <w:rsid w:val="00D37984"/>
    <w:rsid w:val="00D400B7"/>
    <w:rsid w:val="00D40C1E"/>
    <w:rsid w:val="00D40CD8"/>
    <w:rsid w:val="00D40F34"/>
    <w:rsid w:val="00D42217"/>
    <w:rsid w:val="00D42366"/>
    <w:rsid w:val="00D42704"/>
    <w:rsid w:val="00D430FC"/>
    <w:rsid w:val="00D438E1"/>
    <w:rsid w:val="00D43B8D"/>
    <w:rsid w:val="00D445C8"/>
    <w:rsid w:val="00D44E79"/>
    <w:rsid w:val="00D4614A"/>
    <w:rsid w:val="00D47084"/>
    <w:rsid w:val="00D474C1"/>
    <w:rsid w:val="00D500B1"/>
    <w:rsid w:val="00D51474"/>
    <w:rsid w:val="00D51C08"/>
    <w:rsid w:val="00D523C6"/>
    <w:rsid w:val="00D5344D"/>
    <w:rsid w:val="00D54E02"/>
    <w:rsid w:val="00D5596F"/>
    <w:rsid w:val="00D55BCB"/>
    <w:rsid w:val="00D5618B"/>
    <w:rsid w:val="00D56BAD"/>
    <w:rsid w:val="00D56CCB"/>
    <w:rsid w:val="00D56DF2"/>
    <w:rsid w:val="00D5767D"/>
    <w:rsid w:val="00D57C5F"/>
    <w:rsid w:val="00D60341"/>
    <w:rsid w:val="00D614BA"/>
    <w:rsid w:val="00D62D2C"/>
    <w:rsid w:val="00D655C4"/>
    <w:rsid w:val="00D66293"/>
    <w:rsid w:val="00D670F7"/>
    <w:rsid w:val="00D675A7"/>
    <w:rsid w:val="00D70CE5"/>
    <w:rsid w:val="00D7102E"/>
    <w:rsid w:val="00D727E3"/>
    <w:rsid w:val="00D72B83"/>
    <w:rsid w:val="00D731AC"/>
    <w:rsid w:val="00D74DA9"/>
    <w:rsid w:val="00D74F9A"/>
    <w:rsid w:val="00D752B5"/>
    <w:rsid w:val="00D754AF"/>
    <w:rsid w:val="00D76B6F"/>
    <w:rsid w:val="00D76C3F"/>
    <w:rsid w:val="00D804AB"/>
    <w:rsid w:val="00D80506"/>
    <w:rsid w:val="00D81178"/>
    <w:rsid w:val="00D815A0"/>
    <w:rsid w:val="00D81CC3"/>
    <w:rsid w:val="00D82265"/>
    <w:rsid w:val="00D824EC"/>
    <w:rsid w:val="00D82ED2"/>
    <w:rsid w:val="00D83375"/>
    <w:rsid w:val="00D8347A"/>
    <w:rsid w:val="00D834FD"/>
    <w:rsid w:val="00D83504"/>
    <w:rsid w:val="00D83850"/>
    <w:rsid w:val="00D84E95"/>
    <w:rsid w:val="00D85C9F"/>
    <w:rsid w:val="00D85EA0"/>
    <w:rsid w:val="00D86854"/>
    <w:rsid w:val="00D86DD0"/>
    <w:rsid w:val="00D87853"/>
    <w:rsid w:val="00D87A91"/>
    <w:rsid w:val="00D87F67"/>
    <w:rsid w:val="00D87FD3"/>
    <w:rsid w:val="00D909D1"/>
    <w:rsid w:val="00D91899"/>
    <w:rsid w:val="00D92134"/>
    <w:rsid w:val="00D9319D"/>
    <w:rsid w:val="00D9334C"/>
    <w:rsid w:val="00D937BB"/>
    <w:rsid w:val="00D93E96"/>
    <w:rsid w:val="00D94FDF"/>
    <w:rsid w:val="00D955C1"/>
    <w:rsid w:val="00DA12BE"/>
    <w:rsid w:val="00DA1D05"/>
    <w:rsid w:val="00DA1FF3"/>
    <w:rsid w:val="00DA2367"/>
    <w:rsid w:val="00DA2791"/>
    <w:rsid w:val="00DA279D"/>
    <w:rsid w:val="00DA42B9"/>
    <w:rsid w:val="00DA4E23"/>
    <w:rsid w:val="00DA6320"/>
    <w:rsid w:val="00DA670D"/>
    <w:rsid w:val="00DA7FC8"/>
    <w:rsid w:val="00DB0112"/>
    <w:rsid w:val="00DB0148"/>
    <w:rsid w:val="00DB0FBC"/>
    <w:rsid w:val="00DB2EE7"/>
    <w:rsid w:val="00DB3D1A"/>
    <w:rsid w:val="00DB3E15"/>
    <w:rsid w:val="00DB4702"/>
    <w:rsid w:val="00DB50DC"/>
    <w:rsid w:val="00DB56B3"/>
    <w:rsid w:val="00DB73EB"/>
    <w:rsid w:val="00DB79E3"/>
    <w:rsid w:val="00DC0331"/>
    <w:rsid w:val="00DC1A67"/>
    <w:rsid w:val="00DC1B67"/>
    <w:rsid w:val="00DC2375"/>
    <w:rsid w:val="00DC26C8"/>
    <w:rsid w:val="00DC2E0B"/>
    <w:rsid w:val="00DC3ED9"/>
    <w:rsid w:val="00DC426E"/>
    <w:rsid w:val="00DC4369"/>
    <w:rsid w:val="00DC4529"/>
    <w:rsid w:val="00DC4DB1"/>
    <w:rsid w:val="00DC4E5F"/>
    <w:rsid w:val="00DC5FA3"/>
    <w:rsid w:val="00DC7195"/>
    <w:rsid w:val="00DC73B7"/>
    <w:rsid w:val="00DD0F95"/>
    <w:rsid w:val="00DD1A79"/>
    <w:rsid w:val="00DD28AB"/>
    <w:rsid w:val="00DD2E3C"/>
    <w:rsid w:val="00DD327E"/>
    <w:rsid w:val="00DD34BD"/>
    <w:rsid w:val="00DD44C1"/>
    <w:rsid w:val="00DD5EE6"/>
    <w:rsid w:val="00DD7373"/>
    <w:rsid w:val="00DE0658"/>
    <w:rsid w:val="00DE106C"/>
    <w:rsid w:val="00DE3F0D"/>
    <w:rsid w:val="00DE44D0"/>
    <w:rsid w:val="00DE5070"/>
    <w:rsid w:val="00DE5345"/>
    <w:rsid w:val="00DE610B"/>
    <w:rsid w:val="00DE64F6"/>
    <w:rsid w:val="00DE6CB8"/>
    <w:rsid w:val="00DE731D"/>
    <w:rsid w:val="00DE7C88"/>
    <w:rsid w:val="00DE7E7B"/>
    <w:rsid w:val="00DE7E84"/>
    <w:rsid w:val="00DF11C6"/>
    <w:rsid w:val="00DF1742"/>
    <w:rsid w:val="00DF2226"/>
    <w:rsid w:val="00DF23F3"/>
    <w:rsid w:val="00DF2520"/>
    <w:rsid w:val="00DF3952"/>
    <w:rsid w:val="00DF3ED6"/>
    <w:rsid w:val="00DF5774"/>
    <w:rsid w:val="00DF5ADF"/>
    <w:rsid w:val="00DF5F96"/>
    <w:rsid w:val="00DF6BCF"/>
    <w:rsid w:val="00E0038F"/>
    <w:rsid w:val="00E00658"/>
    <w:rsid w:val="00E00BA8"/>
    <w:rsid w:val="00E01421"/>
    <w:rsid w:val="00E0452F"/>
    <w:rsid w:val="00E05302"/>
    <w:rsid w:val="00E0799A"/>
    <w:rsid w:val="00E1001F"/>
    <w:rsid w:val="00E10DA8"/>
    <w:rsid w:val="00E116FA"/>
    <w:rsid w:val="00E118C2"/>
    <w:rsid w:val="00E11E75"/>
    <w:rsid w:val="00E13FBB"/>
    <w:rsid w:val="00E15630"/>
    <w:rsid w:val="00E156E3"/>
    <w:rsid w:val="00E15854"/>
    <w:rsid w:val="00E17598"/>
    <w:rsid w:val="00E20149"/>
    <w:rsid w:val="00E217DA"/>
    <w:rsid w:val="00E22060"/>
    <w:rsid w:val="00E220BC"/>
    <w:rsid w:val="00E224CB"/>
    <w:rsid w:val="00E25631"/>
    <w:rsid w:val="00E25FBE"/>
    <w:rsid w:val="00E2633E"/>
    <w:rsid w:val="00E26B1C"/>
    <w:rsid w:val="00E30033"/>
    <w:rsid w:val="00E30B39"/>
    <w:rsid w:val="00E311A3"/>
    <w:rsid w:val="00E3169E"/>
    <w:rsid w:val="00E328B7"/>
    <w:rsid w:val="00E335AE"/>
    <w:rsid w:val="00E339AB"/>
    <w:rsid w:val="00E339C1"/>
    <w:rsid w:val="00E3420C"/>
    <w:rsid w:val="00E34565"/>
    <w:rsid w:val="00E350D8"/>
    <w:rsid w:val="00E35197"/>
    <w:rsid w:val="00E351F8"/>
    <w:rsid w:val="00E35749"/>
    <w:rsid w:val="00E41B4F"/>
    <w:rsid w:val="00E41CB2"/>
    <w:rsid w:val="00E4297D"/>
    <w:rsid w:val="00E44955"/>
    <w:rsid w:val="00E4513A"/>
    <w:rsid w:val="00E45B0A"/>
    <w:rsid w:val="00E45BD2"/>
    <w:rsid w:val="00E45DA8"/>
    <w:rsid w:val="00E475FC"/>
    <w:rsid w:val="00E47B37"/>
    <w:rsid w:val="00E47BE2"/>
    <w:rsid w:val="00E50D4D"/>
    <w:rsid w:val="00E51564"/>
    <w:rsid w:val="00E51B9F"/>
    <w:rsid w:val="00E5284E"/>
    <w:rsid w:val="00E549C1"/>
    <w:rsid w:val="00E555F4"/>
    <w:rsid w:val="00E5561E"/>
    <w:rsid w:val="00E568AD"/>
    <w:rsid w:val="00E603DC"/>
    <w:rsid w:val="00E60639"/>
    <w:rsid w:val="00E60651"/>
    <w:rsid w:val="00E60806"/>
    <w:rsid w:val="00E614D5"/>
    <w:rsid w:val="00E62682"/>
    <w:rsid w:val="00E63B62"/>
    <w:rsid w:val="00E64034"/>
    <w:rsid w:val="00E64CCF"/>
    <w:rsid w:val="00E676CD"/>
    <w:rsid w:val="00E679F0"/>
    <w:rsid w:val="00E67DD5"/>
    <w:rsid w:val="00E70B82"/>
    <w:rsid w:val="00E74040"/>
    <w:rsid w:val="00E74B8A"/>
    <w:rsid w:val="00E753F9"/>
    <w:rsid w:val="00E77001"/>
    <w:rsid w:val="00E7720E"/>
    <w:rsid w:val="00E77928"/>
    <w:rsid w:val="00E80066"/>
    <w:rsid w:val="00E81935"/>
    <w:rsid w:val="00E8228B"/>
    <w:rsid w:val="00E84072"/>
    <w:rsid w:val="00E84F7F"/>
    <w:rsid w:val="00E85570"/>
    <w:rsid w:val="00E859A3"/>
    <w:rsid w:val="00E85AEE"/>
    <w:rsid w:val="00E86EA3"/>
    <w:rsid w:val="00E87009"/>
    <w:rsid w:val="00E9087D"/>
    <w:rsid w:val="00E92937"/>
    <w:rsid w:val="00E931C3"/>
    <w:rsid w:val="00E93BEA"/>
    <w:rsid w:val="00E93EF7"/>
    <w:rsid w:val="00E94174"/>
    <w:rsid w:val="00E95DE9"/>
    <w:rsid w:val="00E96141"/>
    <w:rsid w:val="00E96388"/>
    <w:rsid w:val="00E96623"/>
    <w:rsid w:val="00EA0371"/>
    <w:rsid w:val="00EA399C"/>
    <w:rsid w:val="00EA3E9D"/>
    <w:rsid w:val="00EA4DBD"/>
    <w:rsid w:val="00EA6E84"/>
    <w:rsid w:val="00EB15D3"/>
    <w:rsid w:val="00EB1BF8"/>
    <w:rsid w:val="00EB2CEE"/>
    <w:rsid w:val="00EB5E58"/>
    <w:rsid w:val="00EB60B3"/>
    <w:rsid w:val="00EC1F64"/>
    <w:rsid w:val="00EC227F"/>
    <w:rsid w:val="00EC2B1A"/>
    <w:rsid w:val="00EC4D82"/>
    <w:rsid w:val="00EC508A"/>
    <w:rsid w:val="00EC50F1"/>
    <w:rsid w:val="00EC5B92"/>
    <w:rsid w:val="00EC71D4"/>
    <w:rsid w:val="00EC736A"/>
    <w:rsid w:val="00EC7654"/>
    <w:rsid w:val="00EC7734"/>
    <w:rsid w:val="00ED15DC"/>
    <w:rsid w:val="00ED37E1"/>
    <w:rsid w:val="00ED3A27"/>
    <w:rsid w:val="00ED5A9D"/>
    <w:rsid w:val="00ED6F55"/>
    <w:rsid w:val="00ED7F11"/>
    <w:rsid w:val="00ED7F4E"/>
    <w:rsid w:val="00EE124F"/>
    <w:rsid w:val="00EE1EB4"/>
    <w:rsid w:val="00EE29FA"/>
    <w:rsid w:val="00EE2A2A"/>
    <w:rsid w:val="00EE2DF8"/>
    <w:rsid w:val="00EE368F"/>
    <w:rsid w:val="00EE47CF"/>
    <w:rsid w:val="00EE4810"/>
    <w:rsid w:val="00EE4A57"/>
    <w:rsid w:val="00EE5413"/>
    <w:rsid w:val="00EE5772"/>
    <w:rsid w:val="00EE5CFA"/>
    <w:rsid w:val="00EE5E2C"/>
    <w:rsid w:val="00EE61B3"/>
    <w:rsid w:val="00EE63BF"/>
    <w:rsid w:val="00EE7FAB"/>
    <w:rsid w:val="00EF0C99"/>
    <w:rsid w:val="00EF163E"/>
    <w:rsid w:val="00EF219B"/>
    <w:rsid w:val="00EF2372"/>
    <w:rsid w:val="00EF24F1"/>
    <w:rsid w:val="00EF2D2C"/>
    <w:rsid w:val="00EF3C96"/>
    <w:rsid w:val="00EF5250"/>
    <w:rsid w:val="00EF53CE"/>
    <w:rsid w:val="00EF6409"/>
    <w:rsid w:val="00EF6B03"/>
    <w:rsid w:val="00EF7910"/>
    <w:rsid w:val="00F00492"/>
    <w:rsid w:val="00F01E94"/>
    <w:rsid w:val="00F02315"/>
    <w:rsid w:val="00F03718"/>
    <w:rsid w:val="00F037B5"/>
    <w:rsid w:val="00F04EE7"/>
    <w:rsid w:val="00F0632F"/>
    <w:rsid w:val="00F06378"/>
    <w:rsid w:val="00F06399"/>
    <w:rsid w:val="00F06701"/>
    <w:rsid w:val="00F06F14"/>
    <w:rsid w:val="00F07359"/>
    <w:rsid w:val="00F07371"/>
    <w:rsid w:val="00F07637"/>
    <w:rsid w:val="00F07C90"/>
    <w:rsid w:val="00F07CCB"/>
    <w:rsid w:val="00F10655"/>
    <w:rsid w:val="00F106A5"/>
    <w:rsid w:val="00F109C4"/>
    <w:rsid w:val="00F10A12"/>
    <w:rsid w:val="00F11A28"/>
    <w:rsid w:val="00F11D57"/>
    <w:rsid w:val="00F12A3B"/>
    <w:rsid w:val="00F13A56"/>
    <w:rsid w:val="00F13F71"/>
    <w:rsid w:val="00F149AF"/>
    <w:rsid w:val="00F15050"/>
    <w:rsid w:val="00F15189"/>
    <w:rsid w:val="00F15AF3"/>
    <w:rsid w:val="00F1685B"/>
    <w:rsid w:val="00F2055D"/>
    <w:rsid w:val="00F20637"/>
    <w:rsid w:val="00F20F7A"/>
    <w:rsid w:val="00F22EE6"/>
    <w:rsid w:val="00F232F8"/>
    <w:rsid w:val="00F2373A"/>
    <w:rsid w:val="00F2458E"/>
    <w:rsid w:val="00F2504A"/>
    <w:rsid w:val="00F26206"/>
    <w:rsid w:val="00F26737"/>
    <w:rsid w:val="00F26D41"/>
    <w:rsid w:val="00F26EBA"/>
    <w:rsid w:val="00F277DF"/>
    <w:rsid w:val="00F27DB0"/>
    <w:rsid w:val="00F3020D"/>
    <w:rsid w:val="00F30268"/>
    <w:rsid w:val="00F308A5"/>
    <w:rsid w:val="00F30FC5"/>
    <w:rsid w:val="00F31A95"/>
    <w:rsid w:val="00F31AC5"/>
    <w:rsid w:val="00F33148"/>
    <w:rsid w:val="00F3711D"/>
    <w:rsid w:val="00F37C3A"/>
    <w:rsid w:val="00F37FBB"/>
    <w:rsid w:val="00F4197B"/>
    <w:rsid w:val="00F429AD"/>
    <w:rsid w:val="00F42A4F"/>
    <w:rsid w:val="00F43279"/>
    <w:rsid w:val="00F432B8"/>
    <w:rsid w:val="00F454F8"/>
    <w:rsid w:val="00F45B42"/>
    <w:rsid w:val="00F46BFD"/>
    <w:rsid w:val="00F46FEA"/>
    <w:rsid w:val="00F47146"/>
    <w:rsid w:val="00F47A5B"/>
    <w:rsid w:val="00F506B6"/>
    <w:rsid w:val="00F513E4"/>
    <w:rsid w:val="00F51421"/>
    <w:rsid w:val="00F516CA"/>
    <w:rsid w:val="00F539A0"/>
    <w:rsid w:val="00F549B5"/>
    <w:rsid w:val="00F55726"/>
    <w:rsid w:val="00F5634A"/>
    <w:rsid w:val="00F56817"/>
    <w:rsid w:val="00F57131"/>
    <w:rsid w:val="00F60383"/>
    <w:rsid w:val="00F616F3"/>
    <w:rsid w:val="00F618F1"/>
    <w:rsid w:val="00F61EB9"/>
    <w:rsid w:val="00F621F6"/>
    <w:rsid w:val="00F62A97"/>
    <w:rsid w:val="00F65E70"/>
    <w:rsid w:val="00F66371"/>
    <w:rsid w:val="00F666EB"/>
    <w:rsid w:val="00F66940"/>
    <w:rsid w:val="00F66C3F"/>
    <w:rsid w:val="00F670B7"/>
    <w:rsid w:val="00F70206"/>
    <w:rsid w:val="00F710CE"/>
    <w:rsid w:val="00F71EFA"/>
    <w:rsid w:val="00F722EE"/>
    <w:rsid w:val="00F730FE"/>
    <w:rsid w:val="00F73144"/>
    <w:rsid w:val="00F75557"/>
    <w:rsid w:val="00F7558B"/>
    <w:rsid w:val="00F75BE9"/>
    <w:rsid w:val="00F80305"/>
    <w:rsid w:val="00F805A6"/>
    <w:rsid w:val="00F80D9A"/>
    <w:rsid w:val="00F81C46"/>
    <w:rsid w:val="00F8211A"/>
    <w:rsid w:val="00F8345F"/>
    <w:rsid w:val="00F83561"/>
    <w:rsid w:val="00F85587"/>
    <w:rsid w:val="00F85A4B"/>
    <w:rsid w:val="00F85A94"/>
    <w:rsid w:val="00F872D0"/>
    <w:rsid w:val="00F87ABB"/>
    <w:rsid w:val="00F87E82"/>
    <w:rsid w:val="00F87EC0"/>
    <w:rsid w:val="00F9056D"/>
    <w:rsid w:val="00F91174"/>
    <w:rsid w:val="00F9133B"/>
    <w:rsid w:val="00F92B7E"/>
    <w:rsid w:val="00F92D57"/>
    <w:rsid w:val="00F92DBD"/>
    <w:rsid w:val="00F94FD8"/>
    <w:rsid w:val="00F96C4E"/>
    <w:rsid w:val="00FA11B5"/>
    <w:rsid w:val="00FA2022"/>
    <w:rsid w:val="00FA21E1"/>
    <w:rsid w:val="00FA2467"/>
    <w:rsid w:val="00FA272D"/>
    <w:rsid w:val="00FA290B"/>
    <w:rsid w:val="00FA2A2F"/>
    <w:rsid w:val="00FA2EF8"/>
    <w:rsid w:val="00FA37B7"/>
    <w:rsid w:val="00FA42FC"/>
    <w:rsid w:val="00FA448E"/>
    <w:rsid w:val="00FA4DA0"/>
    <w:rsid w:val="00FA4DC0"/>
    <w:rsid w:val="00FA5E38"/>
    <w:rsid w:val="00FB1093"/>
    <w:rsid w:val="00FB1461"/>
    <w:rsid w:val="00FB2018"/>
    <w:rsid w:val="00FB2D0D"/>
    <w:rsid w:val="00FB4417"/>
    <w:rsid w:val="00FB5F60"/>
    <w:rsid w:val="00FB680F"/>
    <w:rsid w:val="00FB6919"/>
    <w:rsid w:val="00FB7893"/>
    <w:rsid w:val="00FC13F5"/>
    <w:rsid w:val="00FC277D"/>
    <w:rsid w:val="00FC3D54"/>
    <w:rsid w:val="00FC41D7"/>
    <w:rsid w:val="00FC4A0B"/>
    <w:rsid w:val="00FC5481"/>
    <w:rsid w:val="00FC65E0"/>
    <w:rsid w:val="00FC694B"/>
    <w:rsid w:val="00FC6FDF"/>
    <w:rsid w:val="00FC70D2"/>
    <w:rsid w:val="00FC7384"/>
    <w:rsid w:val="00FC74EF"/>
    <w:rsid w:val="00FD0EC8"/>
    <w:rsid w:val="00FD139C"/>
    <w:rsid w:val="00FD2E6D"/>
    <w:rsid w:val="00FD2FFB"/>
    <w:rsid w:val="00FD319A"/>
    <w:rsid w:val="00FD3C10"/>
    <w:rsid w:val="00FD4236"/>
    <w:rsid w:val="00FD498D"/>
    <w:rsid w:val="00FD5B4B"/>
    <w:rsid w:val="00FD5CA0"/>
    <w:rsid w:val="00FD7062"/>
    <w:rsid w:val="00FE1196"/>
    <w:rsid w:val="00FE2388"/>
    <w:rsid w:val="00FE30E0"/>
    <w:rsid w:val="00FE3C1E"/>
    <w:rsid w:val="00FE3C36"/>
    <w:rsid w:val="00FE4B27"/>
    <w:rsid w:val="00FE5626"/>
    <w:rsid w:val="00FE5630"/>
    <w:rsid w:val="00FE5FD4"/>
    <w:rsid w:val="00FF08E6"/>
    <w:rsid w:val="00FF0D78"/>
    <w:rsid w:val="00FF0EE9"/>
    <w:rsid w:val="00FF0EEE"/>
    <w:rsid w:val="00FF0F7F"/>
    <w:rsid w:val="00FF2793"/>
    <w:rsid w:val="00FF2F04"/>
    <w:rsid w:val="00FF3815"/>
    <w:rsid w:val="00FF3B4F"/>
    <w:rsid w:val="00FF3EA9"/>
    <w:rsid w:val="00FF510D"/>
    <w:rsid w:val="00FF5B92"/>
    <w:rsid w:val="00FF5D78"/>
    <w:rsid w:val="00FF7034"/>
    <w:rsid w:val="01026CBF"/>
    <w:rsid w:val="010334B8"/>
    <w:rsid w:val="01065707"/>
    <w:rsid w:val="010B6346"/>
    <w:rsid w:val="011349EE"/>
    <w:rsid w:val="012F3F7C"/>
    <w:rsid w:val="01314F01"/>
    <w:rsid w:val="017932F1"/>
    <w:rsid w:val="018A0E13"/>
    <w:rsid w:val="018F5863"/>
    <w:rsid w:val="01BD0368"/>
    <w:rsid w:val="01DE089D"/>
    <w:rsid w:val="01DF631E"/>
    <w:rsid w:val="020970CA"/>
    <w:rsid w:val="020F48EF"/>
    <w:rsid w:val="0226460D"/>
    <w:rsid w:val="023B43AB"/>
    <w:rsid w:val="02684F7E"/>
    <w:rsid w:val="028B72FA"/>
    <w:rsid w:val="028E1852"/>
    <w:rsid w:val="02C81B1F"/>
    <w:rsid w:val="02E226C9"/>
    <w:rsid w:val="03391357"/>
    <w:rsid w:val="034D32D6"/>
    <w:rsid w:val="03506580"/>
    <w:rsid w:val="035967B1"/>
    <w:rsid w:val="03597E40"/>
    <w:rsid w:val="035A6E90"/>
    <w:rsid w:val="035B3B3B"/>
    <w:rsid w:val="035D4591"/>
    <w:rsid w:val="0361681B"/>
    <w:rsid w:val="03622929"/>
    <w:rsid w:val="03631D1E"/>
    <w:rsid w:val="036A14A4"/>
    <w:rsid w:val="036E0926"/>
    <w:rsid w:val="037E5DCB"/>
    <w:rsid w:val="0396512B"/>
    <w:rsid w:val="03AB2112"/>
    <w:rsid w:val="03E26584"/>
    <w:rsid w:val="03E766F4"/>
    <w:rsid w:val="03ED3E80"/>
    <w:rsid w:val="04001C90"/>
    <w:rsid w:val="042B1767"/>
    <w:rsid w:val="04452310"/>
    <w:rsid w:val="04485493"/>
    <w:rsid w:val="04492C16"/>
    <w:rsid w:val="045647A9"/>
    <w:rsid w:val="04680BC2"/>
    <w:rsid w:val="046A6CCD"/>
    <w:rsid w:val="047B4D00"/>
    <w:rsid w:val="04A732AF"/>
    <w:rsid w:val="04B527F1"/>
    <w:rsid w:val="04C01C5A"/>
    <w:rsid w:val="04EC5FA1"/>
    <w:rsid w:val="05026E46"/>
    <w:rsid w:val="0504144A"/>
    <w:rsid w:val="052F448C"/>
    <w:rsid w:val="053C405B"/>
    <w:rsid w:val="053E5089"/>
    <w:rsid w:val="054F6D3B"/>
    <w:rsid w:val="056F5AD7"/>
    <w:rsid w:val="058916A3"/>
    <w:rsid w:val="059E10D1"/>
    <w:rsid w:val="05A012C8"/>
    <w:rsid w:val="05BF54F8"/>
    <w:rsid w:val="05E277B3"/>
    <w:rsid w:val="05FF6A11"/>
    <w:rsid w:val="060557D7"/>
    <w:rsid w:val="06213980"/>
    <w:rsid w:val="0621639E"/>
    <w:rsid w:val="06305334"/>
    <w:rsid w:val="06391F63"/>
    <w:rsid w:val="06393A45"/>
    <w:rsid w:val="06434355"/>
    <w:rsid w:val="06765AA8"/>
    <w:rsid w:val="068C7C4C"/>
    <w:rsid w:val="06963DDF"/>
    <w:rsid w:val="06CC0A35"/>
    <w:rsid w:val="06F408F5"/>
    <w:rsid w:val="07031681"/>
    <w:rsid w:val="070A3CB8"/>
    <w:rsid w:val="071F2A3E"/>
    <w:rsid w:val="07530E8A"/>
    <w:rsid w:val="07537A15"/>
    <w:rsid w:val="07662E5B"/>
    <w:rsid w:val="0769686A"/>
    <w:rsid w:val="076E27BD"/>
    <w:rsid w:val="076E63D7"/>
    <w:rsid w:val="0770402F"/>
    <w:rsid w:val="078E5270"/>
    <w:rsid w:val="07913C76"/>
    <w:rsid w:val="079E43F1"/>
    <w:rsid w:val="07B42F31"/>
    <w:rsid w:val="07C77EB2"/>
    <w:rsid w:val="07CA6B66"/>
    <w:rsid w:val="07F15671"/>
    <w:rsid w:val="08200491"/>
    <w:rsid w:val="08425E71"/>
    <w:rsid w:val="085D3E3F"/>
    <w:rsid w:val="087912F3"/>
    <w:rsid w:val="087D297A"/>
    <w:rsid w:val="088C4ECC"/>
    <w:rsid w:val="08973524"/>
    <w:rsid w:val="08A26EE3"/>
    <w:rsid w:val="08A65D3D"/>
    <w:rsid w:val="08B111EB"/>
    <w:rsid w:val="08CB49A4"/>
    <w:rsid w:val="08DA2D14"/>
    <w:rsid w:val="08F54BC3"/>
    <w:rsid w:val="0900762B"/>
    <w:rsid w:val="09264BC9"/>
    <w:rsid w:val="092D4D1C"/>
    <w:rsid w:val="09626007"/>
    <w:rsid w:val="09670379"/>
    <w:rsid w:val="097C4A9B"/>
    <w:rsid w:val="09874886"/>
    <w:rsid w:val="09891BB3"/>
    <w:rsid w:val="09993AB5"/>
    <w:rsid w:val="09B86E7F"/>
    <w:rsid w:val="09F66D51"/>
    <w:rsid w:val="0A0219DF"/>
    <w:rsid w:val="0A0B6909"/>
    <w:rsid w:val="0A0D1E0C"/>
    <w:rsid w:val="0A295EB9"/>
    <w:rsid w:val="0A5B410A"/>
    <w:rsid w:val="0A894FD9"/>
    <w:rsid w:val="0A9458FA"/>
    <w:rsid w:val="0AA20101"/>
    <w:rsid w:val="0AA60D06"/>
    <w:rsid w:val="0AB70FA0"/>
    <w:rsid w:val="0ABA1F25"/>
    <w:rsid w:val="0ABE63AC"/>
    <w:rsid w:val="0AD46877"/>
    <w:rsid w:val="0ADD2F10"/>
    <w:rsid w:val="0AE113D2"/>
    <w:rsid w:val="0AE962F7"/>
    <w:rsid w:val="0AF67B8B"/>
    <w:rsid w:val="0B0758A7"/>
    <w:rsid w:val="0B1B4548"/>
    <w:rsid w:val="0B223ED3"/>
    <w:rsid w:val="0B3166EB"/>
    <w:rsid w:val="0B4C14AB"/>
    <w:rsid w:val="0B5E04B4"/>
    <w:rsid w:val="0BA41EC9"/>
    <w:rsid w:val="0BBF5056"/>
    <w:rsid w:val="0BE65845"/>
    <w:rsid w:val="0BE92617"/>
    <w:rsid w:val="0BEA0098"/>
    <w:rsid w:val="0BF0521B"/>
    <w:rsid w:val="0BF7455D"/>
    <w:rsid w:val="0BFE4B3A"/>
    <w:rsid w:val="0C296C83"/>
    <w:rsid w:val="0C5C1421"/>
    <w:rsid w:val="0C824D94"/>
    <w:rsid w:val="0C8D3125"/>
    <w:rsid w:val="0CA61AD0"/>
    <w:rsid w:val="0CB23260"/>
    <w:rsid w:val="0CB412FB"/>
    <w:rsid w:val="0CE628BA"/>
    <w:rsid w:val="0D0962F1"/>
    <w:rsid w:val="0D0B7276"/>
    <w:rsid w:val="0D531D57"/>
    <w:rsid w:val="0D545798"/>
    <w:rsid w:val="0D624402"/>
    <w:rsid w:val="0D696CE5"/>
    <w:rsid w:val="0D747B9F"/>
    <w:rsid w:val="0D8F41B3"/>
    <w:rsid w:val="0D950258"/>
    <w:rsid w:val="0DA251EB"/>
    <w:rsid w:val="0DC36A25"/>
    <w:rsid w:val="0DCF2837"/>
    <w:rsid w:val="0DD237BC"/>
    <w:rsid w:val="0DF129EC"/>
    <w:rsid w:val="0E037D57"/>
    <w:rsid w:val="0E1D4B35"/>
    <w:rsid w:val="0E241F41"/>
    <w:rsid w:val="0E324ADA"/>
    <w:rsid w:val="0E413A70"/>
    <w:rsid w:val="0E5F68A3"/>
    <w:rsid w:val="0E7813A9"/>
    <w:rsid w:val="0EA35918"/>
    <w:rsid w:val="0EB12ED5"/>
    <w:rsid w:val="0EBC441C"/>
    <w:rsid w:val="0EBD33B9"/>
    <w:rsid w:val="0EBE690E"/>
    <w:rsid w:val="0EDE7171"/>
    <w:rsid w:val="0EFA0CA0"/>
    <w:rsid w:val="0F1A117A"/>
    <w:rsid w:val="0F1C3F4D"/>
    <w:rsid w:val="0F5116AE"/>
    <w:rsid w:val="0F596ABB"/>
    <w:rsid w:val="0F5B1FBE"/>
    <w:rsid w:val="0F5F09C4"/>
    <w:rsid w:val="0F5F4247"/>
    <w:rsid w:val="0F6273CA"/>
    <w:rsid w:val="0F7C3FD6"/>
    <w:rsid w:val="0F7D4B34"/>
    <w:rsid w:val="0F824F55"/>
    <w:rsid w:val="0F9B0829"/>
    <w:rsid w:val="0FA124C5"/>
    <w:rsid w:val="0FC419ED"/>
    <w:rsid w:val="0FD9288C"/>
    <w:rsid w:val="0FE850A5"/>
    <w:rsid w:val="0FEE6FAE"/>
    <w:rsid w:val="0FF20B73"/>
    <w:rsid w:val="10003991"/>
    <w:rsid w:val="100565B7"/>
    <w:rsid w:val="101F3001"/>
    <w:rsid w:val="10223F85"/>
    <w:rsid w:val="10254F0A"/>
    <w:rsid w:val="10406DB9"/>
    <w:rsid w:val="107A5C99"/>
    <w:rsid w:val="107B7E97"/>
    <w:rsid w:val="1088585B"/>
    <w:rsid w:val="10994EC9"/>
    <w:rsid w:val="109C4A0E"/>
    <w:rsid w:val="109C57D8"/>
    <w:rsid w:val="10B56D77"/>
    <w:rsid w:val="10D208A6"/>
    <w:rsid w:val="10D64689"/>
    <w:rsid w:val="10E05471"/>
    <w:rsid w:val="10ED29B0"/>
    <w:rsid w:val="10EF7E56"/>
    <w:rsid w:val="10F66859"/>
    <w:rsid w:val="10FB74EC"/>
    <w:rsid w:val="11321BC4"/>
    <w:rsid w:val="113A6FD0"/>
    <w:rsid w:val="11462FAC"/>
    <w:rsid w:val="11475BCD"/>
    <w:rsid w:val="114A2955"/>
    <w:rsid w:val="114C276E"/>
    <w:rsid w:val="1155307D"/>
    <w:rsid w:val="115C1891"/>
    <w:rsid w:val="115D3D0D"/>
    <w:rsid w:val="1160140E"/>
    <w:rsid w:val="11797DBA"/>
    <w:rsid w:val="117C38F8"/>
    <w:rsid w:val="117D6EEE"/>
    <w:rsid w:val="11A85086"/>
    <w:rsid w:val="11B5219D"/>
    <w:rsid w:val="11B90BA4"/>
    <w:rsid w:val="11BB40A7"/>
    <w:rsid w:val="11C56BB4"/>
    <w:rsid w:val="11DF67EB"/>
    <w:rsid w:val="11E12C61"/>
    <w:rsid w:val="11F868F8"/>
    <w:rsid w:val="12092989"/>
    <w:rsid w:val="12106FE1"/>
    <w:rsid w:val="121C75C3"/>
    <w:rsid w:val="12213A4B"/>
    <w:rsid w:val="122946DB"/>
    <w:rsid w:val="124A2691"/>
    <w:rsid w:val="12750F57"/>
    <w:rsid w:val="1277445A"/>
    <w:rsid w:val="12897C74"/>
    <w:rsid w:val="129C3395"/>
    <w:rsid w:val="12BE63A6"/>
    <w:rsid w:val="12DE2F04"/>
    <w:rsid w:val="12E23B09"/>
    <w:rsid w:val="12E83AF4"/>
    <w:rsid w:val="12E90B10"/>
    <w:rsid w:val="131A26ED"/>
    <w:rsid w:val="133F18C3"/>
    <w:rsid w:val="136021D9"/>
    <w:rsid w:val="13771DFE"/>
    <w:rsid w:val="138F4439"/>
    <w:rsid w:val="13995836"/>
    <w:rsid w:val="13AB6DD5"/>
    <w:rsid w:val="13DA081E"/>
    <w:rsid w:val="13F25EC4"/>
    <w:rsid w:val="14245767"/>
    <w:rsid w:val="144A7BD8"/>
    <w:rsid w:val="144A7C4E"/>
    <w:rsid w:val="14520104"/>
    <w:rsid w:val="14563EC6"/>
    <w:rsid w:val="145C23B3"/>
    <w:rsid w:val="149A0C5C"/>
    <w:rsid w:val="149E7662"/>
    <w:rsid w:val="14BC4694"/>
    <w:rsid w:val="14C0309A"/>
    <w:rsid w:val="1508348E"/>
    <w:rsid w:val="15306BD1"/>
    <w:rsid w:val="15350710"/>
    <w:rsid w:val="153B29E4"/>
    <w:rsid w:val="15447327"/>
    <w:rsid w:val="155F416A"/>
    <w:rsid w:val="156354FD"/>
    <w:rsid w:val="156C0FB4"/>
    <w:rsid w:val="157A51BC"/>
    <w:rsid w:val="157C39D7"/>
    <w:rsid w:val="159557BE"/>
    <w:rsid w:val="159D1989"/>
    <w:rsid w:val="15A85596"/>
    <w:rsid w:val="15CD7D54"/>
    <w:rsid w:val="15D00CD9"/>
    <w:rsid w:val="15D95D65"/>
    <w:rsid w:val="15E450B5"/>
    <w:rsid w:val="16201D5D"/>
    <w:rsid w:val="16353C00"/>
    <w:rsid w:val="16371982"/>
    <w:rsid w:val="163D1B3A"/>
    <w:rsid w:val="163D388B"/>
    <w:rsid w:val="164513B8"/>
    <w:rsid w:val="16456719"/>
    <w:rsid w:val="167E7B78"/>
    <w:rsid w:val="1683077C"/>
    <w:rsid w:val="16833FFF"/>
    <w:rsid w:val="168B5B89"/>
    <w:rsid w:val="16C005E1"/>
    <w:rsid w:val="16DC2769"/>
    <w:rsid w:val="16E06917"/>
    <w:rsid w:val="16FD0446"/>
    <w:rsid w:val="16FD2BCB"/>
    <w:rsid w:val="171325EA"/>
    <w:rsid w:val="171347E8"/>
    <w:rsid w:val="171E2B79"/>
    <w:rsid w:val="1740457F"/>
    <w:rsid w:val="175828CF"/>
    <w:rsid w:val="175862BF"/>
    <w:rsid w:val="179D67CA"/>
    <w:rsid w:val="17B730F8"/>
    <w:rsid w:val="17C26F0A"/>
    <w:rsid w:val="17C65910"/>
    <w:rsid w:val="17C80E13"/>
    <w:rsid w:val="17E44EC0"/>
    <w:rsid w:val="17E603C4"/>
    <w:rsid w:val="17F263D4"/>
    <w:rsid w:val="17F52BDC"/>
    <w:rsid w:val="180D2D20"/>
    <w:rsid w:val="182249A5"/>
    <w:rsid w:val="182269B6"/>
    <w:rsid w:val="182B30B6"/>
    <w:rsid w:val="183A0ACF"/>
    <w:rsid w:val="18520EB8"/>
    <w:rsid w:val="1854009E"/>
    <w:rsid w:val="18642373"/>
    <w:rsid w:val="187831B6"/>
    <w:rsid w:val="18831547"/>
    <w:rsid w:val="18834ED9"/>
    <w:rsid w:val="1890085C"/>
    <w:rsid w:val="18A20777"/>
    <w:rsid w:val="18A656AF"/>
    <w:rsid w:val="18CE28C0"/>
    <w:rsid w:val="18E26C79"/>
    <w:rsid w:val="18E55D68"/>
    <w:rsid w:val="18FE0AB6"/>
    <w:rsid w:val="191156F4"/>
    <w:rsid w:val="1911682C"/>
    <w:rsid w:val="197C6A0C"/>
    <w:rsid w:val="19813C3F"/>
    <w:rsid w:val="199A0D0F"/>
    <w:rsid w:val="19A17418"/>
    <w:rsid w:val="19B263B5"/>
    <w:rsid w:val="19B93092"/>
    <w:rsid w:val="19DF2D99"/>
    <w:rsid w:val="19EA686E"/>
    <w:rsid w:val="1A0A00C9"/>
    <w:rsid w:val="1A1041D0"/>
    <w:rsid w:val="1A2152BB"/>
    <w:rsid w:val="1A2C204D"/>
    <w:rsid w:val="1A5A58C9"/>
    <w:rsid w:val="1A7D000B"/>
    <w:rsid w:val="1A8670A6"/>
    <w:rsid w:val="1A97657B"/>
    <w:rsid w:val="1A9E2B3B"/>
    <w:rsid w:val="1AAE167A"/>
    <w:rsid w:val="1AB02A55"/>
    <w:rsid w:val="1AF91F50"/>
    <w:rsid w:val="1AFD11C6"/>
    <w:rsid w:val="1B003AD9"/>
    <w:rsid w:val="1B00542F"/>
    <w:rsid w:val="1B0424DF"/>
    <w:rsid w:val="1B22212A"/>
    <w:rsid w:val="1B2F42F1"/>
    <w:rsid w:val="1B301DA5"/>
    <w:rsid w:val="1B3F3E40"/>
    <w:rsid w:val="1B4158B3"/>
    <w:rsid w:val="1B7C00B3"/>
    <w:rsid w:val="1B7C0EA4"/>
    <w:rsid w:val="1BB42683"/>
    <w:rsid w:val="1BBF2C12"/>
    <w:rsid w:val="1BF509C2"/>
    <w:rsid w:val="1BF95FEE"/>
    <w:rsid w:val="1C0D0793"/>
    <w:rsid w:val="1C197E29"/>
    <w:rsid w:val="1C1B332C"/>
    <w:rsid w:val="1C2A6C2E"/>
    <w:rsid w:val="1C363B56"/>
    <w:rsid w:val="1C4F4A80"/>
    <w:rsid w:val="1C527C03"/>
    <w:rsid w:val="1C700838"/>
    <w:rsid w:val="1C986179"/>
    <w:rsid w:val="1CAB3B14"/>
    <w:rsid w:val="1CD062D3"/>
    <w:rsid w:val="1CD63A5F"/>
    <w:rsid w:val="1CDF436F"/>
    <w:rsid w:val="1CE56278"/>
    <w:rsid w:val="1CFC261A"/>
    <w:rsid w:val="1CFF6E5D"/>
    <w:rsid w:val="1D0432AA"/>
    <w:rsid w:val="1D0A4412"/>
    <w:rsid w:val="1D0B38F8"/>
    <w:rsid w:val="1D13223F"/>
    <w:rsid w:val="1D1D5776"/>
    <w:rsid w:val="1D2753AE"/>
    <w:rsid w:val="1D3E218A"/>
    <w:rsid w:val="1D41310E"/>
    <w:rsid w:val="1D6D7456"/>
    <w:rsid w:val="1D756A60"/>
    <w:rsid w:val="1D7879E5"/>
    <w:rsid w:val="1D867707"/>
    <w:rsid w:val="1D8A5A12"/>
    <w:rsid w:val="1DE75A9B"/>
    <w:rsid w:val="1E295925"/>
    <w:rsid w:val="1E3D0B9B"/>
    <w:rsid w:val="1E535731"/>
    <w:rsid w:val="1E703800"/>
    <w:rsid w:val="1E81151C"/>
    <w:rsid w:val="1E884DB6"/>
    <w:rsid w:val="1EBF357F"/>
    <w:rsid w:val="1EDC50AE"/>
    <w:rsid w:val="1EDD63B3"/>
    <w:rsid w:val="1EE47F3C"/>
    <w:rsid w:val="1EE70EC1"/>
    <w:rsid w:val="1EFE1319"/>
    <w:rsid w:val="1F0771F7"/>
    <w:rsid w:val="1F0C367F"/>
    <w:rsid w:val="1F0D1045"/>
    <w:rsid w:val="1F1F489E"/>
    <w:rsid w:val="1F1F5325"/>
    <w:rsid w:val="1F2F076D"/>
    <w:rsid w:val="1F502206"/>
    <w:rsid w:val="1F5749F8"/>
    <w:rsid w:val="1F5B6C81"/>
    <w:rsid w:val="1F81363D"/>
    <w:rsid w:val="1FA94802"/>
    <w:rsid w:val="1FB0418D"/>
    <w:rsid w:val="1FB4133C"/>
    <w:rsid w:val="1FC11EA9"/>
    <w:rsid w:val="1FCB49B6"/>
    <w:rsid w:val="1FD6767D"/>
    <w:rsid w:val="1FFB17BC"/>
    <w:rsid w:val="200C3221"/>
    <w:rsid w:val="201828B7"/>
    <w:rsid w:val="203C3945"/>
    <w:rsid w:val="203D39F0"/>
    <w:rsid w:val="204123F7"/>
    <w:rsid w:val="20471021"/>
    <w:rsid w:val="20672636"/>
    <w:rsid w:val="20731CCC"/>
    <w:rsid w:val="207B12D7"/>
    <w:rsid w:val="207D47DA"/>
    <w:rsid w:val="20817033"/>
    <w:rsid w:val="208F37FB"/>
    <w:rsid w:val="20990887"/>
    <w:rsid w:val="20B523B5"/>
    <w:rsid w:val="20E37A02"/>
    <w:rsid w:val="20E833A7"/>
    <w:rsid w:val="20EA2C10"/>
    <w:rsid w:val="20F5319F"/>
    <w:rsid w:val="21182A73"/>
    <w:rsid w:val="2139298F"/>
    <w:rsid w:val="21525AB7"/>
    <w:rsid w:val="216C01F4"/>
    <w:rsid w:val="219168A1"/>
    <w:rsid w:val="21B038D2"/>
    <w:rsid w:val="21CD5401"/>
    <w:rsid w:val="21D06385"/>
    <w:rsid w:val="21D70408"/>
    <w:rsid w:val="221209C4"/>
    <w:rsid w:val="2216237D"/>
    <w:rsid w:val="221E7789"/>
    <w:rsid w:val="223076A3"/>
    <w:rsid w:val="227A681E"/>
    <w:rsid w:val="22885DD4"/>
    <w:rsid w:val="228B3B2E"/>
    <w:rsid w:val="22B06CF8"/>
    <w:rsid w:val="22C97BAA"/>
    <w:rsid w:val="22DC3EDF"/>
    <w:rsid w:val="22E84C54"/>
    <w:rsid w:val="22ED23E8"/>
    <w:rsid w:val="231879A1"/>
    <w:rsid w:val="232C6BBC"/>
    <w:rsid w:val="23395957"/>
    <w:rsid w:val="23551A04"/>
    <w:rsid w:val="235E2230"/>
    <w:rsid w:val="2363679C"/>
    <w:rsid w:val="2370600B"/>
    <w:rsid w:val="23711335"/>
    <w:rsid w:val="237B1C44"/>
    <w:rsid w:val="23B665A6"/>
    <w:rsid w:val="23CA7445"/>
    <w:rsid w:val="240671CC"/>
    <w:rsid w:val="241B0EB4"/>
    <w:rsid w:val="242C1A68"/>
    <w:rsid w:val="24335B6F"/>
    <w:rsid w:val="24337638"/>
    <w:rsid w:val="24513BF6"/>
    <w:rsid w:val="245F573A"/>
    <w:rsid w:val="24683E4B"/>
    <w:rsid w:val="246C2851"/>
    <w:rsid w:val="24775DB4"/>
    <w:rsid w:val="24781895"/>
    <w:rsid w:val="24841763"/>
    <w:rsid w:val="2488042D"/>
    <w:rsid w:val="24896A55"/>
    <w:rsid w:val="248A4000"/>
    <w:rsid w:val="24975894"/>
    <w:rsid w:val="24C36C6D"/>
    <w:rsid w:val="24CD15F1"/>
    <w:rsid w:val="24D056DA"/>
    <w:rsid w:val="24D50BFC"/>
    <w:rsid w:val="25267701"/>
    <w:rsid w:val="2537287A"/>
    <w:rsid w:val="254734B9"/>
    <w:rsid w:val="254E0ABD"/>
    <w:rsid w:val="25544D4D"/>
    <w:rsid w:val="255A4CED"/>
    <w:rsid w:val="25641764"/>
    <w:rsid w:val="257C268E"/>
    <w:rsid w:val="258A21E5"/>
    <w:rsid w:val="258E5E2C"/>
    <w:rsid w:val="25A10883"/>
    <w:rsid w:val="25A94457"/>
    <w:rsid w:val="25B94ABA"/>
    <w:rsid w:val="25D729E7"/>
    <w:rsid w:val="260E417C"/>
    <w:rsid w:val="260F5480"/>
    <w:rsid w:val="261B6D15"/>
    <w:rsid w:val="26382DB8"/>
    <w:rsid w:val="264017D0"/>
    <w:rsid w:val="265C4D5F"/>
    <w:rsid w:val="26644B8A"/>
    <w:rsid w:val="26803088"/>
    <w:rsid w:val="2683355D"/>
    <w:rsid w:val="268A1547"/>
    <w:rsid w:val="268B3CAF"/>
    <w:rsid w:val="268C3731"/>
    <w:rsid w:val="268E37D0"/>
    <w:rsid w:val="269243D5"/>
    <w:rsid w:val="26A73075"/>
    <w:rsid w:val="26B2270B"/>
    <w:rsid w:val="26DE0FD1"/>
    <w:rsid w:val="26F853FE"/>
    <w:rsid w:val="270B1F80"/>
    <w:rsid w:val="273803E6"/>
    <w:rsid w:val="274B1605"/>
    <w:rsid w:val="275829CE"/>
    <w:rsid w:val="27706A48"/>
    <w:rsid w:val="27777ECB"/>
    <w:rsid w:val="277D7855"/>
    <w:rsid w:val="27816C71"/>
    <w:rsid w:val="278B3C06"/>
    <w:rsid w:val="278E3373"/>
    <w:rsid w:val="27990C94"/>
    <w:rsid w:val="27B435B3"/>
    <w:rsid w:val="27B54FE0"/>
    <w:rsid w:val="27BB09BF"/>
    <w:rsid w:val="27C61EE6"/>
    <w:rsid w:val="27E33F9B"/>
    <w:rsid w:val="27E83E1B"/>
    <w:rsid w:val="27F23097"/>
    <w:rsid w:val="2805016B"/>
    <w:rsid w:val="281F2C62"/>
    <w:rsid w:val="282412E8"/>
    <w:rsid w:val="286036CB"/>
    <w:rsid w:val="28710FA0"/>
    <w:rsid w:val="28824F05"/>
    <w:rsid w:val="28847480"/>
    <w:rsid w:val="288A2311"/>
    <w:rsid w:val="28971627"/>
    <w:rsid w:val="289D572F"/>
    <w:rsid w:val="28A2792A"/>
    <w:rsid w:val="28AA4C8A"/>
    <w:rsid w:val="28BE14E7"/>
    <w:rsid w:val="28CD1B01"/>
    <w:rsid w:val="28DF529E"/>
    <w:rsid w:val="29283114"/>
    <w:rsid w:val="29346F27"/>
    <w:rsid w:val="294A494E"/>
    <w:rsid w:val="29560760"/>
    <w:rsid w:val="295761E2"/>
    <w:rsid w:val="2960326E"/>
    <w:rsid w:val="29610CF0"/>
    <w:rsid w:val="2975343F"/>
    <w:rsid w:val="297731BB"/>
    <w:rsid w:val="2991297F"/>
    <w:rsid w:val="29922597"/>
    <w:rsid w:val="29AE4672"/>
    <w:rsid w:val="29B84F82"/>
    <w:rsid w:val="29C71D19"/>
    <w:rsid w:val="29FE3300"/>
    <w:rsid w:val="2A127BAC"/>
    <w:rsid w:val="2A144016"/>
    <w:rsid w:val="2A24682F"/>
    <w:rsid w:val="2A270F8C"/>
    <w:rsid w:val="2A2C74BF"/>
    <w:rsid w:val="2A377A4E"/>
    <w:rsid w:val="2A53737E"/>
    <w:rsid w:val="2A573A81"/>
    <w:rsid w:val="2A704730"/>
    <w:rsid w:val="2A881DD7"/>
    <w:rsid w:val="2A8A52DA"/>
    <w:rsid w:val="2AC70C94"/>
    <w:rsid w:val="2ADB3DDF"/>
    <w:rsid w:val="2AE354DA"/>
    <w:rsid w:val="2AED1993"/>
    <w:rsid w:val="2B1E47FB"/>
    <w:rsid w:val="2B226752"/>
    <w:rsid w:val="2B2A3B5F"/>
    <w:rsid w:val="2B2E2510"/>
    <w:rsid w:val="2B682503"/>
    <w:rsid w:val="2B6A6B46"/>
    <w:rsid w:val="2B7042D3"/>
    <w:rsid w:val="2B7661DC"/>
    <w:rsid w:val="2B7A5997"/>
    <w:rsid w:val="2B806AEC"/>
    <w:rsid w:val="2B833767"/>
    <w:rsid w:val="2BA37FA5"/>
    <w:rsid w:val="2BA7222F"/>
    <w:rsid w:val="2BAD4138"/>
    <w:rsid w:val="2BC73AD7"/>
    <w:rsid w:val="2BE1373D"/>
    <w:rsid w:val="2C0547C6"/>
    <w:rsid w:val="2C197A3A"/>
    <w:rsid w:val="2C2B1183"/>
    <w:rsid w:val="2C380499"/>
    <w:rsid w:val="2C401128"/>
    <w:rsid w:val="2C5632CC"/>
    <w:rsid w:val="2C825415"/>
    <w:rsid w:val="2C8A2F49"/>
    <w:rsid w:val="2C9F3BCE"/>
    <w:rsid w:val="2CA12446"/>
    <w:rsid w:val="2CA64350"/>
    <w:rsid w:val="2CBB2FF0"/>
    <w:rsid w:val="2CDB1327"/>
    <w:rsid w:val="2CEF5864"/>
    <w:rsid w:val="2CF22BA4"/>
    <w:rsid w:val="2CF51ED1"/>
    <w:rsid w:val="2CF9108B"/>
    <w:rsid w:val="2D0B6272"/>
    <w:rsid w:val="2D34475F"/>
    <w:rsid w:val="2D4D51B1"/>
    <w:rsid w:val="2D4D79AC"/>
    <w:rsid w:val="2D593F87"/>
    <w:rsid w:val="2DA11FE9"/>
    <w:rsid w:val="2DB7418D"/>
    <w:rsid w:val="2DB85492"/>
    <w:rsid w:val="2DC27F9F"/>
    <w:rsid w:val="2DD00879"/>
    <w:rsid w:val="2DD14D37"/>
    <w:rsid w:val="2DD5373D"/>
    <w:rsid w:val="2DF80479"/>
    <w:rsid w:val="2E075211"/>
    <w:rsid w:val="2E0B52AE"/>
    <w:rsid w:val="2E0E041F"/>
    <w:rsid w:val="2E141396"/>
    <w:rsid w:val="2E2A44CC"/>
    <w:rsid w:val="2E704C40"/>
    <w:rsid w:val="2E747DC3"/>
    <w:rsid w:val="2E7F3BD6"/>
    <w:rsid w:val="2E8F1C72"/>
    <w:rsid w:val="2E9C0F87"/>
    <w:rsid w:val="2E9F70FE"/>
    <w:rsid w:val="2EA61F97"/>
    <w:rsid w:val="2EB7077F"/>
    <w:rsid w:val="2EB8044F"/>
    <w:rsid w:val="2EC16B9C"/>
    <w:rsid w:val="2ED53072"/>
    <w:rsid w:val="2ED8336B"/>
    <w:rsid w:val="2EDF426C"/>
    <w:rsid w:val="2EE70102"/>
    <w:rsid w:val="2EEC200B"/>
    <w:rsid w:val="2EEC4E92"/>
    <w:rsid w:val="2EF6291B"/>
    <w:rsid w:val="2F085541"/>
    <w:rsid w:val="2F1A1856"/>
    <w:rsid w:val="2F1C0982"/>
    <w:rsid w:val="2F257BE7"/>
    <w:rsid w:val="2F2B59A3"/>
    <w:rsid w:val="2F3B1D8A"/>
    <w:rsid w:val="2F4A23A5"/>
    <w:rsid w:val="2F567710"/>
    <w:rsid w:val="2F5B00C1"/>
    <w:rsid w:val="2F5F3244"/>
    <w:rsid w:val="2F63302B"/>
    <w:rsid w:val="2F747966"/>
    <w:rsid w:val="2F94151F"/>
    <w:rsid w:val="2F976C21"/>
    <w:rsid w:val="2FA304B5"/>
    <w:rsid w:val="2FA801C0"/>
    <w:rsid w:val="2FB3181D"/>
    <w:rsid w:val="2FBB395D"/>
    <w:rsid w:val="2FCB6344"/>
    <w:rsid w:val="2FD96332"/>
    <w:rsid w:val="2FE04DD6"/>
    <w:rsid w:val="2FEC0BD0"/>
    <w:rsid w:val="2FEC1523"/>
    <w:rsid w:val="300D5786"/>
    <w:rsid w:val="3011145B"/>
    <w:rsid w:val="302C206D"/>
    <w:rsid w:val="304B3923"/>
    <w:rsid w:val="30524DF2"/>
    <w:rsid w:val="306B7868"/>
    <w:rsid w:val="30781792"/>
    <w:rsid w:val="30987AC8"/>
    <w:rsid w:val="3099089E"/>
    <w:rsid w:val="30C74D94"/>
    <w:rsid w:val="30D156A4"/>
    <w:rsid w:val="30DF7B79"/>
    <w:rsid w:val="30E346C5"/>
    <w:rsid w:val="30EF7582"/>
    <w:rsid w:val="30F944D8"/>
    <w:rsid w:val="31062030"/>
    <w:rsid w:val="310A0D01"/>
    <w:rsid w:val="31187F2F"/>
    <w:rsid w:val="311D7D22"/>
    <w:rsid w:val="311F2A7F"/>
    <w:rsid w:val="31377BE8"/>
    <w:rsid w:val="31393DCE"/>
    <w:rsid w:val="313B72D2"/>
    <w:rsid w:val="313C4D53"/>
    <w:rsid w:val="31432160"/>
    <w:rsid w:val="31490DA5"/>
    <w:rsid w:val="31570E00"/>
    <w:rsid w:val="315F5D75"/>
    <w:rsid w:val="318D3859"/>
    <w:rsid w:val="31A54783"/>
    <w:rsid w:val="31A66981"/>
    <w:rsid w:val="31CA113F"/>
    <w:rsid w:val="31E91E87"/>
    <w:rsid w:val="32013A44"/>
    <w:rsid w:val="32063522"/>
    <w:rsid w:val="320E10B5"/>
    <w:rsid w:val="321A38C2"/>
    <w:rsid w:val="32261E74"/>
    <w:rsid w:val="3243059C"/>
    <w:rsid w:val="32635E3A"/>
    <w:rsid w:val="32697D44"/>
    <w:rsid w:val="326D0948"/>
    <w:rsid w:val="327E0D92"/>
    <w:rsid w:val="328A5CFA"/>
    <w:rsid w:val="32C75B5F"/>
    <w:rsid w:val="32C835E0"/>
    <w:rsid w:val="32D23EF0"/>
    <w:rsid w:val="32DF7982"/>
    <w:rsid w:val="32E70612"/>
    <w:rsid w:val="32F6364C"/>
    <w:rsid w:val="330E25E7"/>
    <w:rsid w:val="33135AD6"/>
    <w:rsid w:val="331537CD"/>
    <w:rsid w:val="331E4E70"/>
    <w:rsid w:val="33285651"/>
    <w:rsid w:val="332F4289"/>
    <w:rsid w:val="336C5F9C"/>
    <w:rsid w:val="336E17F0"/>
    <w:rsid w:val="33814F8D"/>
    <w:rsid w:val="33B77665"/>
    <w:rsid w:val="33C133A6"/>
    <w:rsid w:val="33CC276C"/>
    <w:rsid w:val="33D6491F"/>
    <w:rsid w:val="33E2230D"/>
    <w:rsid w:val="33F05733"/>
    <w:rsid w:val="33FB26D9"/>
    <w:rsid w:val="34057765"/>
    <w:rsid w:val="3424001A"/>
    <w:rsid w:val="34291F23"/>
    <w:rsid w:val="34413D46"/>
    <w:rsid w:val="34432ACD"/>
    <w:rsid w:val="344A45A5"/>
    <w:rsid w:val="344B7ED9"/>
    <w:rsid w:val="345C5BF5"/>
    <w:rsid w:val="34692D0C"/>
    <w:rsid w:val="348103B3"/>
    <w:rsid w:val="348722BC"/>
    <w:rsid w:val="348E7D02"/>
    <w:rsid w:val="34A15065"/>
    <w:rsid w:val="34A76F6E"/>
    <w:rsid w:val="352920C5"/>
    <w:rsid w:val="356D5A32"/>
    <w:rsid w:val="356F47B8"/>
    <w:rsid w:val="357C3ACE"/>
    <w:rsid w:val="357D1550"/>
    <w:rsid w:val="35962F2D"/>
    <w:rsid w:val="359E1A84"/>
    <w:rsid w:val="359F2D89"/>
    <w:rsid w:val="35AB6D2D"/>
    <w:rsid w:val="35B629AE"/>
    <w:rsid w:val="35B71496"/>
    <w:rsid w:val="35B73EBF"/>
    <w:rsid w:val="35B8262E"/>
    <w:rsid w:val="35BA5B31"/>
    <w:rsid w:val="35CC12CF"/>
    <w:rsid w:val="35D319E6"/>
    <w:rsid w:val="35D579E0"/>
    <w:rsid w:val="35D72EE3"/>
    <w:rsid w:val="35DD2FB8"/>
    <w:rsid w:val="35E768F5"/>
    <w:rsid w:val="35F559C7"/>
    <w:rsid w:val="360310EF"/>
    <w:rsid w:val="36075C31"/>
    <w:rsid w:val="361971D0"/>
    <w:rsid w:val="362D458B"/>
    <w:rsid w:val="36354715"/>
    <w:rsid w:val="36414A73"/>
    <w:rsid w:val="364A0F5C"/>
    <w:rsid w:val="36510879"/>
    <w:rsid w:val="365C6141"/>
    <w:rsid w:val="366F7BDE"/>
    <w:rsid w:val="36A857BA"/>
    <w:rsid w:val="36CB6C73"/>
    <w:rsid w:val="36E16C19"/>
    <w:rsid w:val="37036DCD"/>
    <w:rsid w:val="372F46A7"/>
    <w:rsid w:val="373C0013"/>
    <w:rsid w:val="37726C9D"/>
    <w:rsid w:val="37877191"/>
    <w:rsid w:val="379A1E22"/>
    <w:rsid w:val="37A656DD"/>
    <w:rsid w:val="37BD6848"/>
    <w:rsid w:val="37CC6816"/>
    <w:rsid w:val="37DE6907"/>
    <w:rsid w:val="37E810A7"/>
    <w:rsid w:val="380E1C87"/>
    <w:rsid w:val="380F1889"/>
    <w:rsid w:val="385F290D"/>
    <w:rsid w:val="38861C89"/>
    <w:rsid w:val="38994363"/>
    <w:rsid w:val="38A9437C"/>
    <w:rsid w:val="38C2712E"/>
    <w:rsid w:val="38CE513F"/>
    <w:rsid w:val="38D16127"/>
    <w:rsid w:val="39060B1C"/>
    <w:rsid w:val="391842BA"/>
    <w:rsid w:val="392F3EDF"/>
    <w:rsid w:val="39390072"/>
    <w:rsid w:val="393C0FF6"/>
    <w:rsid w:val="39515718"/>
    <w:rsid w:val="39592B25"/>
    <w:rsid w:val="396A7752"/>
    <w:rsid w:val="39706EC7"/>
    <w:rsid w:val="39741150"/>
    <w:rsid w:val="39787B56"/>
    <w:rsid w:val="39833969"/>
    <w:rsid w:val="398A32F4"/>
    <w:rsid w:val="398E1CFA"/>
    <w:rsid w:val="39923F83"/>
    <w:rsid w:val="399A358E"/>
    <w:rsid w:val="399C6A91"/>
    <w:rsid w:val="39B03534"/>
    <w:rsid w:val="39B62EBE"/>
    <w:rsid w:val="3A0E5ACB"/>
    <w:rsid w:val="3A2A75FA"/>
    <w:rsid w:val="3A364E7D"/>
    <w:rsid w:val="3A3F5379"/>
    <w:rsid w:val="3A436689"/>
    <w:rsid w:val="3A4614A9"/>
    <w:rsid w:val="3A675260"/>
    <w:rsid w:val="3A771C78"/>
    <w:rsid w:val="3A8646CD"/>
    <w:rsid w:val="3AA10332"/>
    <w:rsid w:val="3AA70731"/>
    <w:rsid w:val="3AAC45FF"/>
    <w:rsid w:val="3AC37B79"/>
    <w:rsid w:val="3AE070A1"/>
    <w:rsid w:val="3AF86D4E"/>
    <w:rsid w:val="3B1E2869"/>
    <w:rsid w:val="3B341131"/>
    <w:rsid w:val="3B426025"/>
    <w:rsid w:val="3B4413CB"/>
    <w:rsid w:val="3B476ACD"/>
    <w:rsid w:val="3B530361"/>
    <w:rsid w:val="3B617677"/>
    <w:rsid w:val="3B736697"/>
    <w:rsid w:val="3B757B5E"/>
    <w:rsid w:val="3B883620"/>
    <w:rsid w:val="3B9620CF"/>
    <w:rsid w:val="3B997439"/>
    <w:rsid w:val="3BA371E7"/>
    <w:rsid w:val="3BA65BED"/>
    <w:rsid w:val="3BB70085"/>
    <w:rsid w:val="3BD918BF"/>
    <w:rsid w:val="3BDB4DC2"/>
    <w:rsid w:val="3BE01999"/>
    <w:rsid w:val="3BE2474D"/>
    <w:rsid w:val="3C090267"/>
    <w:rsid w:val="3C09240E"/>
    <w:rsid w:val="3C146221"/>
    <w:rsid w:val="3C17100E"/>
    <w:rsid w:val="3C1D10AF"/>
    <w:rsid w:val="3C317D4F"/>
    <w:rsid w:val="3C3C4CFA"/>
    <w:rsid w:val="3C4F72FF"/>
    <w:rsid w:val="3C5C6615"/>
    <w:rsid w:val="3C7360F1"/>
    <w:rsid w:val="3C785F45"/>
    <w:rsid w:val="3CB85FD9"/>
    <w:rsid w:val="3CC365B8"/>
    <w:rsid w:val="3CD51844"/>
    <w:rsid w:val="3CE979FE"/>
    <w:rsid w:val="3D08452F"/>
    <w:rsid w:val="3D3675FD"/>
    <w:rsid w:val="3D3F248B"/>
    <w:rsid w:val="3D5001A7"/>
    <w:rsid w:val="3D55441E"/>
    <w:rsid w:val="3D6B2F4F"/>
    <w:rsid w:val="3D713555"/>
    <w:rsid w:val="3D741DEE"/>
    <w:rsid w:val="3D8253E3"/>
    <w:rsid w:val="3D85737C"/>
    <w:rsid w:val="3D9C3FFF"/>
    <w:rsid w:val="3DA92F31"/>
    <w:rsid w:val="3DB3244A"/>
    <w:rsid w:val="3DC213DF"/>
    <w:rsid w:val="3DDE328E"/>
    <w:rsid w:val="3DF33233"/>
    <w:rsid w:val="3E076650"/>
    <w:rsid w:val="3E0B0DB0"/>
    <w:rsid w:val="3E0C635B"/>
    <w:rsid w:val="3E116F60"/>
    <w:rsid w:val="3E514C41"/>
    <w:rsid w:val="3E572F58"/>
    <w:rsid w:val="3E636D6A"/>
    <w:rsid w:val="3E872DEF"/>
    <w:rsid w:val="3E962A3C"/>
    <w:rsid w:val="3E9704BE"/>
    <w:rsid w:val="3EE94A45"/>
    <w:rsid w:val="3F043070"/>
    <w:rsid w:val="3F1D2CEE"/>
    <w:rsid w:val="3F1E169C"/>
    <w:rsid w:val="3F401479"/>
    <w:rsid w:val="3F4D6968"/>
    <w:rsid w:val="3F6116ED"/>
    <w:rsid w:val="3F651E10"/>
    <w:rsid w:val="3F8B424E"/>
    <w:rsid w:val="3F934EDE"/>
    <w:rsid w:val="3FA311E9"/>
    <w:rsid w:val="3FA97081"/>
    <w:rsid w:val="3FB14FDF"/>
    <w:rsid w:val="3FCE6ABE"/>
    <w:rsid w:val="40130E98"/>
    <w:rsid w:val="401776B5"/>
    <w:rsid w:val="403501D5"/>
    <w:rsid w:val="40516596"/>
    <w:rsid w:val="40555167"/>
    <w:rsid w:val="407E4ADB"/>
    <w:rsid w:val="40B04E56"/>
    <w:rsid w:val="40C60753"/>
    <w:rsid w:val="40C761D4"/>
    <w:rsid w:val="40D15800"/>
    <w:rsid w:val="40D24565"/>
    <w:rsid w:val="40D74270"/>
    <w:rsid w:val="40FC7D98"/>
    <w:rsid w:val="410113A2"/>
    <w:rsid w:val="411C36E0"/>
    <w:rsid w:val="415D4149"/>
    <w:rsid w:val="416F143B"/>
    <w:rsid w:val="41880811"/>
    <w:rsid w:val="41932425"/>
    <w:rsid w:val="419633AA"/>
    <w:rsid w:val="41980AAB"/>
    <w:rsid w:val="41A361F9"/>
    <w:rsid w:val="41B44DE2"/>
    <w:rsid w:val="41C60C56"/>
    <w:rsid w:val="41E9727E"/>
    <w:rsid w:val="41F06F3B"/>
    <w:rsid w:val="41F50509"/>
    <w:rsid w:val="420226D9"/>
    <w:rsid w:val="42075675"/>
    <w:rsid w:val="423563AB"/>
    <w:rsid w:val="42375131"/>
    <w:rsid w:val="42533B5D"/>
    <w:rsid w:val="42557F64"/>
    <w:rsid w:val="42610172"/>
    <w:rsid w:val="426339F7"/>
    <w:rsid w:val="42675C80"/>
    <w:rsid w:val="42705E47"/>
    <w:rsid w:val="42733C91"/>
    <w:rsid w:val="427C45A1"/>
    <w:rsid w:val="428803B3"/>
    <w:rsid w:val="428C76CE"/>
    <w:rsid w:val="42916AC5"/>
    <w:rsid w:val="42A3645B"/>
    <w:rsid w:val="42CE0B28"/>
    <w:rsid w:val="43046EDF"/>
    <w:rsid w:val="432106B2"/>
    <w:rsid w:val="43603542"/>
    <w:rsid w:val="43610097"/>
    <w:rsid w:val="436807A8"/>
    <w:rsid w:val="43790FC1"/>
    <w:rsid w:val="439901E8"/>
    <w:rsid w:val="43A14703"/>
    <w:rsid w:val="43BB74AB"/>
    <w:rsid w:val="43C63034"/>
    <w:rsid w:val="43CD51C7"/>
    <w:rsid w:val="43EC12FF"/>
    <w:rsid w:val="43F11B33"/>
    <w:rsid w:val="43F17986"/>
    <w:rsid w:val="43FF4262"/>
    <w:rsid w:val="44062B2A"/>
    <w:rsid w:val="442A62D8"/>
    <w:rsid w:val="444678CE"/>
    <w:rsid w:val="444744C8"/>
    <w:rsid w:val="44495B09"/>
    <w:rsid w:val="444B1319"/>
    <w:rsid w:val="44565A46"/>
    <w:rsid w:val="445C041A"/>
    <w:rsid w:val="44604594"/>
    <w:rsid w:val="447E086E"/>
    <w:rsid w:val="44B454C5"/>
    <w:rsid w:val="44C125DD"/>
    <w:rsid w:val="44CA2EEC"/>
    <w:rsid w:val="44CA7669"/>
    <w:rsid w:val="44D35D7A"/>
    <w:rsid w:val="44DD6689"/>
    <w:rsid w:val="44E7774D"/>
    <w:rsid w:val="45127C50"/>
    <w:rsid w:val="452B6409"/>
    <w:rsid w:val="454416D4"/>
    <w:rsid w:val="455206EE"/>
    <w:rsid w:val="45595C53"/>
    <w:rsid w:val="455E7EDC"/>
    <w:rsid w:val="45830A1B"/>
    <w:rsid w:val="458A4224"/>
    <w:rsid w:val="458D51A8"/>
    <w:rsid w:val="459B4244"/>
    <w:rsid w:val="45A33E4B"/>
    <w:rsid w:val="45A94422"/>
    <w:rsid w:val="45AD5D43"/>
    <w:rsid w:val="45B253E8"/>
    <w:rsid w:val="45CC5F92"/>
    <w:rsid w:val="45DF172F"/>
    <w:rsid w:val="45FB1AA6"/>
    <w:rsid w:val="45FB3A22"/>
    <w:rsid w:val="460B12FA"/>
    <w:rsid w:val="46236563"/>
    <w:rsid w:val="462C3A2D"/>
    <w:rsid w:val="462C5C13"/>
    <w:rsid w:val="46430BED"/>
    <w:rsid w:val="465C2D4B"/>
    <w:rsid w:val="465C457C"/>
    <w:rsid w:val="467609A9"/>
    <w:rsid w:val="46765126"/>
    <w:rsid w:val="469211D3"/>
    <w:rsid w:val="46B86E94"/>
    <w:rsid w:val="46E3355B"/>
    <w:rsid w:val="46E67A01"/>
    <w:rsid w:val="46F87BA3"/>
    <w:rsid w:val="471901B2"/>
    <w:rsid w:val="47262D4B"/>
    <w:rsid w:val="47330D5C"/>
    <w:rsid w:val="474A246F"/>
    <w:rsid w:val="47670737"/>
    <w:rsid w:val="479D620D"/>
    <w:rsid w:val="47BE6742"/>
    <w:rsid w:val="47CF3DB5"/>
    <w:rsid w:val="47D927EF"/>
    <w:rsid w:val="47E0217A"/>
    <w:rsid w:val="47F00216"/>
    <w:rsid w:val="47F236FB"/>
    <w:rsid w:val="480F5247"/>
    <w:rsid w:val="481822D3"/>
    <w:rsid w:val="48233EE8"/>
    <w:rsid w:val="4839608B"/>
    <w:rsid w:val="483A3F41"/>
    <w:rsid w:val="4857563B"/>
    <w:rsid w:val="485D1370"/>
    <w:rsid w:val="48622CF7"/>
    <w:rsid w:val="486421D3"/>
    <w:rsid w:val="4869465C"/>
    <w:rsid w:val="48713C67"/>
    <w:rsid w:val="487813F3"/>
    <w:rsid w:val="488678AB"/>
    <w:rsid w:val="488F701E"/>
    <w:rsid w:val="48A766BF"/>
    <w:rsid w:val="48B06FCF"/>
    <w:rsid w:val="48C37CC6"/>
    <w:rsid w:val="48CD65BA"/>
    <w:rsid w:val="48FF25D1"/>
    <w:rsid w:val="49281A93"/>
    <w:rsid w:val="492F313E"/>
    <w:rsid w:val="49495EC9"/>
    <w:rsid w:val="495010D7"/>
    <w:rsid w:val="4955555E"/>
    <w:rsid w:val="49611371"/>
    <w:rsid w:val="49A21DDA"/>
    <w:rsid w:val="49E453DD"/>
    <w:rsid w:val="49EE4458"/>
    <w:rsid w:val="4A1E3E7D"/>
    <w:rsid w:val="4A2D39E1"/>
    <w:rsid w:val="4A35264E"/>
    <w:rsid w:val="4A3C21D9"/>
    <w:rsid w:val="4A521971"/>
    <w:rsid w:val="4A597197"/>
    <w:rsid w:val="4A6B5E29"/>
    <w:rsid w:val="4A880DD3"/>
    <w:rsid w:val="4A9C4E28"/>
    <w:rsid w:val="4AEC68F9"/>
    <w:rsid w:val="4AFF7B18"/>
    <w:rsid w:val="4B0F494C"/>
    <w:rsid w:val="4B254325"/>
    <w:rsid w:val="4B26325B"/>
    <w:rsid w:val="4B275459"/>
    <w:rsid w:val="4B2941E0"/>
    <w:rsid w:val="4B3969F9"/>
    <w:rsid w:val="4B454A0A"/>
    <w:rsid w:val="4B7D2F03"/>
    <w:rsid w:val="4B962C4E"/>
    <w:rsid w:val="4BC27856"/>
    <w:rsid w:val="4BC841B2"/>
    <w:rsid w:val="4BE432AF"/>
    <w:rsid w:val="4BE90D9B"/>
    <w:rsid w:val="4BEF2CA4"/>
    <w:rsid w:val="4BFF2F3E"/>
    <w:rsid w:val="4C085DCC"/>
    <w:rsid w:val="4C1D2BE9"/>
    <w:rsid w:val="4C261BDE"/>
    <w:rsid w:val="4C334692"/>
    <w:rsid w:val="4C4A42B7"/>
    <w:rsid w:val="4C660668"/>
    <w:rsid w:val="4C721BF8"/>
    <w:rsid w:val="4C7508A7"/>
    <w:rsid w:val="4C783B02"/>
    <w:rsid w:val="4C816990"/>
    <w:rsid w:val="4CA76BCF"/>
    <w:rsid w:val="4CB613E8"/>
    <w:rsid w:val="4CBF7AF9"/>
    <w:rsid w:val="4CCC6E0F"/>
    <w:rsid w:val="4CD20D18"/>
    <w:rsid w:val="4CE51F37"/>
    <w:rsid w:val="4CF80312"/>
    <w:rsid w:val="4D1B40EF"/>
    <w:rsid w:val="4D2079EB"/>
    <w:rsid w:val="4D2B4C2A"/>
    <w:rsid w:val="4D3A7443"/>
    <w:rsid w:val="4D570F71"/>
    <w:rsid w:val="4DAB09FB"/>
    <w:rsid w:val="4DE1452E"/>
    <w:rsid w:val="4DEE01EB"/>
    <w:rsid w:val="4DF036EE"/>
    <w:rsid w:val="4DF30DF0"/>
    <w:rsid w:val="4DF6271E"/>
    <w:rsid w:val="4DFC16FF"/>
    <w:rsid w:val="4E03108A"/>
    <w:rsid w:val="4E042C86"/>
    <w:rsid w:val="4E2822B5"/>
    <w:rsid w:val="4E3C24E9"/>
    <w:rsid w:val="4E424107"/>
    <w:rsid w:val="4E5A1A99"/>
    <w:rsid w:val="4E640249"/>
    <w:rsid w:val="4E723844"/>
    <w:rsid w:val="4E774519"/>
    <w:rsid w:val="4E7D0D54"/>
    <w:rsid w:val="4E835C30"/>
    <w:rsid w:val="4E85035F"/>
    <w:rsid w:val="4E9E77F7"/>
    <w:rsid w:val="4EB95335"/>
    <w:rsid w:val="4EC933D2"/>
    <w:rsid w:val="4ED33CE1"/>
    <w:rsid w:val="4ED70169"/>
    <w:rsid w:val="4EF67E0C"/>
    <w:rsid w:val="4F01352B"/>
    <w:rsid w:val="4F0679B3"/>
    <w:rsid w:val="4F13254C"/>
    <w:rsid w:val="4F26376B"/>
    <w:rsid w:val="4F423F95"/>
    <w:rsid w:val="4F4C1158"/>
    <w:rsid w:val="4F6279AB"/>
    <w:rsid w:val="4F753C16"/>
    <w:rsid w:val="4F94051C"/>
    <w:rsid w:val="4FA74FBE"/>
    <w:rsid w:val="4FBD2D29"/>
    <w:rsid w:val="4FBF6DE2"/>
    <w:rsid w:val="4FD6783A"/>
    <w:rsid w:val="500243D3"/>
    <w:rsid w:val="500D2764"/>
    <w:rsid w:val="501555F2"/>
    <w:rsid w:val="502D7993"/>
    <w:rsid w:val="502E071A"/>
    <w:rsid w:val="504273BB"/>
    <w:rsid w:val="505605DA"/>
    <w:rsid w:val="50566205"/>
    <w:rsid w:val="506A727A"/>
    <w:rsid w:val="50941CF8"/>
    <w:rsid w:val="509636E2"/>
    <w:rsid w:val="50B13272"/>
    <w:rsid w:val="50B6710F"/>
    <w:rsid w:val="50BC2F96"/>
    <w:rsid w:val="50C54111"/>
    <w:rsid w:val="50C75416"/>
    <w:rsid w:val="50D21228"/>
    <w:rsid w:val="50DE7239"/>
    <w:rsid w:val="51092B6B"/>
    <w:rsid w:val="511801A1"/>
    <w:rsid w:val="51435EF0"/>
    <w:rsid w:val="514A216C"/>
    <w:rsid w:val="516A26A0"/>
    <w:rsid w:val="51935A63"/>
    <w:rsid w:val="51A227FA"/>
    <w:rsid w:val="51A57002"/>
    <w:rsid w:val="51B95CA3"/>
    <w:rsid w:val="51E31065"/>
    <w:rsid w:val="51F65583"/>
    <w:rsid w:val="5204701C"/>
    <w:rsid w:val="520A0F25"/>
    <w:rsid w:val="521274CB"/>
    <w:rsid w:val="521777AA"/>
    <w:rsid w:val="521E7BC5"/>
    <w:rsid w:val="522265CC"/>
    <w:rsid w:val="523D726B"/>
    <w:rsid w:val="52611333"/>
    <w:rsid w:val="527F164D"/>
    <w:rsid w:val="528278EA"/>
    <w:rsid w:val="529C6C5D"/>
    <w:rsid w:val="52B5070D"/>
    <w:rsid w:val="52E03A67"/>
    <w:rsid w:val="52FC46EA"/>
    <w:rsid w:val="531B12C1"/>
    <w:rsid w:val="53400FA2"/>
    <w:rsid w:val="534D042C"/>
    <w:rsid w:val="5350703E"/>
    <w:rsid w:val="53523734"/>
    <w:rsid w:val="537A7E82"/>
    <w:rsid w:val="538B07B0"/>
    <w:rsid w:val="538C361F"/>
    <w:rsid w:val="538D10A1"/>
    <w:rsid w:val="53A46AC8"/>
    <w:rsid w:val="53A54549"/>
    <w:rsid w:val="53C25E9B"/>
    <w:rsid w:val="53DB6C22"/>
    <w:rsid w:val="53DC6880"/>
    <w:rsid w:val="53E302A3"/>
    <w:rsid w:val="53F47B4C"/>
    <w:rsid w:val="5403314B"/>
    <w:rsid w:val="54213B13"/>
    <w:rsid w:val="542A2224"/>
    <w:rsid w:val="544A4CD7"/>
    <w:rsid w:val="54514662"/>
    <w:rsid w:val="545309AA"/>
    <w:rsid w:val="545568EB"/>
    <w:rsid w:val="54653303"/>
    <w:rsid w:val="54BD0940"/>
    <w:rsid w:val="54BF0519"/>
    <w:rsid w:val="54E603D9"/>
    <w:rsid w:val="54FF3501"/>
    <w:rsid w:val="552072B9"/>
    <w:rsid w:val="552827AD"/>
    <w:rsid w:val="552B1450"/>
    <w:rsid w:val="552C52CA"/>
    <w:rsid w:val="552D6BF5"/>
    <w:rsid w:val="55584783"/>
    <w:rsid w:val="555A4B64"/>
    <w:rsid w:val="555D389B"/>
    <w:rsid w:val="556E51CC"/>
    <w:rsid w:val="558127D5"/>
    <w:rsid w:val="55835CD9"/>
    <w:rsid w:val="558E2FA7"/>
    <w:rsid w:val="559B1181"/>
    <w:rsid w:val="55B464A8"/>
    <w:rsid w:val="55B577AC"/>
    <w:rsid w:val="55B7742C"/>
    <w:rsid w:val="55BD2802"/>
    <w:rsid w:val="55F969E7"/>
    <w:rsid w:val="55FD59A2"/>
    <w:rsid w:val="56024028"/>
    <w:rsid w:val="5616190A"/>
    <w:rsid w:val="56391F84"/>
    <w:rsid w:val="56856B80"/>
    <w:rsid w:val="56941399"/>
    <w:rsid w:val="56962361"/>
    <w:rsid w:val="569F71AC"/>
    <w:rsid w:val="56BA15D9"/>
    <w:rsid w:val="56C2222C"/>
    <w:rsid w:val="56DA1B0D"/>
    <w:rsid w:val="56E26F1A"/>
    <w:rsid w:val="56E65920"/>
    <w:rsid w:val="56EF3AF5"/>
    <w:rsid w:val="56F23931"/>
    <w:rsid w:val="56F83407"/>
    <w:rsid w:val="571A4227"/>
    <w:rsid w:val="571E54DC"/>
    <w:rsid w:val="572210F5"/>
    <w:rsid w:val="572647A1"/>
    <w:rsid w:val="572A730E"/>
    <w:rsid w:val="57435A05"/>
    <w:rsid w:val="574B7843"/>
    <w:rsid w:val="57520DB4"/>
    <w:rsid w:val="576146B9"/>
    <w:rsid w:val="57677173"/>
    <w:rsid w:val="57702001"/>
    <w:rsid w:val="577865C9"/>
    <w:rsid w:val="578F7CCE"/>
    <w:rsid w:val="579456E3"/>
    <w:rsid w:val="579C1BCB"/>
    <w:rsid w:val="57B04FE9"/>
    <w:rsid w:val="57B74973"/>
    <w:rsid w:val="57D57EBA"/>
    <w:rsid w:val="57E1103B"/>
    <w:rsid w:val="57E23AB5"/>
    <w:rsid w:val="57F020A7"/>
    <w:rsid w:val="580637F9"/>
    <w:rsid w:val="58144D0D"/>
    <w:rsid w:val="58420BB7"/>
    <w:rsid w:val="5843535D"/>
    <w:rsid w:val="58467715"/>
    <w:rsid w:val="587B1239"/>
    <w:rsid w:val="58886F75"/>
    <w:rsid w:val="58B65B9B"/>
    <w:rsid w:val="58C91339"/>
    <w:rsid w:val="58E37964"/>
    <w:rsid w:val="591B7ABE"/>
    <w:rsid w:val="592A4855"/>
    <w:rsid w:val="592F4560"/>
    <w:rsid w:val="593309E8"/>
    <w:rsid w:val="593C7FF3"/>
    <w:rsid w:val="597823D6"/>
    <w:rsid w:val="598227C6"/>
    <w:rsid w:val="59AD4E2E"/>
    <w:rsid w:val="59B07FB1"/>
    <w:rsid w:val="59BC675C"/>
    <w:rsid w:val="59FB712C"/>
    <w:rsid w:val="59FD262F"/>
    <w:rsid w:val="5A050D40"/>
    <w:rsid w:val="5A09064B"/>
    <w:rsid w:val="5A364636"/>
    <w:rsid w:val="5A4178A0"/>
    <w:rsid w:val="5A5468C1"/>
    <w:rsid w:val="5A5A624C"/>
    <w:rsid w:val="5A770B6E"/>
    <w:rsid w:val="5A7B6781"/>
    <w:rsid w:val="5A805337"/>
    <w:rsid w:val="5A8A0BF0"/>
    <w:rsid w:val="5A8A56E2"/>
    <w:rsid w:val="5AB246DC"/>
    <w:rsid w:val="5AB3215E"/>
    <w:rsid w:val="5AB61CF5"/>
    <w:rsid w:val="5AD05E8B"/>
    <w:rsid w:val="5AD42692"/>
    <w:rsid w:val="5AE250B9"/>
    <w:rsid w:val="5AE65E30"/>
    <w:rsid w:val="5B0B05EE"/>
    <w:rsid w:val="5B106C74"/>
    <w:rsid w:val="5B28211D"/>
    <w:rsid w:val="5B2F7529"/>
    <w:rsid w:val="5B3439B1"/>
    <w:rsid w:val="5B490AD6"/>
    <w:rsid w:val="5B610C4B"/>
    <w:rsid w:val="5B6553FD"/>
    <w:rsid w:val="5B814DBA"/>
    <w:rsid w:val="5B8931D8"/>
    <w:rsid w:val="5BB95E08"/>
    <w:rsid w:val="5BBA168B"/>
    <w:rsid w:val="5BBD01B3"/>
    <w:rsid w:val="5C13779B"/>
    <w:rsid w:val="5C297741"/>
    <w:rsid w:val="5C443BB1"/>
    <w:rsid w:val="5CAD799A"/>
    <w:rsid w:val="5CB660AB"/>
    <w:rsid w:val="5CBD35F4"/>
    <w:rsid w:val="5CC611FF"/>
    <w:rsid w:val="5CCF11D3"/>
    <w:rsid w:val="5D187049"/>
    <w:rsid w:val="5D2B3E8A"/>
    <w:rsid w:val="5D4A309B"/>
    <w:rsid w:val="5D4B0B1D"/>
    <w:rsid w:val="5D655437"/>
    <w:rsid w:val="5D6A315C"/>
    <w:rsid w:val="5D7F7CF2"/>
    <w:rsid w:val="5D851C35"/>
    <w:rsid w:val="5DAA43BA"/>
    <w:rsid w:val="5DBB1104"/>
    <w:rsid w:val="5DBC7B57"/>
    <w:rsid w:val="5DDE7708"/>
    <w:rsid w:val="5DF04B2E"/>
    <w:rsid w:val="5DFE3E44"/>
    <w:rsid w:val="5E063544"/>
    <w:rsid w:val="5E1075E1"/>
    <w:rsid w:val="5E1B7B71"/>
    <w:rsid w:val="5E203FF8"/>
    <w:rsid w:val="5E317B16"/>
    <w:rsid w:val="5E66256E"/>
    <w:rsid w:val="5E77028A"/>
    <w:rsid w:val="5EB031ED"/>
    <w:rsid w:val="5EB1716B"/>
    <w:rsid w:val="5F187E14"/>
    <w:rsid w:val="5F255EFF"/>
    <w:rsid w:val="5F3C12CD"/>
    <w:rsid w:val="5F3D0F4D"/>
    <w:rsid w:val="5F417953"/>
    <w:rsid w:val="5F5159EF"/>
    <w:rsid w:val="5F5D0FE7"/>
    <w:rsid w:val="5F7E77B8"/>
    <w:rsid w:val="5F844F44"/>
    <w:rsid w:val="5F9C6D68"/>
    <w:rsid w:val="5FBE2597"/>
    <w:rsid w:val="5FC559AE"/>
    <w:rsid w:val="5FDA5B33"/>
    <w:rsid w:val="5FDC7E75"/>
    <w:rsid w:val="5FE813E6"/>
    <w:rsid w:val="5FF120B4"/>
    <w:rsid w:val="5FFB3749"/>
    <w:rsid w:val="600317C6"/>
    <w:rsid w:val="60083E99"/>
    <w:rsid w:val="601C2B39"/>
    <w:rsid w:val="603666FB"/>
    <w:rsid w:val="603A596D"/>
    <w:rsid w:val="605D4C28"/>
    <w:rsid w:val="605F012B"/>
    <w:rsid w:val="607B393B"/>
    <w:rsid w:val="607D18D9"/>
    <w:rsid w:val="6093187E"/>
    <w:rsid w:val="609357F0"/>
    <w:rsid w:val="609B470C"/>
    <w:rsid w:val="60AC4695"/>
    <w:rsid w:val="60BA2331"/>
    <w:rsid w:val="60BE37BE"/>
    <w:rsid w:val="60D45B6B"/>
    <w:rsid w:val="60D6106E"/>
    <w:rsid w:val="60EB32AF"/>
    <w:rsid w:val="6111214D"/>
    <w:rsid w:val="61171AD8"/>
    <w:rsid w:val="612620F2"/>
    <w:rsid w:val="612B657A"/>
    <w:rsid w:val="6142291C"/>
    <w:rsid w:val="614E316C"/>
    <w:rsid w:val="6198332B"/>
    <w:rsid w:val="61B73BDF"/>
    <w:rsid w:val="61BD0796"/>
    <w:rsid w:val="61EE1B3B"/>
    <w:rsid w:val="61FE0917"/>
    <w:rsid w:val="620152D8"/>
    <w:rsid w:val="62025E32"/>
    <w:rsid w:val="623E513D"/>
    <w:rsid w:val="62563CE5"/>
    <w:rsid w:val="6260099C"/>
    <w:rsid w:val="62674C7D"/>
    <w:rsid w:val="626B1DE4"/>
    <w:rsid w:val="62BE0F0F"/>
    <w:rsid w:val="62C63018"/>
    <w:rsid w:val="62E47AC9"/>
    <w:rsid w:val="63097D09"/>
    <w:rsid w:val="6350047D"/>
    <w:rsid w:val="636C6BB3"/>
    <w:rsid w:val="63723EB5"/>
    <w:rsid w:val="63960BF2"/>
    <w:rsid w:val="63BE0AB1"/>
    <w:rsid w:val="63C11A36"/>
    <w:rsid w:val="63DB6817"/>
    <w:rsid w:val="6412053C"/>
    <w:rsid w:val="64414FA6"/>
    <w:rsid w:val="64430D0B"/>
    <w:rsid w:val="64646F50"/>
    <w:rsid w:val="648065F1"/>
    <w:rsid w:val="64971BDD"/>
    <w:rsid w:val="64AF4B60"/>
    <w:rsid w:val="64BA3B41"/>
    <w:rsid w:val="64C869E5"/>
    <w:rsid w:val="64F81E92"/>
    <w:rsid w:val="65015C46"/>
    <w:rsid w:val="65046BCA"/>
    <w:rsid w:val="650A2CD2"/>
    <w:rsid w:val="650D32FF"/>
    <w:rsid w:val="651435E1"/>
    <w:rsid w:val="654153AA"/>
    <w:rsid w:val="654D4A40"/>
    <w:rsid w:val="655115A8"/>
    <w:rsid w:val="6566621E"/>
    <w:rsid w:val="65821697"/>
    <w:rsid w:val="658D0F21"/>
    <w:rsid w:val="65927733"/>
    <w:rsid w:val="65B6241E"/>
    <w:rsid w:val="65CE6293"/>
    <w:rsid w:val="65D12A9B"/>
    <w:rsid w:val="65D85E53"/>
    <w:rsid w:val="65F740ED"/>
    <w:rsid w:val="65FC1361"/>
    <w:rsid w:val="66077C6A"/>
    <w:rsid w:val="660A60F8"/>
    <w:rsid w:val="661E7317"/>
    <w:rsid w:val="66200EA8"/>
    <w:rsid w:val="66495BDD"/>
    <w:rsid w:val="66575416"/>
    <w:rsid w:val="665B137A"/>
    <w:rsid w:val="666D4B17"/>
    <w:rsid w:val="669E696B"/>
    <w:rsid w:val="66B94F97"/>
    <w:rsid w:val="66BA4C17"/>
    <w:rsid w:val="66C37AA5"/>
    <w:rsid w:val="66C60005"/>
    <w:rsid w:val="66CA7430"/>
    <w:rsid w:val="66D435C2"/>
    <w:rsid w:val="66ED66EB"/>
    <w:rsid w:val="66F12B72"/>
    <w:rsid w:val="67073D47"/>
    <w:rsid w:val="671E273D"/>
    <w:rsid w:val="672520EB"/>
    <w:rsid w:val="672A6A01"/>
    <w:rsid w:val="6739432B"/>
    <w:rsid w:val="67662B31"/>
    <w:rsid w:val="67763396"/>
    <w:rsid w:val="67782018"/>
    <w:rsid w:val="6779274B"/>
    <w:rsid w:val="678A1A6C"/>
    <w:rsid w:val="67926E78"/>
    <w:rsid w:val="679C7788"/>
    <w:rsid w:val="679F070D"/>
    <w:rsid w:val="67A9335C"/>
    <w:rsid w:val="67D44D17"/>
    <w:rsid w:val="68014F2E"/>
    <w:rsid w:val="680B32BF"/>
    <w:rsid w:val="680C4CB4"/>
    <w:rsid w:val="680E2045"/>
    <w:rsid w:val="68334803"/>
    <w:rsid w:val="68374408"/>
    <w:rsid w:val="68400296"/>
    <w:rsid w:val="685811C0"/>
    <w:rsid w:val="68976726"/>
    <w:rsid w:val="68B343A8"/>
    <w:rsid w:val="68C42A6D"/>
    <w:rsid w:val="68EF42FF"/>
    <w:rsid w:val="69075AE0"/>
    <w:rsid w:val="69133F7E"/>
    <w:rsid w:val="69156EBB"/>
    <w:rsid w:val="692662FA"/>
    <w:rsid w:val="694D4F50"/>
    <w:rsid w:val="695C7769"/>
    <w:rsid w:val="69760313"/>
    <w:rsid w:val="698406CF"/>
    <w:rsid w:val="698718B2"/>
    <w:rsid w:val="698A6FB3"/>
    <w:rsid w:val="69B45BF9"/>
    <w:rsid w:val="69BF0B25"/>
    <w:rsid w:val="69D21364"/>
    <w:rsid w:val="69DD483F"/>
    <w:rsid w:val="69F47683"/>
    <w:rsid w:val="69F942E4"/>
    <w:rsid w:val="6A010AFD"/>
    <w:rsid w:val="6A0568FD"/>
    <w:rsid w:val="6A2B6B3C"/>
    <w:rsid w:val="6A5F0290"/>
    <w:rsid w:val="6A865F51"/>
    <w:rsid w:val="6A9B2674"/>
    <w:rsid w:val="6A9D5B77"/>
    <w:rsid w:val="6AA40D85"/>
    <w:rsid w:val="6AA64288"/>
    <w:rsid w:val="6ABB09AA"/>
    <w:rsid w:val="6ABC4A8D"/>
    <w:rsid w:val="6AD74A57"/>
    <w:rsid w:val="6B187327"/>
    <w:rsid w:val="6B266753"/>
    <w:rsid w:val="6B3D0527"/>
    <w:rsid w:val="6B4F341C"/>
    <w:rsid w:val="6B7845E0"/>
    <w:rsid w:val="6B876DF9"/>
    <w:rsid w:val="6B9F60AC"/>
    <w:rsid w:val="6BA350A4"/>
    <w:rsid w:val="6BBA2ACB"/>
    <w:rsid w:val="6BBB054D"/>
    <w:rsid w:val="6BE51391"/>
    <w:rsid w:val="6BFA38B5"/>
    <w:rsid w:val="6C0A3B4F"/>
    <w:rsid w:val="6C254067"/>
    <w:rsid w:val="6C290B81"/>
    <w:rsid w:val="6C327292"/>
    <w:rsid w:val="6C3426E1"/>
    <w:rsid w:val="6C352415"/>
    <w:rsid w:val="6C5703CB"/>
    <w:rsid w:val="6C774F51"/>
    <w:rsid w:val="6C7A1884"/>
    <w:rsid w:val="6CBB3973"/>
    <w:rsid w:val="6CD62F24"/>
    <w:rsid w:val="6CE25DB1"/>
    <w:rsid w:val="6CFD43DC"/>
    <w:rsid w:val="6D060E91"/>
    <w:rsid w:val="6D0A6F75"/>
    <w:rsid w:val="6D11307D"/>
    <w:rsid w:val="6D116900"/>
    <w:rsid w:val="6D201119"/>
    <w:rsid w:val="6D2E4BAB"/>
    <w:rsid w:val="6D3D73C4"/>
    <w:rsid w:val="6D4A44DB"/>
    <w:rsid w:val="6D63623C"/>
    <w:rsid w:val="6D812437"/>
    <w:rsid w:val="6D853006"/>
    <w:rsid w:val="6DC97B7C"/>
    <w:rsid w:val="6DE82CCD"/>
    <w:rsid w:val="6DEB7F47"/>
    <w:rsid w:val="6E087CA3"/>
    <w:rsid w:val="6E123F24"/>
    <w:rsid w:val="6E2464EB"/>
    <w:rsid w:val="6E3B72E7"/>
    <w:rsid w:val="6E3E606D"/>
    <w:rsid w:val="6E5C02CB"/>
    <w:rsid w:val="6E680DA5"/>
    <w:rsid w:val="6E804558"/>
    <w:rsid w:val="6EA0288E"/>
    <w:rsid w:val="6EE509F4"/>
    <w:rsid w:val="6EFC51A7"/>
    <w:rsid w:val="6F023405"/>
    <w:rsid w:val="6F0A66BA"/>
    <w:rsid w:val="6F0B13DB"/>
    <w:rsid w:val="6F25039A"/>
    <w:rsid w:val="6F376285"/>
    <w:rsid w:val="6F516E2F"/>
    <w:rsid w:val="6F8D3411"/>
    <w:rsid w:val="6FA337AE"/>
    <w:rsid w:val="6FA8783E"/>
    <w:rsid w:val="6FB75ADD"/>
    <w:rsid w:val="6FBC2EB1"/>
    <w:rsid w:val="6FDB6D93"/>
    <w:rsid w:val="6FEE7FB2"/>
    <w:rsid w:val="700346D4"/>
    <w:rsid w:val="702D331A"/>
    <w:rsid w:val="70623166"/>
    <w:rsid w:val="70655672"/>
    <w:rsid w:val="70714D08"/>
    <w:rsid w:val="7073020B"/>
    <w:rsid w:val="70876EAC"/>
    <w:rsid w:val="709C35CE"/>
    <w:rsid w:val="70B17CF0"/>
    <w:rsid w:val="70B40C75"/>
    <w:rsid w:val="70D127A3"/>
    <w:rsid w:val="70E565DB"/>
    <w:rsid w:val="70F86AD9"/>
    <w:rsid w:val="71032079"/>
    <w:rsid w:val="71236D2A"/>
    <w:rsid w:val="71511DF8"/>
    <w:rsid w:val="71936767"/>
    <w:rsid w:val="719515E7"/>
    <w:rsid w:val="71A01CD2"/>
    <w:rsid w:val="71A26F09"/>
    <w:rsid w:val="71FE5794"/>
    <w:rsid w:val="720A37A4"/>
    <w:rsid w:val="720F35F2"/>
    <w:rsid w:val="72100F31"/>
    <w:rsid w:val="72287D95"/>
    <w:rsid w:val="72304FDF"/>
    <w:rsid w:val="723356D2"/>
    <w:rsid w:val="72434C03"/>
    <w:rsid w:val="72453989"/>
    <w:rsid w:val="7247717D"/>
    <w:rsid w:val="72543B2A"/>
    <w:rsid w:val="726F0F4A"/>
    <w:rsid w:val="72904D02"/>
    <w:rsid w:val="729926C8"/>
    <w:rsid w:val="72C34258"/>
    <w:rsid w:val="72DB607B"/>
    <w:rsid w:val="72FE4265"/>
    <w:rsid w:val="73096F4B"/>
    <w:rsid w:val="73131A58"/>
    <w:rsid w:val="73142D5D"/>
    <w:rsid w:val="7317045F"/>
    <w:rsid w:val="732D5E85"/>
    <w:rsid w:val="733D42E3"/>
    <w:rsid w:val="734E1AC2"/>
    <w:rsid w:val="7354180D"/>
    <w:rsid w:val="737230F7"/>
    <w:rsid w:val="737B5F85"/>
    <w:rsid w:val="73854316"/>
    <w:rsid w:val="738E4832"/>
    <w:rsid w:val="73950D2D"/>
    <w:rsid w:val="73A57DF9"/>
    <w:rsid w:val="73A744CA"/>
    <w:rsid w:val="73B33B60"/>
    <w:rsid w:val="73C93B06"/>
    <w:rsid w:val="73CC19D5"/>
    <w:rsid w:val="73F4225E"/>
    <w:rsid w:val="74126445"/>
    <w:rsid w:val="741A7D2C"/>
    <w:rsid w:val="742E34AA"/>
    <w:rsid w:val="74373A1A"/>
    <w:rsid w:val="74486D25"/>
    <w:rsid w:val="746016FA"/>
    <w:rsid w:val="74645F02"/>
    <w:rsid w:val="74694588"/>
    <w:rsid w:val="746C550D"/>
    <w:rsid w:val="748A7DE8"/>
    <w:rsid w:val="74964153"/>
    <w:rsid w:val="74AF2AFE"/>
    <w:rsid w:val="74B54A08"/>
    <w:rsid w:val="74B9560C"/>
    <w:rsid w:val="74CA7B0B"/>
    <w:rsid w:val="74CB0DAA"/>
    <w:rsid w:val="74DA5B41"/>
    <w:rsid w:val="74E146D2"/>
    <w:rsid w:val="74F86B15"/>
    <w:rsid w:val="750B5416"/>
    <w:rsid w:val="75293BF3"/>
    <w:rsid w:val="752E55CB"/>
    <w:rsid w:val="753B0164"/>
    <w:rsid w:val="753C5BE5"/>
    <w:rsid w:val="754D5E80"/>
    <w:rsid w:val="756A3232"/>
    <w:rsid w:val="75745DF5"/>
    <w:rsid w:val="75876F5E"/>
    <w:rsid w:val="75895CE5"/>
    <w:rsid w:val="759901A2"/>
    <w:rsid w:val="759A5F7F"/>
    <w:rsid w:val="759F2407"/>
    <w:rsid w:val="759F4B1E"/>
    <w:rsid w:val="75D02BD6"/>
    <w:rsid w:val="75D82D88"/>
    <w:rsid w:val="75E15270"/>
    <w:rsid w:val="75E863CD"/>
    <w:rsid w:val="76116EC2"/>
    <w:rsid w:val="762A1FEB"/>
    <w:rsid w:val="76325B80"/>
    <w:rsid w:val="766530C9"/>
    <w:rsid w:val="769E4528"/>
    <w:rsid w:val="76B344CD"/>
    <w:rsid w:val="76B72ED4"/>
    <w:rsid w:val="76C07F60"/>
    <w:rsid w:val="76E3721B"/>
    <w:rsid w:val="76F00D88"/>
    <w:rsid w:val="76F529B8"/>
    <w:rsid w:val="771928DB"/>
    <w:rsid w:val="771C067A"/>
    <w:rsid w:val="772032D2"/>
    <w:rsid w:val="772A6AEC"/>
    <w:rsid w:val="772D6395"/>
    <w:rsid w:val="77377F8A"/>
    <w:rsid w:val="775871DA"/>
    <w:rsid w:val="7764686F"/>
    <w:rsid w:val="77693C0F"/>
    <w:rsid w:val="77695CCA"/>
    <w:rsid w:val="776B03F9"/>
    <w:rsid w:val="776C5E7A"/>
    <w:rsid w:val="77785510"/>
    <w:rsid w:val="77881F27"/>
    <w:rsid w:val="779415BD"/>
    <w:rsid w:val="779C0BC8"/>
    <w:rsid w:val="779C4C9B"/>
    <w:rsid w:val="77A43A56"/>
    <w:rsid w:val="77A46AB4"/>
    <w:rsid w:val="77C2468B"/>
    <w:rsid w:val="77F834E0"/>
    <w:rsid w:val="780A11FC"/>
    <w:rsid w:val="780B5507"/>
    <w:rsid w:val="781E6BFA"/>
    <w:rsid w:val="782C6806"/>
    <w:rsid w:val="78397963"/>
    <w:rsid w:val="7854684C"/>
    <w:rsid w:val="7855167B"/>
    <w:rsid w:val="786D2FD3"/>
    <w:rsid w:val="788F4999"/>
    <w:rsid w:val="78A53586"/>
    <w:rsid w:val="78A92755"/>
    <w:rsid w:val="78B70D5C"/>
    <w:rsid w:val="78B8009B"/>
    <w:rsid w:val="78B9366E"/>
    <w:rsid w:val="78BC17CD"/>
    <w:rsid w:val="78C5192F"/>
    <w:rsid w:val="78D366C6"/>
    <w:rsid w:val="790B20A3"/>
    <w:rsid w:val="79171739"/>
    <w:rsid w:val="79427FFF"/>
    <w:rsid w:val="79695CC0"/>
    <w:rsid w:val="796C47DC"/>
    <w:rsid w:val="797D3E85"/>
    <w:rsid w:val="799A2E69"/>
    <w:rsid w:val="799B610F"/>
    <w:rsid w:val="79DB277C"/>
    <w:rsid w:val="79DF2C7C"/>
    <w:rsid w:val="79E47779"/>
    <w:rsid w:val="79F57AA2"/>
    <w:rsid w:val="7A194129"/>
    <w:rsid w:val="7A1F66E8"/>
    <w:rsid w:val="7A361B91"/>
    <w:rsid w:val="7A371DB2"/>
    <w:rsid w:val="7A4C3D34"/>
    <w:rsid w:val="7A5F4F53"/>
    <w:rsid w:val="7A7D4CC5"/>
    <w:rsid w:val="7A8D479E"/>
    <w:rsid w:val="7AB251B5"/>
    <w:rsid w:val="7AB57EE0"/>
    <w:rsid w:val="7AB617B8"/>
    <w:rsid w:val="7ABB6B99"/>
    <w:rsid w:val="7AC04CBB"/>
    <w:rsid w:val="7ACB28B6"/>
    <w:rsid w:val="7AD57A5A"/>
    <w:rsid w:val="7AD9139A"/>
    <w:rsid w:val="7AE21CA9"/>
    <w:rsid w:val="7AE67D87"/>
    <w:rsid w:val="7B484ED1"/>
    <w:rsid w:val="7B4F485C"/>
    <w:rsid w:val="7B540CE3"/>
    <w:rsid w:val="7B6B418C"/>
    <w:rsid w:val="7B6E2211"/>
    <w:rsid w:val="7B8472B4"/>
    <w:rsid w:val="7B8514B2"/>
    <w:rsid w:val="7BC80470"/>
    <w:rsid w:val="7BE0484E"/>
    <w:rsid w:val="7BEA6C58"/>
    <w:rsid w:val="7BF90871"/>
    <w:rsid w:val="7C081A8C"/>
    <w:rsid w:val="7C0972AC"/>
    <w:rsid w:val="7C0A4F8F"/>
    <w:rsid w:val="7C0F40E4"/>
    <w:rsid w:val="7C153320"/>
    <w:rsid w:val="7C1D61AE"/>
    <w:rsid w:val="7C345209"/>
    <w:rsid w:val="7C482875"/>
    <w:rsid w:val="7C513185"/>
    <w:rsid w:val="7C5D3714"/>
    <w:rsid w:val="7C92278E"/>
    <w:rsid w:val="7C970076"/>
    <w:rsid w:val="7C9A6DFC"/>
    <w:rsid w:val="7CA071AB"/>
    <w:rsid w:val="7CB57531"/>
    <w:rsid w:val="7CD32459"/>
    <w:rsid w:val="7CD94362"/>
    <w:rsid w:val="7CDE07EA"/>
    <w:rsid w:val="7CE4685C"/>
    <w:rsid w:val="7CF22D0E"/>
    <w:rsid w:val="7D0C0035"/>
    <w:rsid w:val="7D0D1339"/>
    <w:rsid w:val="7D1F0F97"/>
    <w:rsid w:val="7D306F31"/>
    <w:rsid w:val="7D3F758A"/>
    <w:rsid w:val="7D4D3494"/>
    <w:rsid w:val="7D9E7791"/>
    <w:rsid w:val="7DA22244"/>
    <w:rsid w:val="7DBC28DE"/>
    <w:rsid w:val="7DC50AE8"/>
    <w:rsid w:val="7DCE3976"/>
    <w:rsid w:val="7DFB0564"/>
    <w:rsid w:val="7E0B59D9"/>
    <w:rsid w:val="7E0C07E5"/>
    <w:rsid w:val="7E1178E2"/>
    <w:rsid w:val="7E1A2770"/>
    <w:rsid w:val="7E1A7A97"/>
    <w:rsid w:val="7E4C3A0F"/>
    <w:rsid w:val="7E4C3A98"/>
    <w:rsid w:val="7E4C4244"/>
    <w:rsid w:val="7E4F51C9"/>
    <w:rsid w:val="7E9E07CB"/>
    <w:rsid w:val="7EAB7AE1"/>
    <w:rsid w:val="7EAD2FE4"/>
    <w:rsid w:val="7EDD5D31"/>
    <w:rsid w:val="7F157856"/>
    <w:rsid w:val="7F1A61C1"/>
    <w:rsid w:val="7F23352A"/>
    <w:rsid w:val="7F6C689A"/>
    <w:rsid w:val="7F7207A3"/>
    <w:rsid w:val="7F7D33DC"/>
    <w:rsid w:val="7F8242C1"/>
    <w:rsid w:val="7F843F41"/>
    <w:rsid w:val="7FA06BEF"/>
    <w:rsid w:val="7FAA1790"/>
    <w:rsid w:val="7FAB1C02"/>
    <w:rsid w:val="7FBA7C9E"/>
    <w:rsid w:val="7FBB09CD"/>
    <w:rsid w:val="7FBD539F"/>
    <w:rsid w:val="7FC13DA6"/>
    <w:rsid w:val="7FC43466"/>
    <w:rsid w:val="7FD3213E"/>
    <w:rsid w:val="7FED59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nhideWhenUsed="0" w:uiPriority="35" w:semiHidden="0"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G Times (WN)" w:hAnsi="CG Times (WN)" w:eastAsia="宋体" w:cs="Times New Roman"/>
      <w:kern w:val="2"/>
      <w:sz w:val="21"/>
      <w:szCs w:val="22"/>
      <w:lang w:val="en-US" w:eastAsia="zh-CN" w:bidi="ar-SA"/>
    </w:rPr>
  </w:style>
  <w:style w:type="paragraph" w:styleId="2">
    <w:name w:val="heading 1"/>
    <w:next w:val="1"/>
    <w:qFormat/>
    <w:uiPriority w:val="0"/>
    <w:pPr>
      <w:keepNext/>
      <w:keepLines/>
      <w:numPr>
        <w:ilvl w:val="0"/>
        <w:numId w:val="1"/>
      </w:numPr>
      <w:pBdr>
        <w:top w:val="single" w:color="auto" w:sz="12" w:space="3"/>
      </w:pBdr>
      <w:overflowPunct w:val="0"/>
      <w:autoSpaceDE w:val="0"/>
      <w:autoSpaceDN w:val="0"/>
      <w:adjustRightInd w:val="0"/>
      <w:spacing w:before="240" w:after="180"/>
      <w:ind w:left="425" w:hanging="425"/>
      <w:textAlignment w:val="baseline"/>
      <w:outlineLvl w:val="0"/>
    </w:pPr>
    <w:rPr>
      <w:rFonts w:ascii="Arial" w:hAnsi="Arial" w:eastAsia="宋体" w:cs="Times New Roman"/>
      <w:sz w:val="36"/>
      <w:lang w:val="en-GB" w:eastAsia="en-GB" w:bidi="ar-SA"/>
    </w:rPr>
  </w:style>
  <w:style w:type="paragraph" w:styleId="3">
    <w:name w:val="heading 2"/>
    <w:basedOn w:val="2"/>
    <w:next w:val="1"/>
    <w:link w:val="44"/>
    <w:unhideWhenUsed/>
    <w:qFormat/>
    <w:uiPriority w:val="9"/>
    <w:pPr>
      <w:numPr>
        <w:ilvl w:val="1"/>
      </w:numPr>
      <w:spacing w:before="260" w:after="260" w:line="416" w:lineRule="auto"/>
      <w:ind w:left="567" w:hanging="567"/>
      <w:outlineLvl w:val="1"/>
    </w:pPr>
    <w:rPr>
      <w:rFonts w:asciiTheme="majorHAnsi" w:hAnsiTheme="majorHAnsi" w:eastAsiaTheme="majorEastAsia" w:cstheme="majorBidi"/>
      <w:b/>
      <w:bCs/>
      <w:sz w:val="32"/>
      <w:szCs w:val="32"/>
    </w:rPr>
  </w:style>
  <w:style w:type="paragraph" w:styleId="4">
    <w:name w:val="heading 3"/>
    <w:basedOn w:val="1"/>
    <w:next w:val="1"/>
    <w:link w:val="47"/>
    <w:unhideWhenUsed/>
    <w:qFormat/>
    <w:uiPriority w:val="9"/>
    <w:pPr>
      <w:keepNext/>
      <w:keepLines/>
      <w:numPr>
        <w:ilvl w:val="2"/>
        <w:numId w:val="1"/>
      </w:numPr>
      <w:spacing w:before="50" w:beforeLines="50" w:after="50" w:afterLines="50"/>
      <w:ind w:left="709" w:hanging="709"/>
      <w:outlineLvl w:val="2"/>
    </w:pPr>
    <w:rPr>
      <w:rFonts w:ascii="Arial" w:hAnsi="Arial" w:eastAsia="Arial Unicode MS"/>
      <w:bCs/>
      <w:sz w:val="30"/>
      <w:szCs w:val="32"/>
    </w:rPr>
  </w:style>
  <w:style w:type="paragraph" w:styleId="5">
    <w:name w:val="heading 4"/>
    <w:basedOn w:val="1"/>
    <w:next w:val="1"/>
    <w:unhideWhenUsed/>
    <w:qFormat/>
    <w:uiPriority w:val="9"/>
    <w:pPr>
      <w:keepNext/>
      <w:keepLines/>
      <w:numPr>
        <w:ilvl w:val="3"/>
        <w:numId w:val="1"/>
      </w:numPr>
      <w:spacing w:before="280" w:after="290" w:line="372" w:lineRule="auto"/>
      <w:ind w:left="850" w:hanging="850"/>
      <w:outlineLvl w:val="3"/>
    </w:pPr>
    <w:rPr>
      <w:rFonts w:ascii="Arial" w:hAnsi="Arial" w:eastAsia="黑体"/>
      <w:b/>
      <w:sz w:val="28"/>
    </w:rPr>
  </w:style>
  <w:style w:type="paragraph" w:styleId="6">
    <w:name w:val="heading 5"/>
    <w:basedOn w:val="1"/>
    <w:next w:val="1"/>
    <w:link w:val="51"/>
    <w:semiHidden/>
    <w:unhideWhenUsed/>
    <w:qFormat/>
    <w:uiPriority w:val="9"/>
    <w:pPr>
      <w:keepNext/>
      <w:keepLines/>
      <w:spacing w:before="280" w:after="290" w:line="376" w:lineRule="auto"/>
      <w:outlineLvl w:val="4"/>
    </w:pPr>
    <w:rPr>
      <w:b/>
      <w:bCs/>
      <w:sz w:val="28"/>
      <w:szCs w:val="28"/>
    </w:rPr>
  </w:style>
  <w:style w:type="character" w:default="1" w:styleId="19">
    <w:name w:val="Default Paragraph Font"/>
    <w:semiHidden/>
    <w:unhideWhenUsed/>
    <w:qFormat/>
    <w:uiPriority w:val="1"/>
  </w:style>
  <w:style w:type="table" w:default="1" w:styleId="17">
    <w:name w:val="Normal Table"/>
    <w:semiHidden/>
    <w:unhideWhenUsed/>
    <w:qFormat/>
    <w:uiPriority w:val="99"/>
    <w:tblPr>
      <w:tblCellMar>
        <w:top w:w="0" w:type="dxa"/>
        <w:left w:w="108" w:type="dxa"/>
        <w:bottom w:w="0" w:type="dxa"/>
        <w:right w:w="108" w:type="dxa"/>
      </w:tblCellMar>
    </w:tblPr>
  </w:style>
  <w:style w:type="paragraph" w:styleId="7">
    <w:name w:val="caption"/>
    <w:basedOn w:val="1"/>
    <w:next w:val="1"/>
    <w:link w:val="41"/>
    <w:qFormat/>
    <w:uiPriority w:val="35"/>
    <w:pPr>
      <w:widowControl/>
      <w:spacing w:before="120" w:after="120"/>
      <w:jc w:val="left"/>
    </w:pPr>
    <w:rPr>
      <w:rFonts w:ascii="Times New Roman" w:hAnsi="Times New Roman" w:eastAsia="MS Mincho"/>
      <w:b/>
      <w:kern w:val="0"/>
      <w:sz w:val="20"/>
      <w:szCs w:val="20"/>
      <w:lang w:val="en-GB" w:eastAsia="en-US"/>
    </w:rPr>
  </w:style>
  <w:style w:type="paragraph" w:styleId="8">
    <w:name w:val="Document Map"/>
    <w:basedOn w:val="1"/>
    <w:link w:val="40"/>
    <w:semiHidden/>
    <w:unhideWhenUsed/>
    <w:qFormat/>
    <w:uiPriority w:val="99"/>
    <w:rPr>
      <w:rFonts w:ascii="宋体"/>
      <w:sz w:val="18"/>
      <w:szCs w:val="18"/>
    </w:rPr>
  </w:style>
  <w:style w:type="paragraph" w:styleId="9">
    <w:name w:val="annotation text"/>
    <w:basedOn w:val="1"/>
    <w:link w:val="38"/>
    <w:unhideWhenUsed/>
    <w:qFormat/>
    <w:uiPriority w:val="0"/>
    <w:pPr>
      <w:jc w:val="left"/>
    </w:pPr>
  </w:style>
  <w:style w:type="paragraph" w:styleId="10">
    <w:name w:val="List 2"/>
    <w:basedOn w:val="11"/>
    <w:qFormat/>
    <w:uiPriority w:val="0"/>
    <w:pPr>
      <w:ind w:left="851"/>
    </w:pPr>
  </w:style>
  <w:style w:type="paragraph" w:styleId="11">
    <w:name w:val="List"/>
    <w:basedOn w:val="1"/>
    <w:semiHidden/>
    <w:unhideWhenUsed/>
    <w:qFormat/>
    <w:uiPriority w:val="99"/>
    <w:pPr>
      <w:ind w:left="200" w:hanging="200" w:hangingChars="200"/>
      <w:contextualSpacing/>
    </w:pPr>
  </w:style>
  <w:style w:type="paragraph" w:styleId="12">
    <w:name w:val="Balloon Text"/>
    <w:basedOn w:val="1"/>
    <w:link w:val="36"/>
    <w:semiHidden/>
    <w:unhideWhenUsed/>
    <w:qFormat/>
    <w:uiPriority w:val="99"/>
    <w:rPr>
      <w:sz w:val="18"/>
      <w:szCs w:val="18"/>
    </w:rPr>
  </w:style>
  <w:style w:type="paragraph" w:styleId="13">
    <w:name w:val="footer"/>
    <w:basedOn w:val="1"/>
    <w:link w:val="23"/>
    <w:unhideWhenUsed/>
    <w:qFormat/>
    <w:uiPriority w:val="99"/>
    <w:pPr>
      <w:tabs>
        <w:tab w:val="center" w:pos="4153"/>
        <w:tab w:val="right" w:pos="8306"/>
      </w:tabs>
      <w:snapToGrid w:val="0"/>
      <w:jc w:val="left"/>
    </w:pPr>
    <w:rPr>
      <w:sz w:val="18"/>
      <w:szCs w:val="18"/>
    </w:rPr>
  </w:style>
  <w:style w:type="paragraph" w:styleId="14">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5">
    <w:name w:val="Normal (Web)"/>
    <w:basedOn w:val="1"/>
    <w:semiHidden/>
    <w:unhideWhenUsed/>
    <w:qFormat/>
    <w:uiPriority w:val="99"/>
    <w:pPr>
      <w:widowControl/>
      <w:spacing w:before="100" w:beforeAutospacing="1" w:after="100" w:afterAutospacing="1"/>
      <w:jc w:val="left"/>
    </w:pPr>
    <w:rPr>
      <w:rFonts w:ascii="宋体" w:hAnsi="宋体" w:cs="宋体"/>
      <w:kern w:val="0"/>
      <w:sz w:val="24"/>
      <w:szCs w:val="24"/>
    </w:rPr>
  </w:style>
  <w:style w:type="paragraph" w:styleId="16">
    <w:name w:val="annotation subject"/>
    <w:basedOn w:val="9"/>
    <w:next w:val="9"/>
    <w:link w:val="39"/>
    <w:semiHidden/>
    <w:unhideWhenUsed/>
    <w:qFormat/>
    <w:uiPriority w:val="99"/>
    <w:rPr>
      <w:b/>
      <w:bCs/>
    </w:rPr>
  </w:style>
  <w:style w:type="table" w:styleId="18">
    <w:name w:val="Table Grid"/>
    <w:basedOn w:val="17"/>
    <w:qFormat/>
    <w:uiPriority w:val="0"/>
    <w:pPr>
      <w:spacing w:before="120" w:line="280" w:lineRule="atLeast"/>
      <w:jc w:val="both"/>
    </w:pPr>
    <w:rPr>
      <w:rFonts w:ascii="New York" w:hAnsi="New York"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0">
    <w:name w:val="Hyperlink"/>
    <w:basedOn w:val="19"/>
    <w:unhideWhenUsed/>
    <w:qFormat/>
    <w:uiPriority w:val="99"/>
    <w:rPr>
      <w:color w:val="0000FF"/>
      <w:u w:val="single"/>
    </w:rPr>
  </w:style>
  <w:style w:type="character" w:styleId="21">
    <w:name w:val="annotation reference"/>
    <w:basedOn w:val="19"/>
    <w:unhideWhenUsed/>
    <w:qFormat/>
    <w:uiPriority w:val="99"/>
    <w:rPr>
      <w:sz w:val="21"/>
      <w:szCs w:val="21"/>
    </w:rPr>
  </w:style>
  <w:style w:type="character" w:customStyle="1" w:styleId="22">
    <w:name w:val="页眉 字符"/>
    <w:basedOn w:val="19"/>
    <w:link w:val="14"/>
    <w:qFormat/>
    <w:uiPriority w:val="99"/>
    <w:rPr>
      <w:sz w:val="18"/>
      <w:szCs w:val="18"/>
    </w:rPr>
  </w:style>
  <w:style w:type="character" w:customStyle="1" w:styleId="23">
    <w:name w:val="页脚 字符"/>
    <w:basedOn w:val="19"/>
    <w:link w:val="13"/>
    <w:qFormat/>
    <w:uiPriority w:val="99"/>
    <w:rPr>
      <w:sz w:val="18"/>
      <w:szCs w:val="18"/>
    </w:rPr>
  </w:style>
  <w:style w:type="character" w:customStyle="1" w:styleId="24">
    <w:name w:val="Char Char"/>
    <w:link w:val="25"/>
    <w:qFormat/>
    <w:uiPriority w:val="0"/>
    <w:rPr>
      <w:rFonts w:ascii="Arial" w:hAnsi="Arial"/>
      <w:sz w:val="32"/>
      <w:szCs w:val="36"/>
    </w:rPr>
  </w:style>
  <w:style w:type="paragraph" w:customStyle="1" w:styleId="25">
    <w:name w:val="Char"/>
    <w:basedOn w:val="26"/>
    <w:link w:val="24"/>
    <w:qFormat/>
    <w:uiPriority w:val="0"/>
    <w:pPr>
      <w:keepNext/>
      <w:keepLines/>
      <w:widowControl/>
      <w:pBdr>
        <w:top w:val="single" w:color="auto" w:sz="12" w:space="1"/>
      </w:pBdr>
      <w:tabs>
        <w:tab w:val="left" w:pos="1985"/>
      </w:tabs>
      <w:spacing w:before="240" w:after="180"/>
      <w:ind w:left="360" w:firstLine="0" w:firstLineChars="0"/>
      <w:outlineLvl w:val="0"/>
    </w:pPr>
    <w:rPr>
      <w:rFonts w:ascii="Arial" w:hAnsi="Arial" w:eastAsiaTheme="minorEastAsia" w:cstheme="minorBidi"/>
      <w:sz w:val="32"/>
      <w:szCs w:val="36"/>
    </w:rPr>
  </w:style>
  <w:style w:type="paragraph" w:styleId="26">
    <w:name w:val="List Paragraph"/>
    <w:basedOn w:val="1"/>
    <w:link w:val="42"/>
    <w:qFormat/>
    <w:uiPriority w:val="34"/>
    <w:pPr>
      <w:ind w:firstLine="420" w:firstLineChars="200"/>
    </w:pPr>
  </w:style>
  <w:style w:type="character" w:customStyle="1" w:styleId="27">
    <w:name w:val="TAH Car"/>
    <w:link w:val="28"/>
    <w:qFormat/>
    <w:uiPriority w:val="0"/>
    <w:rPr>
      <w:rFonts w:ascii="Arial" w:hAnsi="Arial" w:eastAsia="Times New Roman" w:cs="Times New Roman"/>
      <w:b/>
      <w:kern w:val="0"/>
      <w:sz w:val="18"/>
      <w:szCs w:val="20"/>
      <w:lang w:val="en-GB" w:eastAsia="ja-JP"/>
    </w:rPr>
  </w:style>
  <w:style w:type="paragraph" w:customStyle="1" w:styleId="28">
    <w:name w:val="TAH"/>
    <w:basedOn w:val="29"/>
    <w:link w:val="27"/>
    <w:qFormat/>
    <w:uiPriority w:val="0"/>
    <w:rPr>
      <w:b/>
    </w:rPr>
  </w:style>
  <w:style w:type="paragraph" w:customStyle="1" w:styleId="29">
    <w:name w:val="TAC"/>
    <w:basedOn w:val="30"/>
    <w:link w:val="33"/>
    <w:qFormat/>
    <w:uiPriority w:val="0"/>
    <w:pPr>
      <w:overflowPunct w:val="0"/>
      <w:autoSpaceDE w:val="0"/>
      <w:autoSpaceDN w:val="0"/>
      <w:adjustRightInd w:val="0"/>
      <w:jc w:val="center"/>
      <w:textAlignment w:val="baseline"/>
    </w:pPr>
    <w:rPr>
      <w:lang w:eastAsia="ja-JP"/>
    </w:rPr>
  </w:style>
  <w:style w:type="paragraph" w:customStyle="1" w:styleId="30">
    <w:name w:val="TAL"/>
    <w:basedOn w:val="1"/>
    <w:link w:val="37"/>
    <w:qFormat/>
    <w:uiPriority w:val="0"/>
    <w:pPr>
      <w:keepNext/>
      <w:keepLines/>
      <w:widowControl/>
      <w:jc w:val="left"/>
    </w:pPr>
    <w:rPr>
      <w:rFonts w:ascii="Arial" w:hAnsi="Arial" w:eastAsia="Times New Roman"/>
      <w:kern w:val="0"/>
      <w:sz w:val="18"/>
      <w:szCs w:val="20"/>
      <w:lang w:val="en-GB" w:eastAsia="en-US"/>
    </w:rPr>
  </w:style>
  <w:style w:type="character" w:customStyle="1" w:styleId="31">
    <w:name w:val="B1 Char"/>
    <w:link w:val="32"/>
    <w:qFormat/>
    <w:uiPriority w:val="0"/>
    <w:rPr>
      <w:rFonts w:ascii="Times New Roman" w:hAnsi="Times New Roman" w:eastAsia="MS Mincho"/>
      <w:lang w:val="en-GB" w:eastAsia="de-DE"/>
    </w:rPr>
  </w:style>
  <w:style w:type="paragraph" w:customStyle="1" w:styleId="32">
    <w:name w:val="B1"/>
    <w:basedOn w:val="11"/>
    <w:link w:val="31"/>
    <w:qFormat/>
    <w:uiPriority w:val="0"/>
    <w:pPr>
      <w:widowControl/>
      <w:spacing w:after="180"/>
      <w:ind w:left="568" w:hanging="284" w:firstLineChars="0"/>
      <w:jc w:val="left"/>
    </w:pPr>
    <w:rPr>
      <w:rFonts w:ascii="Times New Roman" w:hAnsi="Times New Roman" w:eastAsia="MS Mincho" w:cstheme="minorBidi"/>
      <w:lang w:val="en-GB" w:eastAsia="de-DE"/>
    </w:rPr>
  </w:style>
  <w:style w:type="character" w:customStyle="1" w:styleId="33">
    <w:name w:val="TAC Char"/>
    <w:link w:val="29"/>
    <w:qFormat/>
    <w:uiPriority w:val="0"/>
    <w:rPr>
      <w:rFonts w:ascii="Arial" w:hAnsi="Arial" w:eastAsia="Times New Roman" w:cs="Times New Roman"/>
      <w:kern w:val="0"/>
      <w:sz w:val="18"/>
      <w:szCs w:val="20"/>
      <w:lang w:val="en-GB" w:eastAsia="ja-JP"/>
    </w:rPr>
  </w:style>
  <w:style w:type="paragraph" w:styleId="34">
    <w:name w:val="No Spacing"/>
    <w:qFormat/>
    <w:uiPriority w:val="1"/>
    <w:pPr>
      <w:widowControl w:val="0"/>
      <w:jc w:val="both"/>
    </w:pPr>
    <w:rPr>
      <w:rFonts w:ascii="CG Times (WN)" w:hAnsi="CG Times (WN)" w:eastAsia="宋体" w:cs="Times New Roman"/>
      <w:kern w:val="2"/>
      <w:sz w:val="21"/>
      <w:szCs w:val="24"/>
      <w:lang w:val="en-US" w:eastAsia="zh-CN" w:bidi="ar-SA"/>
    </w:rPr>
  </w:style>
  <w:style w:type="paragraph" w:customStyle="1" w:styleId="35">
    <w:name w:val="_Style 0"/>
    <w:qFormat/>
    <w:uiPriority w:val="1"/>
    <w:pPr>
      <w:widowControl w:val="0"/>
      <w:jc w:val="both"/>
    </w:pPr>
    <w:rPr>
      <w:rFonts w:ascii="CG Times (WN)" w:hAnsi="CG Times (WN)" w:eastAsia="宋体" w:cs="Times New Roman"/>
      <w:kern w:val="2"/>
      <w:sz w:val="21"/>
      <w:szCs w:val="24"/>
      <w:lang w:val="en-US" w:eastAsia="zh-CN" w:bidi="ar-SA"/>
    </w:rPr>
  </w:style>
  <w:style w:type="character" w:customStyle="1" w:styleId="36">
    <w:name w:val="批注框文本 字符"/>
    <w:basedOn w:val="19"/>
    <w:link w:val="12"/>
    <w:semiHidden/>
    <w:qFormat/>
    <w:uiPriority w:val="99"/>
    <w:rPr>
      <w:rFonts w:ascii="CG Times (WN)" w:hAnsi="CG Times (WN)" w:eastAsia="宋体" w:cs="Times New Roman"/>
      <w:sz w:val="18"/>
      <w:szCs w:val="18"/>
    </w:rPr>
  </w:style>
  <w:style w:type="character" w:customStyle="1" w:styleId="37">
    <w:name w:val="TAL Char"/>
    <w:link w:val="30"/>
    <w:qFormat/>
    <w:uiPriority w:val="0"/>
    <w:rPr>
      <w:rFonts w:ascii="Arial" w:hAnsi="Arial" w:eastAsia="Times New Roman" w:cs="Times New Roman"/>
      <w:kern w:val="0"/>
      <w:sz w:val="18"/>
      <w:szCs w:val="20"/>
      <w:lang w:val="en-GB" w:eastAsia="en-US"/>
    </w:rPr>
  </w:style>
  <w:style w:type="character" w:customStyle="1" w:styleId="38">
    <w:name w:val="批注文字 字符"/>
    <w:basedOn w:val="19"/>
    <w:link w:val="9"/>
    <w:qFormat/>
    <w:uiPriority w:val="0"/>
    <w:rPr>
      <w:rFonts w:ascii="CG Times (WN)" w:hAnsi="CG Times (WN)" w:eastAsia="宋体" w:cs="Times New Roman"/>
    </w:rPr>
  </w:style>
  <w:style w:type="character" w:customStyle="1" w:styleId="39">
    <w:name w:val="批注主题 字符"/>
    <w:basedOn w:val="38"/>
    <w:link w:val="16"/>
    <w:semiHidden/>
    <w:qFormat/>
    <w:uiPriority w:val="99"/>
    <w:rPr>
      <w:rFonts w:ascii="CG Times (WN)" w:hAnsi="CG Times (WN)" w:eastAsia="宋体" w:cs="Times New Roman"/>
      <w:b/>
      <w:bCs/>
    </w:rPr>
  </w:style>
  <w:style w:type="character" w:customStyle="1" w:styleId="40">
    <w:name w:val="文档结构图 字符"/>
    <w:basedOn w:val="19"/>
    <w:link w:val="8"/>
    <w:semiHidden/>
    <w:qFormat/>
    <w:uiPriority w:val="99"/>
    <w:rPr>
      <w:rFonts w:ascii="宋体" w:hAnsi="CG Times (WN)" w:eastAsia="宋体" w:cs="Times New Roman"/>
      <w:sz w:val="18"/>
      <w:szCs w:val="18"/>
    </w:rPr>
  </w:style>
  <w:style w:type="character" w:customStyle="1" w:styleId="41">
    <w:name w:val="题注 字符"/>
    <w:link w:val="7"/>
    <w:qFormat/>
    <w:uiPriority w:val="35"/>
    <w:rPr>
      <w:rFonts w:ascii="Times New Roman" w:hAnsi="Times New Roman" w:eastAsia="MS Mincho" w:cs="Times New Roman"/>
      <w:b/>
      <w:kern w:val="0"/>
      <w:sz w:val="20"/>
      <w:szCs w:val="20"/>
      <w:lang w:val="en-GB" w:eastAsia="en-US"/>
    </w:rPr>
  </w:style>
  <w:style w:type="character" w:customStyle="1" w:styleId="42">
    <w:name w:val="列表段落 字符"/>
    <w:link w:val="26"/>
    <w:qFormat/>
    <w:uiPriority w:val="34"/>
    <w:rPr>
      <w:rFonts w:ascii="CG Times (WN)" w:hAnsi="CG Times (WN)" w:eastAsia="宋体" w:cs="Times New Roman"/>
    </w:rPr>
  </w:style>
  <w:style w:type="paragraph" w:customStyle="1" w:styleId="43">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character" w:customStyle="1" w:styleId="44">
    <w:name w:val="标题 2 字符"/>
    <w:basedOn w:val="19"/>
    <w:link w:val="3"/>
    <w:qFormat/>
    <w:uiPriority w:val="9"/>
    <w:rPr>
      <w:rFonts w:asciiTheme="majorHAnsi" w:hAnsiTheme="majorHAnsi" w:eastAsiaTheme="majorEastAsia" w:cstheme="majorBidi"/>
      <w:b/>
      <w:bCs/>
      <w:sz w:val="32"/>
      <w:szCs w:val="32"/>
    </w:rPr>
  </w:style>
  <w:style w:type="table" w:customStyle="1" w:styleId="45">
    <w:name w:val="网格型1"/>
    <w:basedOn w:val="17"/>
    <w:qFormat/>
    <w:uiPriority w:val="39"/>
    <w:rPr>
      <w:rFonts w:ascii="Calibri" w:hAnsi="Calibri"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
    <w:name w:val="网格型2"/>
    <w:basedOn w:val="17"/>
    <w:qFormat/>
    <w:uiPriority w:val="0"/>
    <w:pPr>
      <w:spacing w:after="160" w:line="259" w:lineRule="auto"/>
    </w:pPr>
    <w:rPr>
      <w:lang w:val="fi-FI" w:eastAsia="fi-FI"/>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47">
    <w:name w:val="标题 3 字符"/>
    <w:basedOn w:val="19"/>
    <w:link w:val="4"/>
    <w:qFormat/>
    <w:uiPriority w:val="9"/>
    <w:rPr>
      <w:rFonts w:ascii="Arial" w:hAnsi="Arial" w:eastAsia="Arial Unicode MS" w:cs="Times New Roman"/>
      <w:bCs/>
      <w:sz w:val="30"/>
      <w:szCs w:val="32"/>
    </w:rPr>
  </w:style>
  <w:style w:type="table" w:customStyle="1" w:styleId="48">
    <w:name w:val="网格型3"/>
    <w:basedOn w:val="17"/>
    <w:qFormat/>
    <w:uiPriority w:val="0"/>
    <w:pPr>
      <w:overflowPunct w:val="0"/>
      <w:autoSpaceDE w:val="0"/>
      <w:autoSpaceDN w:val="0"/>
      <w:adjustRightInd w:val="0"/>
      <w:spacing w:after="180"/>
      <w:textAlignment w:val="baseline"/>
    </w:pPr>
    <w:rPr>
      <w:rFonts w:eastAsia="Yu Mincho"/>
      <w:lang w:val="sv-SE" w:eastAsia="sv-SE"/>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9">
    <w:name w:val="Placeholder Text"/>
    <w:basedOn w:val="19"/>
    <w:semiHidden/>
    <w:qFormat/>
    <w:uiPriority w:val="99"/>
    <w:rPr>
      <w:color w:val="808080"/>
    </w:rPr>
  </w:style>
  <w:style w:type="table" w:customStyle="1" w:styleId="50">
    <w:name w:val="Table Grid1"/>
    <w:basedOn w:val="17"/>
    <w:qFormat/>
    <w:uiPriority w:val="0"/>
    <w:pPr>
      <w:spacing w:before="120" w:line="280" w:lineRule="atLeast"/>
      <w:jc w:val="both"/>
    </w:pPr>
    <w:rPr>
      <w:rFonts w:ascii="New York" w:hAnsi="New York" w:eastAsia="宋体"/>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
    <w:name w:val="标题 5 字符"/>
    <w:basedOn w:val="19"/>
    <w:link w:val="6"/>
    <w:semiHidden/>
    <w:qFormat/>
    <w:uiPriority w:val="9"/>
    <w:rPr>
      <w:rFonts w:ascii="CG Times (WN)" w:hAnsi="CG Times (WN)" w:eastAsia="宋体" w:cs="Times New Roman"/>
      <w:b/>
      <w:bCs/>
      <w:sz w:val="28"/>
      <w:szCs w:val="28"/>
    </w:rPr>
  </w:style>
  <w:style w:type="paragraph" w:customStyle="1" w:styleId="52">
    <w:name w:val="TH"/>
    <w:basedOn w:val="1"/>
    <w:qFormat/>
    <w:uiPriority w:val="0"/>
    <w:pPr>
      <w:keepNext/>
      <w:keepLines/>
      <w:spacing w:before="60"/>
      <w:jc w:val="center"/>
    </w:pPr>
    <w:rPr>
      <w:rFonts w:ascii="Arial" w:hAnsi="Arial"/>
      <w:b/>
    </w:rPr>
  </w:style>
  <w:style w:type="paragraph" w:customStyle="1" w:styleId="53">
    <w:name w:val="EQ"/>
    <w:basedOn w:val="1"/>
    <w:next w:val="1"/>
    <w:qFormat/>
    <w:uiPriority w:val="0"/>
    <w:pPr>
      <w:keepLines/>
      <w:tabs>
        <w:tab w:val="center" w:pos="4536"/>
        <w:tab w:val="right" w:pos="9072"/>
      </w:tabs>
    </w:pPr>
  </w:style>
  <w:style w:type="paragraph" w:customStyle="1" w:styleId="54">
    <w:name w:val="B2"/>
    <w:basedOn w:val="10"/>
    <w:qFormat/>
    <w:uiPriority w:val="0"/>
  </w:style>
  <w:style w:type="paragraph" w:customStyle="1" w:styleId="55">
    <w:name w:val="TAN"/>
    <w:basedOn w:val="30"/>
    <w:qFormat/>
    <w:uiPriority w:val="0"/>
    <w:pPr>
      <w:ind w:left="851" w:hanging="851"/>
    </w:pPr>
  </w:style>
  <w:style w:type="character" w:customStyle="1" w:styleId="56">
    <w:name w:val="B1 Char1"/>
    <w:qFormat/>
    <w:uiPriority w:val="0"/>
    <w:rPr>
      <w:rFonts w:eastAsia="Times New Roman"/>
    </w:rPr>
  </w:style>
  <w:style w:type="paragraph" w:customStyle="1" w:styleId="57">
    <w:name w:val="enumlev1"/>
    <w:basedOn w:val="1"/>
    <w:qFormat/>
    <w:uiPriority w:val="0"/>
    <w:pPr>
      <w:tabs>
        <w:tab w:val="left" w:pos="1134"/>
        <w:tab w:val="left" w:pos="1871"/>
        <w:tab w:val="left" w:pos="2608"/>
        <w:tab w:val="left" w:pos="3345"/>
      </w:tabs>
      <w:spacing w:before="80"/>
      <w:ind w:left="1134" w:hanging="1134"/>
    </w:pPr>
  </w:style>
  <w:style w:type="paragraph" w:customStyle="1" w:styleId="58">
    <w:name w:val="Table_title"/>
    <w:basedOn w:val="1"/>
    <w:next w:val="59"/>
    <w:qFormat/>
    <w:uiPriority w:val="0"/>
    <w:pPr>
      <w:keepNext/>
      <w:keepLines/>
      <w:tabs>
        <w:tab w:val="left" w:pos="1134"/>
        <w:tab w:val="left" w:pos="1871"/>
        <w:tab w:val="left" w:pos="2268"/>
      </w:tabs>
      <w:spacing w:after="120"/>
      <w:jc w:val="center"/>
    </w:pPr>
    <w:rPr>
      <w:rFonts w:ascii="Times New Roman Bold" w:hAnsi="Times New Roman Bold"/>
      <w:b/>
      <w:sz w:val="20"/>
    </w:rPr>
  </w:style>
  <w:style w:type="paragraph" w:customStyle="1" w:styleId="59">
    <w:name w:val="Table_text"/>
    <w:basedOn w:val="1"/>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sz w:val="20"/>
    </w:rPr>
  </w:style>
  <w:style w:type="paragraph" w:customStyle="1" w:styleId="60">
    <w:name w:val="enumlev2"/>
    <w:basedOn w:val="57"/>
    <w:qFormat/>
    <w:uiPriority w:val="99"/>
    <w:pPr>
      <w:ind w:left="1871" w:hanging="737"/>
    </w:pPr>
  </w:style>
  <w:style w:type="paragraph" w:customStyle="1" w:styleId="61">
    <w:name w:val="enumlev3"/>
    <w:basedOn w:val="60"/>
    <w:qFormat/>
    <w:uiPriority w:val="0"/>
    <w:pPr>
      <w:ind w:left="2268" w:hanging="397"/>
    </w:pPr>
  </w:style>
  <w:style w:type="paragraph" w:customStyle="1" w:styleId="62">
    <w:name w:val="Revision"/>
    <w:hidden/>
    <w:unhideWhenUsed/>
    <w:qFormat/>
    <w:uiPriority w:val="99"/>
    <w:rPr>
      <w:rFonts w:ascii="CG Times (WN)" w:hAnsi="CG Times (WN)" w:eastAsia="宋体" w:cs="Times New Roman"/>
      <w:kern w:val="2"/>
      <w:sz w:val="21"/>
      <w:szCs w:val="22"/>
      <w:lang w:val="en-US" w:eastAsia="zh-CN" w:bidi="ar-SA"/>
    </w:rPr>
  </w:style>
  <w:style w:type="character" w:customStyle="1" w:styleId="63">
    <w:name w:val="font11"/>
    <w:basedOn w:val="19"/>
    <w:qFormat/>
    <w:uiPriority w:val="0"/>
    <w:rPr>
      <w:rFonts w:hint="default" w:ascii="Times New Roman" w:hAnsi="Times New Roman" w:cs="Times New Roman"/>
      <w:color w:val="000000"/>
      <w:sz w:val="18"/>
      <w:szCs w:val="18"/>
      <w:u w:val="none"/>
    </w:rPr>
  </w:style>
  <w:style w:type="character" w:customStyle="1" w:styleId="64">
    <w:name w:val="font21"/>
    <w:basedOn w:val="19"/>
    <w:qFormat/>
    <w:uiPriority w:val="0"/>
    <w:rPr>
      <w:rFonts w:hint="default" w:ascii="Times New Roman" w:hAnsi="Times New Roman" w:cs="Times New Roman"/>
      <w:b/>
      <w:bCs/>
      <w:color w:val="000000"/>
      <w:sz w:val="18"/>
      <w:szCs w:val="18"/>
      <w:u w:val="none"/>
    </w:rPr>
  </w:style>
  <w:style w:type="character" w:customStyle="1" w:styleId="65">
    <w:name w:val="font01"/>
    <w:basedOn w:val="19"/>
    <w:qFormat/>
    <w:uiPriority w:val="0"/>
    <w:rPr>
      <w:rFonts w:hint="eastAsia" w:ascii="等线" w:hAnsi="等线" w:eastAsia="等线" w:cs="等线"/>
      <w:color w:val="000000"/>
      <w:sz w:val="22"/>
      <w:szCs w:val="22"/>
      <w:u w:val="none"/>
    </w:rPr>
  </w:style>
  <w:style w:type="character" w:customStyle="1" w:styleId="66">
    <w:name w:val="font31"/>
    <w:basedOn w:val="19"/>
    <w:qFormat/>
    <w:uiPriority w:val="0"/>
    <w:rPr>
      <w:rFonts w:hint="eastAsia" w:ascii="等线" w:hAnsi="等线" w:eastAsia="等线" w:cs="等线"/>
      <w:color w:val="FF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image" Target="media/image5.png"/><Relationship Id="rId8" Type="http://schemas.openxmlformats.org/officeDocument/2006/relationships/image" Target="media/image4.png"/><Relationship Id="rId7" Type="http://schemas.openxmlformats.org/officeDocument/2006/relationships/image" Target="media/image3.png"/><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image" Target="media/image7.png"/><Relationship Id="rId10" Type="http://schemas.openxmlformats.org/officeDocument/2006/relationships/image" Target="media/image6.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48F535-9B44-4AF4-B04A-C051AEE72C7F}">
  <ds:schemaRefs/>
</ds:datastoreItem>
</file>

<file path=docProps/app.xml><?xml version="1.0" encoding="utf-8"?>
<Properties xmlns="http://schemas.openxmlformats.org/officeDocument/2006/extended-properties" xmlns:vt="http://schemas.openxmlformats.org/officeDocument/2006/docPropsVTypes">
  <Template>Normal</Template>
  <Pages>19</Pages>
  <Words>4808</Words>
  <Characters>27406</Characters>
  <Lines>228</Lines>
  <Paragraphs>64</Paragraphs>
  <TotalTime>0</TotalTime>
  <ScaleCrop>false</ScaleCrop>
  <LinksUpToDate>false</LinksUpToDate>
  <CharactersWithSpaces>32150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2022-04-25T02:55:00Z</dcterms:created>
  <dc:creator>cmcc</dc:creator>
  <cp:lastModifiedBy>cmcc-chunxia Guo</cp:lastModifiedBy>
  <dcterms:modified xsi:type="dcterms:W3CDTF">2024-08-09T06:39:26Z</dcterms:modified>
  <cp:revision>182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5EFAE9B8F1004AF1AFFFAA9B4A596BED</vt:lpwstr>
  </property>
</Properties>
</file>