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76886" w14:textId="0CD393C2" w:rsidR="0095524F" w:rsidRDefault="00000000">
      <w:pPr>
        <w:rPr>
          <w:rFonts w:ascii="Arial" w:hAnsi="Arial" w:cs="Arial"/>
          <w:b/>
          <w:bCs/>
          <w:sz w:val="24"/>
          <w:szCs w:val="24"/>
        </w:rPr>
      </w:pPr>
      <w:bookmarkStart w:id="0" w:name="Title"/>
      <w:bookmarkStart w:id="1" w:name="DocumentFor"/>
      <w:bookmarkEnd w:id="0"/>
      <w:bookmarkEnd w:id="1"/>
      <w:r>
        <w:rPr>
          <w:rFonts w:ascii="Arial" w:hAnsi="Arial" w:cs="Arial"/>
          <w:b/>
          <w:bCs/>
          <w:sz w:val="24"/>
          <w:szCs w:val="24"/>
        </w:rPr>
        <w:t>3GPP TSG-RAN WG4 Meeting #11</w:t>
      </w:r>
      <w:r w:rsidR="007C00C5">
        <w:rPr>
          <w:rFonts w:ascii="Arial" w:hAnsi="Arial" w:cs="Arial" w:hint="eastAsia"/>
          <w:b/>
          <w:bCs/>
          <w:sz w:val="24"/>
          <w:szCs w:val="24"/>
        </w:rPr>
        <w:t>2</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hint="eastAsia"/>
          <w:b/>
          <w:bCs/>
          <w:sz w:val="24"/>
          <w:szCs w:val="24"/>
        </w:rPr>
        <w:tab/>
      </w:r>
      <w:r>
        <w:rPr>
          <w:rFonts w:ascii="Arial" w:hAnsi="Arial" w:cs="Arial" w:hint="eastAsia"/>
          <w:b/>
          <w:bCs/>
          <w:sz w:val="24"/>
          <w:szCs w:val="24"/>
        </w:rPr>
        <w:tab/>
      </w:r>
      <w:r>
        <w:rPr>
          <w:rFonts w:ascii="Arial" w:hAnsi="Arial" w:cs="Arial" w:hint="eastAsia"/>
          <w:b/>
          <w:bCs/>
          <w:sz w:val="24"/>
          <w:szCs w:val="24"/>
        </w:rPr>
        <w:tab/>
      </w:r>
      <w:r>
        <w:rPr>
          <w:rFonts w:ascii="Arial" w:hAnsi="Arial" w:cs="Arial" w:hint="eastAsia"/>
          <w:b/>
          <w:bCs/>
          <w:sz w:val="24"/>
          <w:szCs w:val="24"/>
        </w:rPr>
        <w:tab/>
      </w:r>
      <w:r>
        <w:rPr>
          <w:rFonts w:ascii="Arial" w:hAnsi="Arial" w:cs="Arial" w:hint="eastAsia"/>
          <w:b/>
          <w:bCs/>
          <w:sz w:val="24"/>
          <w:szCs w:val="24"/>
        </w:rPr>
        <w:tab/>
      </w:r>
      <w:r>
        <w:rPr>
          <w:rFonts w:ascii="Arial" w:hAnsi="Arial" w:cs="Arial" w:hint="eastAsia"/>
          <w:b/>
          <w:bCs/>
          <w:sz w:val="24"/>
          <w:szCs w:val="24"/>
        </w:rPr>
        <w:tab/>
      </w:r>
      <w:r>
        <w:rPr>
          <w:rFonts w:ascii="Arial" w:hAnsi="Arial" w:cs="Arial" w:hint="eastAsia"/>
          <w:b/>
          <w:bCs/>
          <w:sz w:val="24"/>
          <w:szCs w:val="24"/>
        </w:rPr>
        <w:tab/>
      </w:r>
      <w:r w:rsidR="00AE45FB" w:rsidRPr="00AE45FB">
        <w:rPr>
          <w:rFonts w:ascii="Arial" w:hAnsi="Arial" w:cs="Arial"/>
          <w:b/>
          <w:bCs/>
          <w:sz w:val="24"/>
          <w:szCs w:val="24"/>
        </w:rPr>
        <w:t>R4-2411734</w:t>
      </w:r>
    </w:p>
    <w:p w14:paraId="1341A0DE" w14:textId="40635338" w:rsidR="0095524F" w:rsidRDefault="007C00C5">
      <w:pPr>
        <w:rPr>
          <w:rFonts w:ascii="Arial" w:hAnsi="Arial" w:cs="Arial"/>
          <w:b/>
          <w:bCs/>
          <w:sz w:val="24"/>
          <w:szCs w:val="24"/>
        </w:rPr>
      </w:pPr>
      <w:r w:rsidRPr="007C00C5">
        <w:rPr>
          <w:rFonts w:ascii="Arial" w:hAnsi="Arial" w:cs="Arial"/>
          <w:b/>
          <w:bCs/>
          <w:sz w:val="24"/>
          <w:szCs w:val="24"/>
        </w:rPr>
        <w:t>Maastricht, Netherlands, 19th – 23rd August, 2024</w:t>
      </w:r>
    </w:p>
    <w:p w14:paraId="57C5235D" w14:textId="77777777" w:rsidR="0095524F" w:rsidRDefault="0095524F"/>
    <w:p w14:paraId="40EA81E6" w14:textId="7231ED55" w:rsidR="0095524F"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C00C5">
        <w:rPr>
          <w:rFonts w:ascii="Arial" w:hAnsi="Arial" w:cs="Arial" w:hint="eastAsia"/>
          <w:b/>
          <w:sz w:val="24"/>
          <w:szCs w:val="24"/>
        </w:rPr>
        <w:t>8.19.2.1</w:t>
      </w:r>
    </w:p>
    <w:p w14:paraId="7F862998" w14:textId="77777777" w:rsidR="0095524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8F6B2A4" w14:textId="74BCC321" w:rsidR="0095524F"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6138C">
        <w:rPr>
          <w:rFonts w:ascii="Arial" w:eastAsiaTheme="minorEastAsia" w:hAnsi="Arial" w:cs="Arial" w:hint="eastAsia"/>
          <w:b/>
          <w:sz w:val="24"/>
          <w:szCs w:val="24"/>
        </w:rPr>
        <w:t>(</w:t>
      </w:r>
      <w:proofErr w:type="spellStart"/>
      <w:r w:rsidR="0006138C" w:rsidRPr="0006138C">
        <w:rPr>
          <w:rFonts w:ascii="Arial" w:eastAsiaTheme="minorEastAsia" w:hAnsi="Arial" w:cs="Arial"/>
          <w:b/>
          <w:sz w:val="24"/>
          <w:szCs w:val="24"/>
        </w:rPr>
        <w:t>NR_duplex_evo</w:t>
      </w:r>
      <w:proofErr w:type="spellEnd"/>
      <w:r w:rsidR="0006138C" w:rsidRPr="0006138C">
        <w:rPr>
          <w:rFonts w:ascii="Arial" w:eastAsiaTheme="minorEastAsia" w:hAnsi="Arial" w:cs="Arial"/>
          <w:b/>
          <w:sz w:val="24"/>
          <w:szCs w:val="24"/>
        </w:rPr>
        <w:t>-Core</w:t>
      </w:r>
      <w:r w:rsidR="0006138C">
        <w:rPr>
          <w:rFonts w:ascii="Arial" w:eastAsiaTheme="minorEastAsia" w:hAnsi="Arial" w:cs="Arial" w:hint="eastAsia"/>
          <w:b/>
          <w:sz w:val="24"/>
          <w:szCs w:val="24"/>
        </w:rPr>
        <w:t xml:space="preserve">) </w:t>
      </w:r>
      <w:r>
        <w:rPr>
          <w:rFonts w:ascii="Arial" w:hAnsi="Arial" w:cs="Arial" w:hint="eastAsia"/>
          <w:b/>
          <w:sz w:val="24"/>
          <w:szCs w:val="24"/>
        </w:rPr>
        <w:t>Discussion on new RF requirement for SBFD</w:t>
      </w:r>
    </w:p>
    <w:p w14:paraId="0B301253" w14:textId="77777777" w:rsidR="0095524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4E3BBE56" w14:textId="77777777" w:rsidR="0095524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501CE52" w14:textId="77777777" w:rsidR="0095524F" w:rsidRDefault="00000000">
      <w:pPr>
        <w:spacing w:after="180"/>
        <w:rPr>
          <w:rFonts w:ascii="Times New Roman" w:hAnsi="Times New Roman"/>
          <w:sz w:val="20"/>
        </w:rPr>
      </w:pPr>
      <w:r>
        <w:rPr>
          <w:rFonts w:ascii="Times New Roman" w:hAnsi="Times New Roman" w:hint="eastAsia"/>
          <w:sz w:val="20"/>
        </w:rPr>
        <w:t>In TR 38.858, the impacts on SBFD requirements have been analyzed</w:t>
      </w:r>
      <w:r>
        <w:rPr>
          <w:rFonts w:ascii="Times New Roman" w:hAnsi="Times New Roman"/>
          <w:sz w:val="20"/>
        </w:rPr>
        <w:t>.</w:t>
      </w:r>
      <w:r>
        <w:rPr>
          <w:rFonts w:ascii="Times New Roman" w:hAnsi="Times New Roman" w:hint="eastAsia"/>
          <w:sz w:val="20"/>
        </w:rPr>
        <w:t xml:space="preserve"> RAN4 has identified which </w:t>
      </w:r>
      <w:r>
        <w:rPr>
          <w:rFonts w:ascii="Times New Roman" w:hAnsi="Times New Roman" w:hint="eastAsia"/>
          <w:sz w:val="20"/>
          <w:szCs w:val="20"/>
        </w:rPr>
        <w:t>legacy requirements are still applicable, which legacy requirements are not applicable and which new requirements are needed</w:t>
      </w:r>
      <w:r>
        <w:rPr>
          <w:rFonts w:ascii="Times New Roman" w:hAnsi="Times New Roman" w:hint="eastAsia"/>
          <w:sz w:val="20"/>
        </w:rPr>
        <w:t xml:space="preserve">. </w:t>
      </w:r>
    </w:p>
    <w:p w14:paraId="1154FAE8" w14:textId="1A1900EA" w:rsidR="0095524F" w:rsidRDefault="00000000">
      <w:pPr>
        <w:spacing w:after="180"/>
        <w:rPr>
          <w:rFonts w:ascii="Times New Roman" w:hAnsi="Times New Roman"/>
          <w:sz w:val="20"/>
        </w:rPr>
      </w:pPr>
      <w:r>
        <w:rPr>
          <w:rFonts w:ascii="Times New Roman" w:hAnsi="Times New Roman" w:hint="eastAsia"/>
          <w:sz w:val="20"/>
        </w:rPr>
        <w:t>In last meeting, WF on SBFD BS requirement is approved with several agreements. [</w:t>
      </w:r>
      <w:r w:rsidR="0006138C">
        <w:rPr>
          <w:rFonts w:ascii="Times New Roman" w:hAnsi="Times New Roman" w:hint="eastAsia"/>
          <w:sz w:val="20"/>
        </w:rPr>
        <w:t>2</w:t>
      </w:r>
      <w:r>
        <w:rPr>
          <w:rFonts w:ascii="Times New Roman" w:hAnsi="Times New Roman" w:hint="eastAsia"/>
          <w:sz w:val="20"/>
        </w:rPr>
        <w:t>]</w:t>
      </w:r>
    </w:p>
    <w:p w14:paraId="042A44F7" w14:textId="77777777" w:rsidR="0095524F" w:rsidRDefault="00000000">
      <w:pPr>
        <w:spacing w:after="180"/>
        <w:rPr>
          <w:rFonts w:ascii="Times New Roman" w:hAnsi="Times New Roman"/>
          <w:sz w:val="20"/>
        </w:rPr>
      </w:pPr>
      <w:r>
        <w:rPr>
          <w:rFonts w:ascii="Times New Roman" w:hAnsi="Times New Roman" w:hint="eastAsia"/>
          <w:sz w:val="20"/>
        </w:rPr>
        <w:t>In this contribution, we continue the RF requirements discussion based on the output of study item phase.</w:t>
      </w:r>
    </w:p>
    <w:p w14:paraId="64A4716C" w14:textId="77777777" w:rsidR="0095524F"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13A03732" w14:textId="77777777" w:rsidR="0095524F" w:rsidRDefault="00000000">
      <w:pPr>
        <w:pStyle w:val="3"/>
        <w:numPr>
          <w:ilvl w:val="1"/>
          <w:numId w:val="1"/>
        </w:numPr>
        <w:spacing w:before="156" w:after="156"/>
      </w:pPr>
      <w:r>
        <w:rPr>
          <w:rFonts w:hint="eastAsia"/>
        </w:rPr>
        <w:t xml:space="preserve"> transient period</w:t>
      </w:r>
    </w:p>
    <w:p w14:paraId="04722F6B" w14:textId="77777777" w:rsidR="0095524F" w:rsidRDefault="00000000">
      <w:pPr>
        <w:spacing w:beforeLines="50" w:before="156" w:after="180"/>
        <w:rPr>
          <w:rFonts w:ascii="Times New Roman" w:hAnsi="Times New Roman"/>
          <w:sz w:val="20"/>
          <w:szCs w:val="20"/>
        </w:rPr>
      </w:pPr>
      <w:r>
        <w:rPr>
          <w:rFonts w:ascii="Times New Roman" w:hAnsi="Times New Roman" w:hint="eastAsia"/>
          <w:sz w:val="20"/>
          <w:szCs w:val="20"/>
        </w:rPr>
        <w:t>Following list the output at study item phase.</w:t>
      </w:r>
    </w:p>
    <w:tbl>
      <w:tblPr>
        <w:tblStyle w:val="af3"/>
        <w:tblW w:w="0" w:type="auto"/>
        <w:tblLook w:val="04A0" w:firstRow="1" w:lastRow="0" w:firstColumn="1" w:lastColumn="0" w:noHBand="0" w:noVBand="1"/>
      </w:tblPr>
      <w:tblGrid>
        <w:gridCol w:w="9736"/>
      </w:tblGrid>
      <w:tr w:rsidR="0095524F" w14:paraId="147BD24F" w14:textId="77777777">
        <w:tc>
          <w:tcPr>
            <w:tcW w:w="9962" w:type="dxa"/>
          </w:tcPr>
          <w:p w14:paraId="2B91BC77" w14:textId="77777777" w:rsidR="0095524F" w:rsidRDefault="00000000">
            <w:pPr>
              <w:rPr>
                <w:rFonts w:ascii="Times New Roman" w:hAnsi="Times New Roman"/>
                <w:sz w:val="20"/>
                <w:szCs w:val="20"/>
              </w:rPr>
            </w:pPr>
            <w:r>
              <w:rPr>
                <w:rFonts w:ascii="Times New Roman" w:hAnsi="Times New Roman"/>
                <w:sz w:val="20"/>
                <w:szCs w:val="20"/>
              </w:rPr>
              <w:t xml:space="preserve">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 </w:t>
            </w:r>
          </w:p>
          <w:p w14:paraId="10F7FB99" w14:textId="77777777" w:rsidR="0095524F" w:rsidRDefault="00000000">
            <w:pPr>
              <w:rPr>
                <w:rFonts w:ascii="Times New Roman" w:hAnsi="Times New Roman"/>
                <w:sz w:val="20"/>
                <w:szCs w:val="20"/>
              </w:rPr>
            </w:pPr>
            <w:r>
              <w:rPr>
                <w:rFonts w:ascii="Times New Roman" w:hAnsi="Times New Roman"/>
                <w:sz w:val="20"/>
                <w:szCs w:val="20"/>
              </w:rPr>
              <w:t>Regarding the transition period requirement, RAN4 mainly focus on the transition period related with SBFD. Based on the RAN4 study, between the non-SBFD slot and SBFD slot and vice versa, a transition period is needed. If the SBFD configuration between adjacent SBFD slots is the same, then no transition period is needed.</w:t>
            </w:r>
          </w:p>
        </w:tc>
      </w:tr>
      <w:tr w:rsidR="0095524F" w14:paraId="4617645F" w14:textId="77777777">
        <w:tc>
          <w:tcPr>
            <w:tcW w:w="9962" w:type="dxa"/>
          </w:tcPr>
          <w:p w14:paraId="6D3FDD3D" w14:textId="77777777" w:rsidR="0095524F" w:rsidRDefault="00000000">
            <w:pPr>
              <w:rPr>
                <w:rFonts w:ascii="Times New Roman" w:hAnsi="Times New Roman"/>
                <w:sz w:val="20"/>
                <w:szCs w:val="20"/>
              </w:rPr>
            </w:pPr>
            <w:r>
              <w:rPr>
                <w:rFonts w:ascii="Times" w:eastAsia="Malgun Gothic" w:hAnsi="Times"/>
              </w:rPr>
              <w:t>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r>
              <w:rPr>
                <w:rFonts w:ascii="Times" w:hAnsi="Times" w:hint="eastAsia"/>
              </w:rPr>
              <w:t xml:space="preserve"> </w:t>
            </w:r>
            <w:r>
              <w:rPr>
                <w:rFonts w:ascii="Times" w:hAnsi="Times"/>
              </w:rPr>
              <w:t xml:space="preserve">A guard period between SBFD and non-SBFD symbols may or may not be required at </w:t>
            </w:r>
            <w:proofErr w:type="spellStart"/>
            <w:r>
              <w:rPr>
                <w:rFonts w:ascii="Times" w:hAnsi="Times"/>
              </w:rPr>
              <w:t>gNB</w:t>
            </w:r>
            <w:proofErr w:type="spellEnd"/>
            <w:r>
              <w:rPr>
                <w:rFonts w:ascii="Times" w:hAnsi="Times"/>
              </w:rPr>
              <w:t xml:space="preserve"> and/or UE side depending on </w:t>
            </w:r>
            <w:proofErr w:type="spellStart"/>
            <w:r>
              <w:rPr>
                <w:rFonts w:ascii="Times" w:hAnsi="Times"/>
              </w:rPr>
              <w:t>gNB</w:t>
            </w:r>
            <w:proofErr w:type="spellEnd"/>
            <w:r>
              <w:rPr>
                <w:rFonts w:ascii="Times" w:hAnsi="Times"/>
              </w:rPr>
              <w:t>/UE implementation and/or SBFD operation.</w:t>
            </w:r>
          </w:p>
        </w:tc>
      </w:tr>
    </w:tbl>
    <w:p w14:paraId="0A726A0E" w14:textId="77777777" w:rsidR="0095524F" w:rsidRDefault="00000000">
      <w:pPr>
        <w:spacing w:beforeLines="50" w:before="156" w:after="180"/>
        <w:rPr>
          <w:rFonts w:ascii="Times New Roman" w:hAnsi="Times New Roman"/>
          <w:sz w:val="20"/>
          <w:szCs w:val="20"/>
        </w:rPr>
      </w:pPr>
      <w:r>
        <w:rPr>
          <w:rFonts w:ascii="Times New Roman" w:hAnsi="Times New Roman" w:hint="eastAsia"/>
          <w:sz w:val="20"/>
          <w:szCs w:val="20"/>
        </w:rPr>
        <w:t xml:space="preserve">The main reason of this transient period is SBFD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may need some additional time to update the number of Tx/Rx units, the Tx power, the number of antenna element/panel, the spatial beamforming algorithm. This requirement is implementation basis and we can consider the worst case for final minimum RF requirements. For legacy </w:t>
      </w:r>
      <w:proofErr w:type="spellStart"/>
      <w:r>
        <w:rPr>
          <w:rFonts w:ascii="Times New Roman" w:hAnsi="Times New Roman" w:hint="eastAsia"/>
          <w:sz w:val="20"/>
          <w:szCs w:val="20"/>
        </w:rPr>
        <w:t>gNB</w:t>
      </w:r>
      <w:proofErr w:type="spellEnd"/>
      <w:r>
        <w:rPr>
          <w:rFonts w:ascii="Times New Roman" w:hAnsi="Times New Roman" w:hint="eastAsia"/>
          <w:sz w:val="20"/>
          <w:szCs w:val="20"/>
        </w:rPr>
        <w:t>, the transient period is the time period during which the transmitter is changing from the transmitter OFF period to the transmitter ON period or vice versa. In theory the transient period for SBFD should not be larger than legacy ON-OFF transient period. Besides, the transient period between SBFD reconfiguration should not be larger than the transient period from SBFD to non-SBFD.</w:t>
      </w:r>
    </w:p>
    <w:p w14:paraId="625B50E2" w14:textId="77777777" w:rsidR="0095524F" w:rsidRDefault="00000000">
      <w:pPr>
        <w:spacing w:beforeLines="50" w:before="156" w:after="180"/>
        <w:rPr>
          <w:rFonts w:ascii="Times New Roman" w:hAnsi="Times New Roman"/>
          <w:b/>
          <w:bCs/>
          <w:sz w:val="20"/>
          <w:szCs w:val="20"/>
        </w:rPr>
      </w:pPr>
      <w:r>
        <w:rPr>
          <w:rFonts w:ascii="Times New Roman" w:hAnsi="Times New Roman" w:hint="eastAsia"/>
          <w:b/>
          <w:bCs/>
          <w:sz w:val="20"/>
          <w:szCs w:val="20"/>
        </w:rPr>
        <w:lastRenderedPageBreak/>
        <w:t>Observation 1: the transient period for SBFD should not be larger than legacy ON-OFF transient period. Besides, the transient period between SBFD reconfiguration should not be larger than the transient period from SBFD to non-SBFD.</w:t>
      </w:r>
    </w:p>
    <w:p w14:paraId="643AD7F9" w14:textId="77777777" w:rsidR="0095524F" w:rsidRDefault="00000000">
      <w:pPr>
        <w:pStyle w:val="3"/>
        <w:spacing w:before="156" w:after="156"/>
      </w:pPr>
      <w:r>
        <w:rPr>
          <w:rFonts w:hint="eastAsia"/>
        </w:rPr>
        <w:t>2.5 in-channel adjacent sub-band leakage ratio</w:t>
      </w:r>
    </w:p>
    <w:p w14:paraId="407C5E8C" w14:textId="77777777" w:rsidR="0095524F" w:rsidRDefault="00000000">
      <w:pPr>
        <w:rPr>
          <w:rFonts w:ascii="Times New Roman" w:hAnsi="Times New Roman"/>
          <w:sz w:val="20"/>
          <w:szCs w:val="20"/>
        </w:rPr>
      </w:pPr>
      <w:r>
        <w:rPr>
          <w:rFonts w:ascii="Times New Roman" w:hAnsi="Times New Roman"/>
          <w:sz w:val="20"/>
          <w:szCs w:val="20"/>
        </w:rPr>
        <w:t xml:space="preserve">Following </w:t>
      </w:r>
      <w:proofErr w:type="gramStart"/>
      <w:r>
        <w:rPr>
          <w:rFonts w:ascii="Times New Roman" w:hAnsi="Times New Roman"/>
          <w:sz w:val="20"/>
          <w:szCs w:val="20"/>
        </w:rPr>
        <w:t>capture</w:t>
      </w:r>
      <w:proofErr w:type="gramEnd"/>
      <w:r>
        <w:rPr>
          <w:rFonts w:ascii="Times New Roman" w:hAnsi="Times New Roman"/>
          <w:sz w:val="20"/>
          <w:szCs w:val="20"/>
        </w:rPr>
        <w:t xml:space="preserve"> </w:t>
      </w:r>
      <w:r>
        <w:rPr>
          <w:rFonts w:ascii="Times New Roman" w:hAnsi="Times New Roman" w:hint="eastAsia"/>
          <w:sz w:val="20"/>
          <w:szCs w:val="20"/>
        </w:rPr>
        <w:t xml:space="preserve">the agreements from TR 38.858 for in-channel adjacent </w:t>
      </w:r>
      <w:proofErr w:type="spellStart"/>
      <w:r>
        <w:rPr>
          <w:rFonts w:ascii="Times New Roman" w:hAnsi="Times New Roman" w:hint="eastAsia"/>
          <w:sz w:val="20"/>
          <w:szCs w:val="20"/>
        </w:rPr>
        <w:t>subband</w:t>
      </w:r>
      <w:proofErr w:type="spellEnd"/>
      <w:r>
        <w:rPr>
          <w:rFonts w:ascii="Times New Roman" w:hAnsi="Times New Roman" w:hint="eastAsia"/>
          <w:sz w:val="20"/>
          <w:szCs w:val="20"/>
        </w:rPr>
        <w:t xml:space="preserve"> leakage ratio requirements</w:t>
      </w:r>
      <w:r>
        <w:rPr>
          <w:rFonts w:ascii="Times New Roman" w:hAnsi="Times New Roman"/>
          <w:sz w:val="20"/>
          <w:szCs w:val="20"/>
        </w:rPr>
        <w:t>:</w:t>
      </w:r>
    </w:p>
    <w:tbl>
      <w:tblPr>
        <w:tblStyle w:val="af3"/>
        <w:tblW w:w="0" w:type="auto"/>
        <w:tblLook w:val="04A0" w:firstRow="1" w:lastRow="0" w:firstColumn="1" w:lastColumn="0" w:noHBand="0" w:noVBand="1"/>
      </w:tblPr>
      <w:tblGrid>
        <w:gridCol w:w="9736"/>
      </w:tblGrid>
      <w:tr w:rsidR="0095524F" w14:paraId="10F576B4" w14:textId="77777777">
        <w:tc>
          <w:tcPr>
            <w:tcW w:w="9962" w:type="dxa"/>
          </w:tcPr>
          <w:p w14:paraId="7E43FAB2" w14:textId="77777777" w:rsidR="0095524F" w:rsidRDefault="00000000">
            <w:pPr>
              <w:rPr>
                <w:rFonts w:ascii="Times New Roman" w:hAnsi="Times New Roman"/>
                <w:sz w:val="20"/>
                <w:szCs w:val="20"/>
              </w:rPr>
            </w:pPr>
            <w:r>
              <w:rPr>
                <w:rFonts w:ascii="Times New Roman" w:hAnsi="Times New Roman"/>
              </w:rPr>
              <w:t xml:space="preserve">For the potential new requirement of in-channel adjacent </w:t>
            </w:r>
            <w:proofErr w:type="spellStart"/>
            <w:r>
              <w:rPr>
                <w:rFonts w:ascii="Times New Roman" w:hAnsi="Times New Roman"/>
              </w:rPr>
              <w:t>subband</w:t>
            </w:r>
            <w:proofErr w:type="spellEnd"/>
            <w:r>
              <w:rPr>
                <w:rFonts w:ascii="Times New Roman" w:hAnsi="Times New Roman"/>
              </w:rPr>
              <w:t xml:space="preserve"> leakage ratio, it is concluded that further study is needed on the necessity of this requirement in normative phase.</w:t>
            </w:r>
          </w:p>
        </w:tc>
      </w:tr>
    </w:tbl>
    <w:p w14:paraId="33D78A91" w14:textId="77777777" w:rsidR="0095524F" w:rsidRDefault="0095524F">
      <w:pPr>
        <w:spacing w:after="120"/>
        <w:rPr>
          <w:rFonts w:ascii="Times New Roman" w:hAnsi="Times New Roman"/>
          <w:sz w:val="20"/>
          <w:szCs w:val="20"/>
        </w:rPr>
      </w:pPr>
    </w:p>
    <w:p w14:paraId="6EEBB8D6" w14:textId="77777777" w:rsidR="0095524F" w:rsidRDefault="00000000">
      <w:pPr>
        <w:spacing w:after="120"/>
        <w:rPr>
          <w:rFonts w:ascii="Times New Roman" w:hAnsi="Times New Roman"/>
          <w:sz w:val="20"/>
          <w:szCs w:val="20"/>
        </w:rPr>
      </w:pPr>
      <w:r>
        <w:rPr>
          <w:rFonts w:ascii="Times New Roman" w:hAnsi="Times New Roman" w:hint="eastAsia"/>
          <w:sz w:val="20"/>
          <w:szCs w:val="20"/>
        </w:rPr>
        <w:t>When sub-band Tx leakage fall into Rx sub-band within the same carrier, this interference may contribute to REFSENSE level. Previous agreements are that further study i</w:t>
      </w:r>
      <w:r>
        <w:rPr>
          <w:rFonts w:ascii="Times New Roman" w:hAnsi="Times New Roman"/>
          <w:sz w:val="20"/>
          <w:szCs w:val="20"/>
        </w:rPr>
        <w:t>f OTA sensitivity should be defined considering all of the scenarios including self-interference, inter-site interference and inter-sector interference.</w:t>
      </w:r>
      <w:r>
        <w:rPr>
          <w:rFonts w:ascii="Times New Roman" w:hAnsi="Times New Roman" w:hint="eastAsia"/>
          <w:sz w:val="20"/>
          <w:szCs w:val="20"/>
        </w:rPr>
        <w:t xml:space="preserve">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this sub-band leakage requirements falling into the same carrier should be discussed together with OTA sensitivity requirements. </w:t>
      </w:r>
    </w:p>
    <w:p w14:paraId="641ED39D" w14:textId="77777777" w:rsidR="0095524F" w:rsidRDefault="00000000">
      <w:pPr>
        <w:spacing w:after="120"/>
        <w:rPr>
          <w:rFonts w:ascii="Times New Roman" w:hAnsi="Times New Roman"/>
          <w:sz w:val="20"/>
          <w:szCs w:val="20"/>
        </w:rPr>
      </w:pPr>
      <w:r>
        <w:rPr>
          <w:rFonts w:ascii="Times New Roman" w:hAnsi="Times New Roman" w:hint="eastAsia"/>
          <w:b/>
          <w:bCs/>
          <w:sz w:val="20"/>
          <w:szCs w:val="20"/>
        </w:rPr>
        <w:t xml:space="preserve">Observation 2: This sub-band Tx leakage falling into the same carrier can be discussed together with OTA sensitivity requirements. </w:t>
      </w:r>
      <w:r>
        <w:rPr>
          <w:rFonts w:ascii="Times New Roman" w:hAnsi="Times New Roman" w:hint="eastAsia"/>
          <w:sz w:val="20"/>
          <w:szCs w:val="20"/>
        </w:rPr>
        <w:t xml:space="preserve"> </w:t>
      </w:r>
    </w:p>
    <w:p w14:paraId="0DA92134"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 xml:space="preserve">When sub-band Tx leakage fall into adjacent carrier, this is something like ACLR. The similar definition methodology could be reused with assumed equal Tx bandwidth and Rx bandwidth. As stated in section 2.4, this general sub-band Tx leakage not applies for co-located case. </w:t>
      </w:r>
    </w:p>
    <w:p w14:paraId="2C6B8256"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 xml:space="preserve">Besides, we should also keep in mind that interference may still occur even with infinitely increased SBFD performance. For </w:t>
      </w:r>
      <w:proofErr w:type="gramStart"/>
      <w:r>
        <w:rPr>
          <w:rFonts w:ascii="Times New Roman" w:hAnsi="Times New Roman" w:hint="eastAsia"/>
          <w:sz w:val="20"/>
          <w:szCs w:val="20"/>
        </w:rPr>
        <w:t>example</w:t>
      </w:r>
      <w:proofErr w:type="gramEnd"/>
      <w:r>
        <w:rPr>
          <w:rFonts w:ascii="Times New Roman" w:hAnsi="Times New Roman" w:hint="eastAsia"/>
          <w:sz w:val="20"/>
          <w:szCs w:val="20"/>
        </w:rPr>
        <w:t xml:space="preserve"> when co-exist with legacy NR network, interference may still occur even with infinitely increased SBFD performance. But when co-exist with SBFD of different configuration, interference could be avoided by increased SBFD performance. So before defining sub-band Tx leakage when falling into adjacent carrier, we should identify the assumption of adjacent network performance, i.e. with legacy 3GPP requirement or with enhanced requirements.</w:t>
      </w:r>
    </w:p>
    <w:p w14:paraId="3373EACB" w14:textId="77777777" w:rsidR="0095524F" w:rsidRDefault="00000000">
      <w:pPr>
        <w:spacing w:beforeLines="50" w:before="156" w:afterLines="50" w:after="156"/>
        <w:rPr>
          <w:rFonts w:ascii="Times New Roman" w:hAnsi="Times New Roman"/>
          <w:b/>
          <w:bCs/>
          <w:sz w:val="20"/>
          <w:szCs w:val="20"/>
        </w:rPr>
      </w:pPr>
      <w:r>
        <w:rPr>
          <w:rFonts w:ascii="Times New Roman" w:hAnsi="Times New Roman" w:hint="eastAsia"/>
          <w:b/>
          <w:bCs/>
          <w:sz w:val="20"/>
          <w:szCs w:val="20"/>
        </w:rPr>
        <w:t xml:space="preserve">Observation 3: RAN4 should at first identify the assumption of adjacent network performance for sub-band leakage requirement definition, i.e. whether inter-operator using adjacent carrier follow legacy 3GPP requirement or allow enhanced performance. </w:t>
      </w:r>
    </w:p>
    <w:p w14:paraId="01034784" w14:textId="77777777" w:rsidR="0095524F" w:rsidRDefault="00000000">
      <w:pPr>
        <w:pStyle w:val="3"/>
        <w:spacing w:before="156" w:after="156"/>
      </w:pPr>
      <w:r>
        <w:rPr>
          <w:rFonts w:hint="eastAsia"/>
        </w:rPr>
        <w:t>2.6 in-channel adjacent sub-band selectivity or blocking</w:t>
      </w:r>
    </w:p>
    <w:p w14:paraId="75DB374A" w14:textId="77777777" w:rsidR="0095524F" w:rsidRDefault="00000000">
      <w:pPr>
        <w:spacing w:after="180"/>
        <w:rPr>
          <w:rFonts w:ascii="Times New Roman" w:hAnsi="Times New Roman"/>
          <w:sz w:val="20"/>
          <w:szCs w:val="20"/>
        </w:rPr>
      </w:pPr>
      <w:r>
        <w:rPr>
          <w:rFonts w:ascii="Times New Roman" w:hAnsi="Times New Roman" w:hint="eastAsia"/>
          <w:sz w:val="20"/>
          <w:szCs w:val="20"/>
        </w:rPr>
        <w:t>Last meeting agreement is listed as below:</w:t>
      </w:r>
    </w:p>
    <w:tbl>
      <w:tblPr>
        <w:tblStyle w:val="af3"/>
        <w:tblW w:w="0" w:type="auto"/>
        <w:tblLook w:val="04A0" w:firstRow="1" w:lastRow="0" w:firstColumn="1" w:lastColumn="0" w:noHBand="0" w:noVBand="1"/>
      </w:tblPr>
      <w:tblGrid>
        <w:gridCol w:w="9736"/>
      </w:tblGrid>
      <w:tr w:rsidR="0095524F" w14:paraId="70808CDD" w14:textId="77777777">
        <w:tc>
          <w:tcPr>
            <w:tcW w:w="9962" w:type="dxa"/>
          </w:tcPr>
          <w:p w14:paraId="75E515C1" w14:textId="77777777" w:rsidR="0095524F" w:rsidRDefault="00000000">
            <w:pPr>
              <w:rPr>
                <w:rFonts w:ascii="Times New Roman" w:hAnsi="Times New Roman"/>
                <w:sz w:val="20"/>
                <w:szCs w:val="20"/>
              </w:rPr>
            </w:pPr>
            <w:r>
              <w:rPr>
                <w:rFonts w:ascii="Times New Roman" w:hAnsi="Times New Roman"/>
              </w:rPr>
              <w:t xml:space="preserve">For the potential new requirements of in-channel adjacent </w:t>
            </w:r>
            <w:proofErr w:type="spellStart"/>
            <w:r>
              <w:rPr>
                <w:rFonts w:ascii="Times New Roman" w:hAnsi="Times New Roman"/>
              </w:rPr>
              <w:t>subband</w:t>
            </w:r>
            <w:proofErr w:type="spellEnd"/>
            <w:r>
              <w:rPr>
                <w:rFonts w:ascii="Times New Roman" w:hAnsi="Times New Roman"/>
              </w:rPr>
              <w:t xml:space="preserve"> blocking and selectivity, it is concluded that further study is needed on the necessity of this requirement in normative phase.</w:t>
            </w:r>
          </w:p>
        </w:tc>
      </w:tr>
    </w:tbl>
    <w:p w14:paraId="0EA8EEF4"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 xml:space="preserve">For legacy ACS and blocking requirements, the main difference are the interference signal level and interference signal position. For ACS, the interference signal is at first adjacent channel and interference signal power is calculated based on sensitivity </w:t>
      </w:r>
      <w:proofErr w:type="spellStart"/>
      <w:r>
        <w:rPr>
          <w:rFonts w:ascii="Times New Roman" w:hAnsi="Times New Roman" w:hint="eastAsia"/>
          <w:sz w:val="20"/>
          <w:szCs w:val="20"/>
        </w:rPr>
        <w:t>desense</w:t>
      </w:r>
      <w:proofErr w:type="spellEnd"/>
      <w:r>
        <w:rPr>
          <w:rFonts w:ascii="Times New Roman" w:hAnsi="Times New Roman" w:hint="eastAsia"/>
          <w:sz w:val="20"/>
          <w:szCs w:val="20"/>
        </w:rPr>
        <w:t xml:space="preserve"> and ACS value. For in-band blocking, the interference signal is at second adjacent channel and interference signal power is 9dB higher derived as 95% point on CDF of all </w:t>
      </w:r>
      <w:proofErr w:type="spellStart"/>
      <w:r>
        <w:rPr>
          <w:rFonts w:ascii="Times New Roman" w:hAnsi="Times New Roman" w:hint="eastAsia"/>
          <w:sz w:val="20"/>
          <w:szCs w:val="20"/>
        </w:rPr>
        <w:t>gNB</w:t>
      </w:r>
      <w:r>
        <w:rPr>
          <w:rFonts w:ascii="Times New Roman" w:hAnsi="Times New Roman"/>
          <w:sz w:val="20"/>
          <w:szCs w:val="20"/>
        </w:rPr>
        <w:t>’</w:t>
      </w:r>
      <w:r>
        <w:rPr>
          <w:rFonts w:ascii="Times New Roman" w:hAnsi="Times New Roman" w:hint="eastAsia"/>
          <w:sz w:val="20"/>
          <w:szCs w:val="20"/>
        </w:rPr>
        <w:t>s</w:t>
      </w:r>
      <w:proofErr w:type="spellEnd"/>
      <w:r>
        <w:rPr>
          <w:rFonts w:ascii="Times New Roman" w:hAnsi="Times New Roman" w:hint="eastAsia"/>
          <w:sz w:val="20"/>
          <w:szCs w:val="20"/>
        </w:rPr>
        <w:t xml:space="preserve"> total input power level. </w:t>
      </w:r>
      <w:proofErr w:type="gramStart"/>
      <w:r>
        <w:rPr>
          <w:rFonts w:ascii="Times New Roman" w:hAnsi="Times New Roman" w:hint="eastAsia"/>
          <w:sz w:val="20"/>
          <w:szCs w:val="20"/>
        </w:rPr>
        <w:t>So</w:t>
      </w:r>
      <w:proofErr w:type="gramEnd"/>
      <w:r>
        <w:rPr>
          <w:rFonts w:ascii="Times New Roman" w:hAnsi="Times New Roman" w:hint="eastAsia"/>
          <w:sz w:val="20"/>
          <w:szCs w:val="20"/>
        </w:rPr>
        <w:t xml:space="preserve"> the ACS requirement and blocking requirement can</w:t>
      </w:r>
      <w:r>
        <w:rPr>
          <w:rFonts w:ascii="Times New Roman" w:hAnsi="Times New Roman"/>
          <w:sz w:val="20"/>
          <w:szCs w:val="20"/>
        </w:rPr>
        <w:t>’</w:t>
      </w:r>
      <w:r>
        <w:rPr>
          <w:rFonts w:ascii="Times New Roman" w:hAnsi="Times New Roman" w:hint="eastAsia"/>
          <w:sz w:val="20"/>
          <w:szCs w:val="20"/>
        </w:rPr>
        <w:t xml:space="preserve">t replace each other.  </w:t>
      </w:r>
    </w:p>
    <w:p w14:paraId="01E3B314"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 xml:space="preserve">The same story of ACS and blocking also applies for sub-band case. We need both selectivity and blocking requirements. One is based on co-existence conclusion to meet 5% throughput loss and the other is with higher interference level with </w:t>
      </w:r>
      <w:r>
        <w:rPr>
          <w:rFonts w:ascii="Times New Roman" w:hAnsi="Times New Roman" w:hint="eastAsia"/>
          <w:sz w:val="20"/>
          <w:szCs w:val="20"/>
        </w:rPr>
        <w:lastRenderedPageBreak/>
        <w:t xml:space="preserve">another sub-band frequency offset. </w:t>
      </w:r>
    </w:p>
    <w:p w14:paraId="1759AEBB" w14:textId="77777777" w:rsidR="0095524F" w:rsidRDefault="00000000">
      <w:pPr>
        <w:spacing w:beforeLines="50" w:before="156" w:afterLines="50" w:after="156"/>
        <w:rPr>
          <w:rFonts w:ascii="Times New Roman" w:hAnsi="Times New Roman"/>
          <w:b/>
          <w:bCs/>
          <w:sz w:val="20"/>
          <w:szCs w:val="20"/>
        </w:rPr>
      </w:pPr>
      <w:r>
        <w:rPr>
          <w:rFonts w:ascii="Times New Roman" w:hAnsi="Times New Roman" w:hint="eastAsia"/>
          <w:b/>
          <w:bCs/>
          <w:sz w:val="20"/>
          <w:szCs w:val="20"/>
        </w:rPr>
        <w:t>Proposal 1: both sub-band selectivity and blocking requirements should be defined.</w:t>
      </w:r>
    </w:p>
    <w:p w14:paraId="6690F2B5"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Regarding how to conclude sub-band selectivity and blocking requirements, the story is much similar as stated in section 2.3 for sub-band Tx leakage.</w:t>
      </w:r>
    </w:p>
    <w:p w14:paraId="61BBF221"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When Tx interference signal is within the same carrier, this sub-band selectivity may contribute to REFSENSE degradation. Previous agreements are that further study i</w:t>
      </w:r>
      <w:r>
        <w:rPr>
          <w:rFonts w:ascii="Times New Roman" w:hAnsi="Times New Roman"/>
          <w:sz w:val="20"/>
          <w:szCs w:val="20"/>
        </w:rPr>
        <w:t>f OTA sensitivity should be defined considering all of the scenarios including self-interference, inter-site interference and inter-sector interference.</w:t>
      </w:r>
      <w:r>
        <w:rPr>
          <w:rFonts w:ascii="Times New Roman" w:hAnsi="Times New Roman" w:hint="eastAsia"/>
          <w:sz w:val="20"/>
          <w:szCs w:val="20"/>
        </w:rPr>
        <w:t xml:space="preserve"> Sub-band selectivity requirements when Tx interference is within the same carrier should be discussed together with OTA sensitivity requirements. If </w:t>
      </w:r>
      <w:r>
        <w:rPr>
          <w:rFonts w:ascii="Times New Roman" w:hAnsi="Times New Roman"/>
          <w:sz w:val="20"/>
          <w:szCs w:val="20"/>
        </w:rPr>
        <w:t>OTA sensitivity</w:t>
      </w:r>
      <w:r>
        <w:rPr>
          <w:rFonts w:ascii="Times New Roman" w:hAnsi="Times New Roman" w:hint="eastAsia"/>
          <w:sz w:val="20"/>
          <w:szCs w:val="20"/>
        </w:rPr>
        <w:t xml:space="preserve"> will consider encompass these sub-band interference, sub-band selectivity with Tx interference signal within carrier is not needed.</w:t>
      </w:r>
    </w:p>
    <w:p w14:paraId="0244B6CE" w14:textId="77777777" w:rsidR="0095524F" w:rsidRDefault="00000000">
      <w:pPr>
        <w:spacing w:beforeLines="50" w:before="156" w:afterLines="50" w:after="156"/>
        <w:rPr>
          <w:rFonts w:ascii="Times New Roman" w:hAnsi="Times New Roman"/>
          <w:b/>
          <w:bCs/>
          <w:sz w:val="20"/>
          <w:szCs w:val="20"/>
        </w:rPr>
      </w:pPr>
      <w:r>
        <w:rPr>
          <w:rFonts w:ascii="Times New Roman" w:hAnsi="Times New Roman" w:hint="eastAsia"/>
          <w:b/>
          <w:bCs/>
          <w:sz w:val="20"/>
          <w:szCs w:val="20"/>
        </w:rPr>
        <w:t xml:space="preserve">Observation 4: Sub-band selectivity requirements when Tx interference is within the same carrier can be discussed together with OTA sensitivity requirements. If </w:t>
      </w:r>
      <w:r>
        <w:rPr>
          <w:rFonts w:ascii="Times New Roman" w:hAnsi="Times New Roman"/>
          <w:b/>
          <w:bCs/>
          <w:sz w:val="20"/>
          <w:szCs w:val="20"/>
        </w:rPr>
        <w:t>OTA sensitivity</w:t>
      </w:r>
      <w:r>
        <w:rPr>
          <w:rFonts w:ascii="Times New Roman" w:hAnsi="Times New Roman" w:hint="eastAsia"/>
          <w:b/>
          <w:bCs/>
          <w:sz w:val="20"/>
          <w:szCs w:val="20"/>
        </w:rPr>
        <w:t xml:space="preserve"> will encompass these sub-band interference, sub-band selectivity with Tx interference signal within carrier is not needed.</w:t>
      </w:r>
    </w:p>
    <w:p w14:paraId="2125B602"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When Tx interference signal is in adjacent carrier, the same as discussed in section 2.3 for sub-band Tx leakage.</w:t>
      </w:r>
    </w:p>
    <w:p w14:paraId="3EC434E9"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b/>
          <w:bCs/>
          <w:sz w:val="20"/>
          <w:szCs w:val="20"/>
        </w:rPr>
        <w:t>Observation 5: RAN4 should at first identify the assumption of adjacent network performance for sub-band selectivity requirement definition, i.e. whether inter-operator using adjacent carrier follow 3GPP requirement or allow enhanced performance.</w:t>
      </w:r>
    </w:p>
    <w:p w14:paraId="082E9262" w14:textId="77777777" w:rsidR="0095524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7DB274DE" w14:textId="77777777" w:rsidR="0095524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423A5C7D" w14:textId="77777777" w:rsidR="0095524F" w:rsidRDefault="00000000">
      <w:pPr>
        <w:spacing w:beforeLines="50" w:before="156" w:after="180"/>
        <w:rPr>
          <w:rFonts w:ascii="Times New Roman" w:hAnsi="Times New Roman"/>
          <w:b/>
          <w:bCs/>
          <w:sz w:val="20"/>
          <w:szCs w:val="20"/>
        </w:rPr>
      </w:pPr>
      <w:r>
        <w:rPr>
          <w:rFonts w:ascii="Times New Roman" w:hAnsi="Times New Roman" w:hint="eastAsia"/>
          <w:b/>
          <w:bCs/>
          <w:sz w:val="20"/>
          <w:szCs w:val="20"/>
        </w:rPr>
        <w:t>Observation 1: the transient period for SBFD should not be larger than legacy ON-OFF transient period. Besides, the transient period between SBFD reconfiguration should not be larger than the transient period from SBFD to non-SBFD.</w:t>
      </w:r>
    </w:p>
    <w:p w14:paraId="53FAFA5B" w14:textId="77777777" w:rsidR="0095524F" w:rsidRDefault="00000000">
      <w:pPr>
        <w:spacing w:afterLines="50" w:after="156"/>
        <w:rPr>
          <w:rFonts w:ascii="Times New Roman" w:hAnsi="Times New Roman"/>
          <w:b/>
          <w:bCs/>
          <w:sz w:val="20"/>
          <w:szCs w:val="20"/>
        </w:rPr>
      </w:pPr>
      <w:r>
        <w:rPr>
          <w:rFonts w:ascii="Times New Roman" w:hAnsi="Times New Roman" w:hint="eastAsia"/>
          <w:b/>
          <w:bCs/>
          <w:sz w:val="20"/>
          <w:szCs w:val="20"/>
        </w:rPr>
        <w:t xml:space="preserve">Observation 2: This sub-band Tx leakage falling into the same carrier can be discussed together with OTA sensitivity requirements. </w:t>
      </w:r>
    </w:p>
    <w:p w14:paraId="5E6351D1" w14:textId="77777777" w:rsidR="0095524F" w:rsidRDefault="00000000">
      <w:pPr>
        <w:spacing w:beforeLines="50" w:before="156" w:afterLines="50" w:after="156"/>
        <w:rPr>
          <w:rFonts w:ascii="Times New Roman" w:hAnsi="Times New Roman"/>
          <w:b/>
          <w:bCs/>
          <w:sz w:val="20"/>
          <w:szCs w:val="20"/>
        </w:rPr>
      </w:pPr>
      <w:r>
        <w:rPr>
          <w:rFonts w:ascii="Times New Roman" w:hAnsi="Times New Roman" w:hint="eastAsia"/>
          <w:b/>
          <w:bCs/>
          <w:sz w:val="20"/>
          <w:szCs w:val="20"/>
        </w:rPr>
        <w:t xml:space="preserve">Observation 3: RAN4 should at first identify the assumption of adjacent network performance for sub-band leakage requirement definition, i.e. whether inter-operator using adjacent carrier follow legacy 3GPP requirement or allow enhanced performance. </w:t>
      </w:r>
    </w:p>
    <w:p w14:paraId="2346BA2F" w14:textId="77777777" w:rsidR="0095524F" w:rsidRDefault="00000000">
      <w:pPr>
        <w:spacing w:beforeLines="50" w:before="156" w:afterLines="50" w:after="156"/>
        <w:rPr>
          <w:rFonts w:ascii="Times New Roman" w:hAnsi="Times New Roman"/>
          <w:b/>
          <w:bCs/>
          <w:sz w:val="20"/>
          <w:szCs w:val="20"/>
        </w:rPr>
      </w:pPr>
      <w:r>
        <w:rPr>
          <w:rFonts w:ascii="Times New Roman" w:hAnsi="Times New Roman" w:hint="eastAsia"/>
          <w:b/>
          <w:bCs/>
          <w:sz w:val="20"/>
          <w:szCs w:val="20"/>
        </w:rPr>
        <w:t xml:space="preserve">Observation 4: Sub-band selectivity requirements when Tx interference is within the same carrier can be discussed together with OTA sensitivity requirements. If </w:t>
      </w:r>
      <w:r>
        <w:rPr>
          <w:rFonts w:ascii="Times New Roman" w:hAnsi="Times New Roman"/>
          <w:b/>
          <w:bCs/>
          <w:sz w:val="20"/>
          <w:szCs w:val="20"/>
        </w:rPr>
        <w:t>OTA sensitivity</w:t>
      </w:r>
      <w:r>
        <w:rPr>
          <w:rFonts w:ascii="Times New Roman" w:hAnsi="Times New Roman" w:hint="eastAsia"/>
          <w:b/>
          <w:bCs/>
          <w:sz w:val="20"/>
          <w:szCs w:val="20"/>
        </w:rPr>
        <w:t xml:space="preserve"> will encompass these sub-band interference, sub-band selectivity with Tx interference signal within carrier is not needed.</w:t>
      </w:r>
    </w:p>
    <w:p w14:paraId="6B616F31" w14:textId="77777777" w:rsidR="0095524F" w:rsidRDefault="00000000">
      <w:pPr>
        <w:spacing w:beforeLines="50" w:before="156" w:afterLines="50" w:after="156"/>
        <w:rPr>
          <w:rFonts w:ascii="Times New Roman" w:hAnsi="Times New Roman"/>
          <w:b/>
          <w:bCs/>
          <w:sz w:val="20"/>
          <w:szCs w:val="20"/>
        </w:rPr>
      </w:pPr>
      <w:r>
        <w:rPr>
          <w:rFonts w:ascii="Times New Roman" w:hAnsi="Times New Roman" w:hint="eastAsia"/>
          <w:b/>
          <w:bCs/>
          <w:sz w:val="20"/>
          <w:szCs w:val="20"/>
        </w:rPr>
        <w:t>Observation 5: RAN4 should at first identify the assumption of adjacent network performance for sub-band selectivity requirement definition, i.e. whether inter-operator using adjacent carrier follow 3GPP requirement or allow enhanced performance.</w:t>
      </w:r>
    </w:p>
    <w:p w14:paraId="13F3AE01" w14:textId="77777777" w:rsidR="0095524F" w:rsidRDefault="00000000">
      <w:pPr>
        <w:spacing w:beforeLines="50" w:before="156" w:afterLines="50" w:after="156"/>
        <w:rPr>
          <w:rFonts w:ascii="Times New Roman" w:hAnsi="Times New Roman"/>
          <w:b/>
          <w:bCs/>
          <w:sz w:val="20"/>
          <w:szCs w:val="20"/>
        </w:rPr>
      </w:pPr>
      <w:r>
        <w:rPr>
          <w:rFonts w:ascii="Times New Roman" w:hAnsi="Times New Roman" w:hint="eastAsia"/>
          <w:b/>
          <w:bCs/>
          <w:sz w:val="20"/>
          <w:szCs w:val="20"/>
        </w:rPr>
        <w:t>Proposal 1: both sub-band selectivity and blocking requirements should be defined.</w:t>
      </w:r>
    </w:p>
    <w:p w14:paraId="066711F1" w14:textId="77777777" w:rsidR="0095524F" w:rsidRDefault="0095524F">
      <w:pPr>
        <w:spacing w:beforeLines="50" w:before="156" w:afterLines="50" w:after="156"/>
        <w:rPr>
          <w:rFonts w:ascii="Times New Roman" w:hAnsi="Times New Roman"/>
          <w:b/>
          <w:bCs/>
          <w:sz w:val="20"/>
          <w:szCs w:val="20"/>
        </w:rPr>
      </w:pPr>
    </w:p>
    <w:p w14:paraId="3B27F928" w14:textId="77777777" w:rsidR="0095524F"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078E4CA0" w14:textId="77777777" w:rsidR="0095524F"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TR 38.858, </w:t>
      </w:r>
    </w:p>
    <w:p w14:paraId="791E4879" w14:textId="7DF2B006" w:rsidR="0095524F" w:rsidRDefault="003F12BF" w:rsidP="003F12BF">
      <w:pPr>
        <w:widowControl/>
        <w:overflowPunct w:val="0"/>
        <w:autoSpaceDE w:val="0"/>
        <w:autoSpaceDN w:val="0"/>
        <w:adjustRightInd w:val="0"/>
        <w:spacing w:after="180"/>
        <w:jc w:val="left"/>
        <w:textAlignment w:val="baseline"/>
        <w:rPr>
          <w:rFonts w:ascii="Times New Roman" w:hAnsi="Times New Roman"/>
          <w:sz w:val="20"/>
          <w:szCs w:val="20"/>
        </w:rPr>
      </w:pPr>
      <w:r w:rsidRPr="003F12BF">
        <w:rPr>
          <w:rFonts w:ascii="Times New Roman" w:hAnsi="Times New Roman"/>
          <w:sz w:val="20"/>
          <w:szCs w:val="20"/>
        </w:rPr>
        <w:t xml:space="preserve">[2] R4-2409958, Way Forward for [110bis][313] </w:t>
      </w:r>
      <w:proofErr w:type="spellStart"/>
      <w:r w:rsidRPr="003F12BF">
        <w:rPr>
          <w:rFonts w:ascii="Times New Roman" w:hAnsi="Times New Roman"/>
          <w:sz w:val="20"/>
          <w:szCs w:val="20"/>
        </w:rPr>
        <w:t>NR_duplex_evo</w:t>
      </w:r>
      <w:proofErr w:type="spellEnd"/>
      <w:r w:rsidRPr="003F12BF">
        <w:rPr>
          <w:rFonts w:ascii="Times New Roman" w:hAnsi="Times New Roman"/>
          <w:sz w:val="20"/>
          <w:szCs w:val="20"/>
        </w:rPr>
        <w:t>, Samsung</w:t>
      </w:r>
    </w:p>
    <w:sectPr w:rsidR="0095524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154D0" w14:textId="77777777" w:rsidR="00161BAF" w:rsidRDefault="00161BAF">
      <w:r>
        <w:separator/>
      </w:r>
    </w:p>
  </w:endnote>
  <w:endnote w:type="continuationSeparator" w:id="0">
    <w:p w14:paraId="534B6766" w14:textId="77777777" w:rsidR="00161BAF" w:rsidRDefault="00161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424EC" w14:textId="77777777" w:rsidR="00161BAF" w:rsidRDefault="00161BAF">
      <w:r>
        <w:separator/>
      </w:r>
    </w:p>
  </w:footnote>
  <w:footnote w:type="continuationSeparator" w:id="0">
    <w:p w14:paraId="7BA667D9" w14:textId="77777777" w:rsidR="00161BAF" w:rsidRDefault="00161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A37A6" w14:textId="77777777" w:rsidR="0095524F" w:rsidRDefault="0095524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846433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138C"/>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1BAF"/>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2BF"/>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60A6"/>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395"/>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1CC"/>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0C5"/>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07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4F"/>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0E4E"/>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5FB"/>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1B55"/>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C365C1"/>
    <w:rsid w:val="01DE089D"/>
    <w:rsid w:val="020970C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9686A"/>
    <w:rsid w:val="076E27BD"/>
    <w:rsid w:val="0770402F"/>
    <w:rsid w:val="07BA06BE"/>
    <w:rsid w:val="07CA6B66"/>
    <w:rsid w:val="08973524"/>
    <w:rsid w:val="08A65D3D"/>
    <w:rsid w:val="0900762B"/>
    <w:rsid w:val="09626007"/>
    <w:rsid w:val="09993AB5"/>
    <w:rsid w:val="09F66D51"/>
    <w:rsid w:val="0ABA1F25"/>
    <w:rsid w:val="0ADD2F10"/>
    <w:rsid w:val="0AE962F7"/>
    <w:rsid w:val="0AF159BB"/>
    <w:rsid w:val="0B0758A7"/>
    <w:rsid w:val="0B1B4548"/>
    <w:rsid w:val="0B98539E"/>
    <w:rsid w:val="0BB17964"/>
    <w:rsid w:val="0BE65845"/>
    <w:rsid w:val="0BF0521B"/>
    <w:rsid w:val="0BFE4B3A"/>
    <w:rsid w:val="0C8D3125"/>
    <w:rsid w:val="0CCF7411"/>
    <w:rsid w:val="0D545798"/>
    <w:rsid w:val="0D624402"/>
    <w:rsid w:val="0DB4420C"/>
    <w:rsid w:val="0E037D57"/>
    <w:rsid w:val="0E1D4B35"/>
    <w:rsid w:val="0E5F68A3"/>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5862BF"/>
    <w:rsid w:val="17A04468"/>
    <w:rsid w:val="18135A10"/>
    <w:rsid w:val="18642373"/>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3D0B9B"/>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2A4CAC"/>
    <w:rsid w:val="286036CB"/>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8A2F49"/>
    <w:rsid w:val="2C9F3BCE"/>
    <w:rsid w:val="2CA64350"/>
    <w:rsid w:val="2CF4664D"/>
    <w:rsid w:val="2D4D79AC"/>
    <w:rsid w:val="2E9C0F87"/>
    <w:rsid w:val="2EB8044F"/>
    <w:rsid w:val="2EC16B9C"/>
    <w:rsid w:val="2EDF426C"/>
    <w:rsid w:val="2EEC4E92"/>
    <w:rsid w:val="2F1C0982"/>
    <w:rsid w:val="2F283914"/>
    <w:rsid w:val="2F747966"/>
    <w:rsid w:val="2FCB6344"/>
    <w:rsid w:val="2FEC1523"/>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510879"/>
    <w:rsid w:val="372F46A7"/>
    <w:rsid w:val="37726C9D"/>
    <w:rsid w:val="379344BE"/>
    <w:rsid w:val="37B21027"/>
    <w:rsid w:val="37BD6848"/>
    <w:rsid w:val="37CC6816"/>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733C91"/>
    <w:rsid w:val="42916AC5"/>
    <w:rsid w:val="42EB4612"/>
    <w:rsid w:val="431A5724"/>
    <w:rsid w:val="436807A8"/>
    <w:rsid w:val="439901E8"/>
    <w:rsid w:val="43EC12FF"/>
    <w:rsid w:val="43F11B33"/>
    <w:rsid w:val="43F17986"/>
    <w:rsid w:val="444678CE"/>
    <w:rsid w:val="44565A46"/>
    <w:rsid w:val="447E086E"/>
    <w:rsid w:val="44B37A44"/>
    <w:rsid w:val="44B454C5"/>
    <w:rsid w:val="44C125DD"/>
    <w:rsid w:val="44DD6689"/>
    <w:rsid w:val="44E7774D"/>
    <w:rsid w:val="45127C50"/>
    <w:rsid w:val="4524487F"/>
    <w:rsid w:val="45830A1B"/>
    <w:rsid w:val="458D51A8"/>
    <w:rsid w:val="459B4244"/>
    <w:rsid w:val="45A33E4B"/>
    <w:rsid w:val="45A94422"/>
    <w:rsid w:val="45CC5F92"/>
    <w:rsid w:val="465C2D4B"/>
    <w:rsid w:val="465C457C"/>
    <w:rsid w:val="46E67A01"/>
    <w:rsid w:val="47262D4B"/>
    <w:rsid w:val="47E2567D"/>
    <w:rsid w:val="47F00216"/>
    <w:rsid w:val="48FF25D1"/>
    <w:rsid w:val="49281A93"/>
    <w:rsid w:val="492F313E"/>
    <w:rsid w:val="495010D7"/>
    <w:rsid w:val="4955555E"/>
    <w:rsid w:val="49570A61"/>
    <w:rsid w:val="49E453DD"/>
    <w:rsid w:val="49EE4458"/>
    <w:rsid w:val="4A521971"/>
    <w:rsid w:val="4A772194"/>
    <w:rsid w:val="4A9C4E28"/>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5A1A99"/>
    <w:rsid w:val="4E723844"/>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8C361F"/>
    <w:rsid w:val="53A46AC8"/>
    <w:rsid w:val="53A54549"/>
    <w:rsid w:val="53F47B4C"/>
    <w:rsid w:val="5403314B"/>
    <w:rsid w:val="544A4CD7"/>
    <w:rsid w:val="545309AA"/>
    <w:rsid w:val="54DE26CA"/>
    <w:rsid w:val="552827AD"/>
    <w:rsid w:val="55584783"/>
    <w:rsid w:val="55835CD9"/>
    <w:rsid w:val="558E2FA7"/>
    <w:rsid w:val="55B464A8"/>
    <w:rsid w:val="55BD2802"/>
    <w:rsid w:val="55F969E7"/>
    <w:rsid w:val="56024028"/>
    <w:rsid w:val="5616190A"/>
    <w:rsid w:val="567E13F4"/>
    <w:rsid w:val="56941399"/>
    <w:rsid w:val="569F71AC"/>
    <w:rsid w:val="56F83407"/>
    <w:rsid w:val="571F34FB"/>
    <w:rsid w:val="572210F5"/>
    <w:rsid w:val="572A730E"/>
    <w:rsid w:val="576146B9"/>
    <w:rsid w:val="577865C9"/>
    <w:rsid w:val="578F7CCE"/>
    <w:rsid w:val="57E1103B"/>
    <w:rsid w:val="58467715"/>
    <w:rsid w:val="587B1239"/>
    <w:rsid w:val="58B65B9B"/>
    <w:rsid w:val="593309E8"/>
    <w:rsid w:val="59BC0B47"/>
    <w:rsid w:val="59FB712C"/>
    <w:rsid w:val="5A050D40"/>
    <w:rsid w:val="5A8A0BF0"/>
    <w:rsid w:val="5AA83DCD"/>
    <w:rsid w:val="5B2F7529"/>
    <w:rsid w:val="5BBA168B"/>
    <w:rsid w:val="5BBD01B3"/>
    <w:rsid w:val="5CAC7D1A"/>
    <w:rsid w:val="5CCF11D3"/>
    <w:rsid w:val="5D1154C0"/>
    <w:rsid w:val="5D4A309B"/>
    <w:rsid w:val="5D7F7CF2"/>
    <w:rsid w:val="5D851C35"/>
    <w:rsid w:val="5E1A7EF1"/>
    <w:rsid w:val="5E2A018B"/>
    <w:rsid w:val="5E3A1833"/>
    <w:rsid w:val="5EA04BEE"/>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B41D56"/>
    <w:rsid w:val="640E1B35"/>
    <w:rsid w:val="6412053C"/>
    <w:rsid w:val="64430D0B"/>
    <w:rsid w:val="644E6752"/>
    <w:rsid w:val="648065F1"/>
    <w:rsid w:val="65046BCA"/>
    <w:rsid w:val="650A2CD2"/>
    <w:rsid w:val="651D6610"/>
    <w:rsid w:val="6566621E"/>
    <w:rsid w:val="65821697"/>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7992D"/>
  <w15:docId w15:val="{66644C20-2C84-46FB-A293-DF7198441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1332</Words>
  <Characters>7597</Characters>
  <Application>Microsoft Office Word</Application>
  <DocSecurity>0</DocSecurity>
  <Lines>63</Lines>
  <Paragraphs>17</Paragraphs>
  <ScaleCrop>false</ScaleCrop>
  <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185</cp:revision>
  <dcterms:created xsi:type="dcterms:W3CDTF">2022-04-25T02:55:00Z</dcterms:created>
  <dcterms:modified xsi:type="dcterms:W3CDTF">2024-08-09T06:01:00Z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