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after="60"/>
        <w:outlineLvl w:val="0"/>
        <w:rPr>
          <w:rFonts w:hint="eastAsia" w:ascii="Arial" w:hAnsi="Arial" w:eastAsia="宋体" w:cs="Arial"/>
          <w:b/>
          <w:kern w:val="0"/>
          <w:sz w:val="24"/>
          <w:szCs w:val="24"/>
        </w:rPr>
      </w:pPr>
      <w:bookmarkStart w:id="0" w:name="_Ref399006623"/>
      <w:bookmarkStart w:id="1" w:name="_Toc92513360"/>
      <w:r>
        <w:rPr>
          <w:rFonts w:hint="eastAsia" w:ascii="Arial" w:hAnsi="Arial" w:eastAsia="宋体" w:cs="Arial"/>
          <w:b/>
          <w:kern w:val="0"/>
          <w:sz w:val="24"/>
          <w:szCs w:val="24"/>
        </w:rPr>
        <w:t>3GPP TSG-RAN WG4 Meeting #112</w:t>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lang w:val="en-US" w:eastAsia="zh-CN"/>
        </w:rPr>
        <w:t xml:space="preserve">                       R4-2411619</w:t>
      </w:r>
    </w:p>
    <w:p>
      <w:pPr>
        <w:spacing w:before="60" w:after="60"/>
        <w:outlineLvl w:val="0"/>
        <w:rPr>
          <w:rFonts w:ascii="Arial" w:hAnsi="Arial" w:eastAsia="宋体" w:cs="Arial"/>
          <w:b/>
          <w:kern w:val="0"/>
          <w:sz w:val="24"/>
          <w:szCs w:val="24"/>
        </w:rPr>
      </w:pPr>
      <w:r>
        <w:rPr>
          <w:rFonts w:hint="eastAsia" w:ascii="Arial" w:hAnsi="Arial" w:eastAsia="宋体" w:cs="Arial"/>
          <w:b/>
          <w:kern w:val="0"/>
          <w:sz w:val="24"/>
          <w:szCs w:val="24"/>
        </w:rPr>
        <w:t>Maastricht, Netherlands, 19</w:t>
      </w:r>
      <w:r>
        <w:rPr>
          <w:rFonts w:hint="eastAsia" w:ascii="Arial" w:hAnsi="Arial" w:eastAsia="宋体" w:cs="Arial"/>
          <w:b/>
          <w:kern w:val="0"/>
          <w:sz w:val="24"/>
          <w:szCs w:val="24"/>
          <w:vertAlign w:val="superscript"/>
        </w:rPr>
        <w:t>th</w:t>
      </w:r>
      <w:r>
        <w:rPr>
          <w:rFonts w:hint="eastAsia" w:ascii="Arial" w:hAnsi="Arial" w:eastAsia="宋体" w:cs="Arial"/>
          <w:b/>
          <w:kern w:val="0"/>
          <w:sz w:val="24"/>
          <w:szCs w:val="24"/>
          <w:vertAlign w:val="superscript"/>
          <w:lang w:val="en-US" w:eastAsia="zh-CN"/>
        </w:rPr>
        <w:t xml:space="preserve"> </w:t>
      </w:r>
      <w:r>
        <w:rPr>
          <w:rFonts w:hint="eastAsia" w:ascii="Arial" w:hAnsi="Arial" w:eastAsia="宋体" w:cs="Arial"/>
          <w:b/>
          <w:bCs w:val="0"/>
          <w:kern w:val="0"/>
          <w:sz w:val="24"/>
          <w:szCs w:val="24"/>
          <w:lang w:val="en-US" w:eastAsia="zh-CN"/>
        </w:rPr>
        <w:t xml:space="preserve">- </w:t>
      </w:r>
      <w:r>
        <w:rPr>
          <w:rFonts w:hint="eastAsia" w:ascii="Arial" w:hAnsi="Arial" w:eastAsia="宋体" w:cs="Arial"/>
          <w:b/>
          <w:kern w:val="0"/>
          <w:sz w:val="24"/>
          <w:szCs w:val="24"/>
        </w:rPr>
        <w:t>23rd August, 2024</w:t>
      </w:r>
    </w:p>
    <w:p>
      <w:pPr>
        <w:overflowPunct w:val="0"/>
        <w:autoSpaceDE w:val="0"/>
        <w:autoSpaceDN w:val="0"/>
        <w:adjustRightInd w:val="0"/>
        <w:textAlignment w:val="baseline"/>
        <w:rPr>
          <w:rFonts w:ascii="Arial" w:hAnsi="Arial" w:eastAsia="宋体" w:cs="Times New Roman"/>
          <w:b/>
          <w:bCs/>
          <w:kern w:val="0"/>
          <w:sz w:val="24"/>
          <w:szCs w:val="21"/>
          <w:lang w:val="en-GB"/>
        </w:rPr>
      </w:pPr>
    </w:p>
    <w:p>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Initial discussion on RRM core requirements in NTN for NR Phase 3</w:t>
      </w:r>
    </w:p>
    <w:p>
      <w:pPr>
        <w:ind w:left="1985" w:hanging="1985"/>
        <w:rPr>
          <w:rFonts w:hint="default" w:ascii="Arial" w:hAnsi="Arial" w:cs="Arial" w:eastAsiaTheme="minorEastAsia"/>
          <w:sz w:val="24"/>
          <w:szCs w:val="24"/>
          <w:highlight w:val="yellow"/>
          <w:lang w:val="en-US" w:eastAsia="zh-CN"/>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8.26.3</w:t>
      </w:r>
    </w:p>
    <w:p>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0"/>
    <w:bookmarkEnd w:id="1"/>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pPr>
        <w:spacing w:before="120" w:beforeLines="50" w:after="120" w:afterLines="50"/>
        <w:rPr>
          <w:rFonts w:hint="default" w:ascii="Times New Roman" w:hAnsi="Times New Roman" w:eastAsia="MS Mincho" w:cs="Times New Roman"/>
          <w:kern w:val="0"/>
          <w:sz w:val="20"/>
          <w:szCs w:val="20"/>
          <w:lang w:val="en-GB" w:eastAsia="ja-JP"/>
        </w:rPr>
      </w:pPr>
      <w:r>
        <w:rPr>
          <w:rFonts w:hint="default" w:ascii="Times New Roman" w:hAnsi="Times New Roman" w:eastAsia="MS Mincho" w:cs="Times New Roman"/>
          <w:kern w:val="0"/>
          <w:sz w:val="20"/>
          <w:szCs w:val="20"/>
          <w:lang w:val="en-GB" w:eastAsia="ja-JP"/>
        </w:rPr>
        <w:t>In RAN#</w:t>
      </w:r>
      <w:r>
        <w:rPr>
          <w:rFonts w:hint="default" w:ascii="Times New Roman" w:hAnsi="Times New Roman" w:eastAsia="MS Mincho" w:cs="Times New Roman"/>
          <w:kern w:val="0"/>
          <w:sz w:val="20"/>
          <w:szCs w:val="20"/>
          <w:lang w:val="en-US" w:eastAsia="zh-CN"/>
        </w:rPr>
        <w:t>104</w:t>
      </w:r>
      <w:r>
        <w:rPr>
          <w:rFonts w:hint="default" w:ascii="Times New Roman" w:hAnsi="Times New Roman" w:eastAsia="MS Mincho" w:cs="Times New Roman"/>
          <w:kern w:val="0"/>
          <w:sz w:val="20"/>
          <w:szCs w:val="20"/>
          <w:lang w:val="en-GB" w:eastAsia="ja-JP"/>
        </w:rPr>
        <w:t xml:space="preserve"> plenary meeting, the</w:t>
      </w:r>
      <w:r>
        <w:rPr>
          <w:rFonts w:hint="default" w:ascii="Times New Roman" w:hAnsi="Times New Roman" w:eastAsia="MS Mincho" w:cs="Times New Roman"/>
          <w:kern w:val="0"/>
          <w:sz w:val="20"/>
          <w:szCs w:val="20"/>
          <w:lang w:val="en-US" w:eastAsia="zh-CN"/>
        </w:rPr>
        <w:t xml:space="preserve"> revised</w:t>
      </w:r>
      <w:r>
        <w:rPr>
          <w:rFonts w:hint="default" w:ascii="Times New Roman" w:hAnsi="Times New Roman" w:eastAsia="MS Mincho" w:cs="Times New Roman"/>
          <w:kern w:val="0"/>
          <w:sz w:val="20"/>
          <w:szCs w:val="20"/>
          <w:lang w:val="en-GB" w:eastAsia="ja-JP"/>
        </w:rPr>
        <w:t xml:space="preserve"> WID of</w:t>
      </w:r>
      <w:r>
        <w:rPr>
          <w:rFonts w:hint="default" w:ascii="Times New Roman" w:hAnsi="Times New Roman" w:eastAsia="MS Mincho" w:cs="Times New Roman"/>
          <w:kern w:val="0"/>
          <w:sz w:val="20"/>
          <w:szCs w:val="20"/>
          <w:lang w:val="en-US" w:eastAsia="zh-CN"/>
        </w:rPr>
        <w:t xml:space="preserve"> “Non-Terrestrial Networks (NTN) for NR Phase 3</w:t>
      </w:r>
      <w:r>
        <w:rPr>
          <w:rFonts w:hint="default" w:ascii="Times New Roman" w:hAnsi="Times New Roman" w:eastAsia="MS Mincho" w:cs="Times New Roman"/>
          <w:kern w:val="0"/>
          <w:sz w:val="20"/>
          <w:szCs w:val="20"/>
          <w:lang w:val="en-GB" w:eastAsia="ja-JP"/>
        </w:rPr>
        <w:t xml:space="preserve">” has been approved in [1]. </w:t>
      </w:r>
      <w:r>
        <w:rPr>
          <w:rFonts w:hint="default" w:ascii="Times New Roman" w:hAnsi="Times New Roman" w:eastAsia="MS Mincho" w:cs="Times New Roman"/>
          <w:kern w:val="0"/>
          <w:sz w:val="20"/>
          <w:szCs w:val="20"/>
          <w:lang w:val="en-US" w:eastAsia="zh-CN"/>
        </w:rPr>
        <w:t>T</w:t>
      </w:r>
      <w:r>
        <w:rPr>
          <w:rFonts w:hint="default" w:ascii="Times New Roman" w:hAnsi="Times New Roman" w:eastAsia="MS Mincho" w:cs="Times New Roman"/>
          <w:kern w:val="0"/>
          <w:sz w:val="20"/>
          <w:szCs w:val="20"/>
          <w:lang w:val="en-GB" w:eastAsia="ja-JP"/>
        </w:rPr>
        <w:t>he corresponding UE RRM requirements shall be defined in RAN4.</w:t>
      </w:r>
      <w:r>
        <w:rPr>
          <w:rFonts w:hint="default" w:ascii="Times New Roman" w:hAnsi="Times New Roman" w:eastAsia="MS Mincho" w:cs="Times New Roman"/>
          <w:kern w:val="0"/>
          <w:sz w:val="20"/>
          <w:szCs w:val="20"/>
          <w:lang w:val="en-US" w:eastAsia="zh-CN"/>
        </w:rPr>
        <w:t xml:space="preserve"> </w:t>
      </w:r>
      <w:r>
        <w:rPr>
          <w:rFonts w:hint="default" w:ascii="Times New Roman" w:hAnsi="Times New Roman" w:eastAsia="MS Mincho" w:cs="Times New Roman"/>
          <w:kern w:val="0"/>
          <w:sz w:val="20"/>
          <w:szCs w:val="20"/>
          <w:lang w:val="en-GB" w:eastAsia="ja-JP"/>
        </w:rPr>
        <w:t>In this contribution, we would like to provide some initial discussion on RRM impact in NTN for NR Phase 3 and provide our proposals.</w:t>
      </w:r>
    </w:p>
    <w:p>
      <w:pPr>
        <w:pStyle w:val="24"/>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pStyle w:val="3"/>
        <w:keepNext/>
        <w:keepLines/>
        <w:pageBreakBefore w:val="0"/>
        <w:widowControl/>
        <w:kinsoku/>
        <w:wordWrap/>
        <w:overflowPunct/>
        <w:topLinePunct w:val="0"/>
        <w:autoSpaceDE/>
        <w:autoSpaceDN/>
        <w:bidi w:val="0"/>
        <w:adjustRightInd/>
        <w:snapToGrid/>
        <w:spacing w:before="157" w:beforeLines="50" w:after="157" w:afterLines="50" w:line="240" w:lineRule="auto"/>
        <w:textAlignment w:val="auto"/>
        <w:rPr>
          <w:rFonts w:hint="default" w:ascii="Times New Roman" w:hAnsi="Times New Roman" w:cs="Times New Roman"/>
          <w:sz w:val="20"/>
          <w:szCs w:val="20"/>
          <w:u w:val="single"/>
          <w:lang w:val="en-GB" w:eastAsia="ja-JP"/>
        </w:rPr>
      </w:pPr>
      <w:bookmarkStart w:id="2" w:name="_Toc163289979"/>
      <w:bookmarkStart w:id="3" w:name="OLE_LINK4"/>
      <w:r>
        <w:rPr>
          <w:rFonts w:hint="default" w:ascii="Times New Roman" w:hAnsi="Times New Roman" w:cs="Times New Roman"/>
          <w:sz w:val="20"/>
          <w:szCs w:val="20"/>
          <w:u w:val="single"/>
          <w:lang w:val="en-GB" w:eastAsia="ja-JP"/>
        </w:rPr>
        <w:t>NR-NTN downlink coverage enhancement</w:t>
      </w:r>
      <w:bookmarkEnd w:id="2"/>
    </w:p>
    <w:bookmarkEnd w:id="3"/>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4"/>
              </w:numPr>
              <w:overflowPunct w:val="0"/>
              <w:autoSpaceDE w:val="0"/>
              <w:autoSpaceDN w:val="0"/>
              <w:adjustRightInd w:val="0"/>
              <w:spacing w:after="0" w:line="276" w:lineRule="auto"/>
              <w:ind w:left="420" w:hanging="420"/>
              <w:textAlignment w:val="baseline"/>
              <w:rPr>
                <w:rFonts w:ascii="Times New Roman" w:hAnsi="Times New Roman" w:eastAsia="Calibri" w:cs="Times New Roman"/>
                <w:kern w:val="0"/>
                <w:sz w:val="20"/>
                <w:szCs w:val="20"/>
                <w:lang w:val="en-US" w:eastAsia="ko-KR"/>
              </w:rPr>
            </w:pPr>
            <w:r>
              <w:rPr>
                <w:rFonts w:ascii="Times New Roman" w:hAnsi="Times New Roman" w:eastAsia="Calibri" w:cs="Times New Roman"/>
                <w:kern w:val="0"/>
                <w:sz w:val="20"/>
                <w:szCs w:val="20"/>
                <w:lang w:val="en-US" w:eastAsia="ko-KR"/>
              </w:rPr>
              <w:t>Study and specify</w:t>
            </w:r>
            <w:bookmarkStart w:id="4" w:name="_Hlk153196886"/>
            <w:r>
              <w:rPr>
                <w:rFonts w:ascii="Times New Roman" w:hAnsi="Times New Roman" w:eastAsia="Calibri" w:cs="Times New Roman"/>
                <w:kern w:val="0"/>
                <w:sz w:val="20"/>
                <w:szCs w:val="20"/>
                <w:lang w:val="en-US" w:eastAsia="ko-KR"/>
              </w:rPr>
              <w:t xml:space="preserve"> if beneficial</w:t>
            </w:r>
            <w:bookmarkEnd w:id="4"/>
            <w:r>
              <w:rPr>
                <w:rFonts w:ascii="Times New Roman" w:hAnsi="Times New Roman" w:eastAsia="Calibri" w:cs="Times New Roman"/>
                <w:kern w:val="0"/>
                <w:sz w:val="20"/>
                <w:szCs w:val="20"/>
                <w:lang w:val="en-US" w:eastAsia="ko-KR"/>
              </w:rPr>
              <w:t xml:space="preserve"> downlink coverage enhancements targeting support for additional reference satellite payload parameters covering both GSO and NGSO constellations operating in FR1-NTN or FR2-NTN [RAN1, RAN2, RAN4]</w:t>
            </w:r>
          </w:p>
          <w:p>
            <w:pPr>
              <w:widowControl w:val="0"/>
              <w:numPr>
                <w:ilvl w:val="0"/>
                <w:numId w:val="5"/>
              </w:numPr>
              <w:overflowPunct/>
              <w:autoSpaceDE/>
              <w:autoSpaceDN/>
              <w:adjustRightInd/>
              <w:spacing w:after="0" w:line="276" w:lineRule="auto"/>
              <w:ind w:left="720" w:hanging="360"/>
              <w:contextualSpacing/>
              <w:jc w:val="both"/>
              <w:textAlignment w:val="auto"/>
              <w:rPr>
                <w:rFonts w:ascii="Times New Roman" w:hAnsi="Times New Roman" w:eastAsia="Calibri" w:cs="Times New Roman"/>
                <w:sz w:val="20"/>
                <w:szCs w:val="20"/>
                <w:lang w:val="en-US" w:eastAsia="zh-CN" w:bidi="ar-SA"/>
              </w:rPr>
            </w:pPr>
            <w:r>
              <w:rPr>
                <w:rFonts w:ascii="Times New Roman" w:hAnsi="Times New Roman" w:eastAsia="Calibri" w:cs="Times New Roman"/>
                <w:sz w:val="20"/>
                <w:szCs w:val="20"/>
                <w:lang w:val="en-US" w:eastAsia="zh-CN" w:bidi="ar-SA"/>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widowControl w:val="0"/>
              <w:numPr>
                <w:ilvl w:val="0"/>
                <w:numId w:val="5"/>
              </w:numPr>
              <w:overflowPunct/>
              <w:autoSpaceDE/>
              <w:autoSpaceDN/>
              <w:adjustRightInd/>
              <w:spacing w:after="0" w:line="276" w:lineRule="auto"/>
              <w:ind w:left="720" w:hanging="360"/>
              <w:contextualSpacing/>
              <w:jc w:val="both"/>
              <w:textAlignment w:val="auto"/>
              <w:rPr>
                <w:rFonts w:ascii="Times New Roman" w:hAnsi="Times New Roman" w:eastAsia="Calibri" w:cs="Times New Roman"/>
                <w:sz w:val="20"/>
                <w:szCs w:val="20"/>
                <w:lang w:val="en-US" w:eastAsia="zh-CN" w:bidi="ar-SA"/>
              </w:rPr>
            </w:pPr>
            <w:r>
              <w:rPr>
                <w:rFonts w:ascii="Times New Roman" w:hAnsi="Times New Roman" w:eastAsia="Calibri" w:cs="Times New Roman"/>
                <w:sz w:val="20"/>
                <w:szCs w:val="20"/>
                <w:lang w:val="en-US" w:eastAsia="zh-CN" w:bidi="ar-SA"/>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widowControl w:val="0"/>
              <w:numPr>
                <w:ilvl w:val="0"/>
                <w:numId w:val="5"/>
              </w:numPr>
              <w:overflowPunct/>
              <w:autoSpaceDE/>
              <w:autoSpaceDN/>
              <w:adjustRightInd/>
              <w:spacing w:after="0" w:line="276" w:lineRule="auto"/>
              <w:ind w:left="720" w:hanging="360"/>
              <w:contextualSpacing/>
              <w:jc w:val="both"/>
              <w:textAlignment w:val="auto"/>
              <w:rPr>
                <w:rFonts w:ascii="Times New Roman" w:hAnsi="Times New Roman" w:eastAsia="Calibri" w:cs="Times New Roman"/>
                <w:sz w:val="20"/>
                <w:szCs w:val="20"/>
                <w:lang w:val="en-US" w:eastAsia="zh-CN" w:bidi="ar-SA"/>
              </w:rPr>
            </w:pPr>
            <w:r>
              <w:rPr>
                <w:rFonts w:ascii="Times New Roman" w:hAnsi="Times New Roman" w:eastAsia="Calibri" w:cs="Times New Roman"/>
                <w:sz w:val="20"/>
                <w:szCs w:val="20"/>
                <w:lang w:val="en-US" w:eastAsia="zh-CN" w:bidi="ar-SA"/>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pPr>
              <w:widowControl w:val="0"/>
              <w:numPr>
                <w:ilvl w:val="1"/>
                <w:numId w:val="5"/>
              </w:numPr>
              <w:overflowPunct/>
              <w:autoSpaceDE/>
              <w:autoSpaceDN/>
              <w:adjustRightInd/>
              <w:spacing w:after="0" w:line="276" w:lineRule="auto"/>
              <w:ind w:left="1440" w:hanging="360"/>
              <w:contextualSpacing/>
              <w:jc w:val="both"/>
              <w:textAlignment w:val="auto"/>
              <w:rPr>
                <w:rFonts w:ascii="Times New Roman" w:hAnsi="Times New Roman" w:eastAsia="Calibri" w:cs="Times New Roman"/>
                <w:sz w:val="20"/>
                <w:szCs w:val="20"/>
                <w:highlight w:val="none"/>
                <w:lang w:val="en-US" w:eastAsia="zh-CN" w:bidi="ar-SA"/>
              </w:rPr>
            </w:pPr>
            <w:r>
              <w:rPr>
                <w:rFonts w:ascii="Times New Roman" w:hAnsi="Times New Roman" w:eastAsia="Calibri" w:cs="Times New Roman"/>
                <w:sz w:val="20"/>
                <w:szCs w:val="20"/>
                <w:highlight w:val="none"/>
                <w:lang w:val="en-US" w:eastAsia="zh-CN" w:bidi="ar-SA"/>
              </w:rPr>
              <w:t>RAN1 to report at the latest by RAN#106 with the list of targeted physical channels/signals for link level enhancements (if any), and with the targeted system-level enhancements (if any)</w:t>
            </w:r>
          </w:p>
          <w:p>
            <w:pPr>
              <w:widowControl w:val="0"/>
              <w:numPr>
                <w:ilvl w:val="1"/>
                <w:numId w:val="5"/>
              </w:numPr>
              <w:overflowPunct/>
              <w:autoSpaceDE/>
              <w:autoSpaceDN/>
              <w:adjustRightInd/>
              <w:spacing w:after="0" w:line="276" w:lineRule="auto"/>
              <w:ind w:left="1440" w:hanging="360"/>
              <w:contextualSpacing/>
              <w:jc w:val="both"/>
              <w:textAlignment w:val="auto"/>
              <w:rPr>
                <w:rFonts w:ascii="Times New Roman" w:hAnsi="Times New Roman" w:eastAsia="Calibri" w:cs="Times New Roman"/>
                <w:sz w:val="20"/>
                <w:szCs w:val="20"/>
                <w:highlight w:val="yellow"/>
                <w:lang w:val="en-US" w:eastAsia="zh-CN" w:bidi="ar-SA"/>
              </w:rPr>
            </w:pPr>
            <w:r>
              <w:rPr>
                <w:rFonts w:ascii="Times New Roman" w:hAnsi="Times New Roman" w:eastAsia="Calibri" w:cs="Times New Roman"/>
                <w:sz w:val="20"/>
                <w:szCs w:val="20"/>
                <w:highlight w:val="yellow"/>
                <w:lang w:val="en-US" w:eastAsia="zh-CN" w:bidi="ar-SA"/>
              </w:rPr>
              <w:t>RAN1 should report on impact to backward compatibility, if any, for potential extension of the SSB periodicity at the latest by RAN#106, in conjunction with the targeted system-level enhancements.</w:t>
            </w:r>
          </w:p>
          <w:p>
            <w:pPr>
              <w:widowControl w:val="0"/>
              <w:numPr>
                <w:ilvl w:val="0"/>
                <w:numId w:val="5"/>
              </w:numPr>
              <w:overflowPunct/>
              <w:autoSpaceDE/>
              <w:autoSpaceDN/>
              <w:adjustRightInd/>
              <w:spacing w:after="0" w:line="276" w:lineRule="auto"/>
              <w:ind w:left="720" w:hanging="360"/>
              <w:contextualSpacing/>
              <w:jc w:val="both"/>
              <w:textAlignment w:val="auto"/>
              <w:rPr>
                <w:rFonts w:ascii="Times New Roman" w:hAnsi="Times New Roman" w:eastAsia="Calibri" w:cs="Times New Roman"/>
                <w:sz w:val="20"/>
                <w:szCs w:val="20"/>
                <w:lang w:val="en-US" w:eastAsia="zh-CN" w:bidi="ar-SA"/>
              </w:rPr>
            </w:pPr>
            <w:bookmarkStart w:id="5" w:name="OLE_LINK1"/>
            <w:r>
              <w:rPr>
                <w:rFonts w:ascii="Times New Roman" w:hAnsi="Times New Roman" w:eastAsia="Calibri" w:cs="Times New Roman"/>
                <w:sz w:val="20"/>
                <w:szCs w:val="20"/>
                <w:lang w:val="en-US" w:eastAsia="zh-CN" w:bidi="ar-SA"/>
              </w:rPr>
              <w:t>Notes for this objective:</w:t>
            </w:r>
          </w:p>
          <w:p>
            <w:pPr>
              <w:widowControl w:val="0"/>
              <w:numPr>
                <w:ilvl w:val="1"/>
                <w:numId w:val="5"/>
              </w:numPr>
              <w:overflowPunct/>
              <w:autoSpaceDE/>
              <w:autoSpaceDN/>
              <w:adjustRightInd/>
              <w:spacing w:after="0" w:line="276" w:lineRule="auto"/>
              <w:ind w:left="1440" w:hanging="360"/>
              <w:contextualSpacing/>
              <w:jc w:val="both"/>
              <w:textAlignment w:val="auto"/>
              <w:rPr>
                <w:rFonts w:ascii="Times New Roman" w:hAnsi="Times New Roman" w:eastAsia="Calibri" w:cs="Times New Roman"/>
                <w:sz w:val="20"/>
                <w:szCs w:val="20"/>
                <w:lang w:val="en-US" w:eastAsia="zh-CN" w:bidi="ar-SA"/>
              </w:rPr>
            </w:pPr>
            <w:r>
              <w:rPr>
                <w:rFonts w:ascii="Times New Roman" w:hAnsi="Times New Roman" w:eastAsia="Calibri" w:cs="Times New Roman"/>
                <w:sz w:val="20"/>
                <w:szCs w:val="20"/>
                <w:highlight w:val="yellow"/>
                <w:lang w:val="en-US" w:eastAsia="zh-CN" w:bidi="ar-SA"/>
              </w:rPr>
              <w:t>SSB channel enhancement other than SSB periodicity extension is not considered</w:t>
            </w:r>
          </w:p>
          <w:p>
            <w:pPr>
              <w:widowControl w:val="0"/>
              <w:numPr>
                <w:ilvl w:val="2"/>
                <w:numId w:val="5"/>
              </w:numPr>
              <w:overflowPunct/>
              <w:autoSpaceDE/>
              <w:autoSpaceDN/>
              <w:adjustRightInd/>
              <w:spacing w:after="0" w:line="276" w:lineRule="auto"/>
              <w:ind w:left="2160" w:hanging="360"/>
              <w:contextualSpacing/>
              <w:jc w:val="both"/>
              <w:textAlignment w:val="auto"/>
              <w:rPr>
                <w:rFonts w:ascii="Times New Roman" w:hAnsi="Times New Roman" w:eastAsia="Calibri" w:cs="Times New Roman"/>
                <w:sz w:val="20"/>
                <w:szCs w:val="20"/>
                <w:lang w:val="en-US" w:eastAsia="zh-CN" w:bidi="ar-SA"/>
              </w:rPr>
            </w:pPr>
            <w:r>
              <w:rPr>
                <w:rFonts w:ascii="Times New Roman" w:hAnsi="Times New Roman" w:eastAsia="Calibri" w:cs="Times New Roman"/>
                <w:sz w:val="20"/>
                <w:szCs w:val="20"/>
                <w:lang w:val="en-US" w:eastAsia="zh-CN" w:bidi="ar-SA"/>
              </w:rPr>
              <w:t>RAN1 should consider issues such as UE’s cell search complexity and impact to initial cell selection, latency and success rate, for the above extension</w:t>
            </w:r>
          </w:p>
          <w:p>
            <w:pPr>
              <w:widowControl w:val="0"/>
              <w:numPr>
                <w:ilvl w:val="1"/>
                <w:numId w:val="5"/>
              </w:numPr>
              <w:overflowPunct/>
              <w:autoSpaceDE/>
              <w:autoSpaceDN/>
              <w:adjustRightInd/>
              <w:spacing w:after="0" w:line="276" w:lineRule="auto"/>
              <w:ind w:left="1440" w:hanging="360"/>
              <w:contextualSpacing/>
              <w:jc w:val="both"/>
              <w:textAlignment w:val="auto"/>
              <w:rPr>
                <w:rFonts w:ascii="Times New Roman" w:hAnsi="Times New Roman" w:eastAsia="Calibri" w:cs="Times New Roman"/>
                <w:sz w:val="20"/>
                <w:szCs w:val="20"/>
                <w:lang w:val="en-US" w:eastAsia="zh-CN" w:bidi="ar-SA"/>
              </w:rPr>
            </w:pPr>
            <w:r>
              <w:rPr>
                <w:rFonts w:ascii="Times New Roman" w:hAnsi="Times New Roman" w:eastAsia="Calibri" w:cs="Times New Roman"/>
                <w:sz w:val="20"/>
                <w:szCs w:val="20"/>
                <w:lang w:val="en-US" w:eastAsia="zh-CN" w:bidi="ar-SA"/>
              </w:rPr>
              <w:t>The SSB periodicity enhancements potentially defined in this WID only apply to NTN operation</w:t>
            </w:r>
          </w:p>
          <w:p>
            <w:pPr>
              <w:widowControl w:val="0"/>
              <w:numPr>
                <w:ilvl w:val="1"/>
                <w:numId w:val="5"/>
              </w:numPr>
              <w:overflowPunct/>
              <w:autoSpaceDE/>
              <w:autoSpaceDN/>
              <w:adjustRightInd/>
              <w:spacing w:after="0" w:line="276" w:lineRule="auto"/>
              <w:ind w:left="1440" w:hanging="360"/>
              <w:contextualSpacing/>
              <w:jc w:val="both"/>
              <w:textAlignment w:val="auto"/>
              <w:rPr>
                <w:rFonts w:ascii="Times New Roman" w:hAnsi="Times New Roman" w:eastAsia="Calibri" w:cs="Times New Roman"/>
                <w:sz w:val="20"/>
                <w:szCs w:val="20"/>
                <w:lang w:val="en-US" w:eastAsia="zh-CN" w:bidi="ar-SA"/>
              </w:rPr>
            </w:pPr>
            <w:r>
              <w:rPr>
                <w:rFonts w:ascii="Times New Roman" w:hAnsi="Times New Roman" w:eastAsia="Calibri" w:cs="Times New Roman"/>
                <w:sz w:val="20"/>
                <w:szCs w:val="20"/>
                <w:lang w:val="en-US" w:eastAsia="zh-CN" w:bidi="ar-SA"/>
              </w:rPr>
              <w:t>Antenna gain of UE shall be assumed to be -5.5dBi in case of smartphone in FR1-NTN, the UE is assumed to be a full duplex UE, and at least 2Rx are considered at the UE</w:t>
            </w:r>
          </w:p>
          <w:p>
            <w:pPr>
              <w:widowControl w:val="0"/>
              <w:numPr>
                <w:ilvl w:val="1"/>
                <w:numId w:val="5"/>
              </w:numPr>
              <w:overflowPunct/>
              <w:autoSpaceDE/>
              <w:autoSpaceDN/>
              <w:adjustRightInd/>
              <w:spacing w:after="0" w:line="276" w:lineRule="auto"/>
              <w:ind w:left="1440" w:hanging="360"/>
              <w:contextualSpacing/>
              <w:jc w:val="both"/>
              <w:textAlignment w:val="auto"/>
              <w:rPr>
                <w:rFonts w:ascii="Times New Roman" w:hAnsi="Times New Roman" w:eastAsia="Calibri" w:cs="Times New Roman"/>
                <w:sz w:val="20"/>
                <w:szCs w:val="20"/>
                <w:lang w:val="en-US" w:eastAsia="zh-CN" w:bidi="ar-SA"/>
              </w:rPr>
            </w:pPr>
            <w:r>
              <w:rPr>
                <w:rFonts w:ascii="Times New Roman" w:hAnsi="Times New Roman" w:eastAsia="Calibri" w:cs="Times New Roman"/>
                <w:sz w:val="20"/>
                <w:szCs w:val="20"/>
                <w:lang w:val="en-US" w:eastAsia="zh-CN" w:bidi="ar-SA"/>
              </w:rPr>
              <w:t>NGSO to be considered in priority: LEO Set-1 @ 600 km</w:t>
            </w:r>
          </w:p>
          <w:p>
            <w:pPr>
              <w:widowControl w:val="0"/>
              <w:numPr>
                <w:ilvl w:val="1"/>
                <w:numId w:val="5"/>
              </w:numPr>
              <w:overflowPunct/>
              <w:autoSpaceDE/>
              <w:autoSpaceDN/>
              <w:adjustRightInd/>
              <w:spacing w:after="0" w:line="276" w:lineRule="auto"/>
              <w:ind w:left="1440" w:hanging="360"/>
              <w:contextualSpacing/>
              <w:jc w:val="both"/>
              <w:textAlignment w:val="auto"/>
              <w:rPr>
                <w:rFonts w:hint="default" w:ascii="Times New Roman" w:hAnsi="Times New Roman" w:eastAsia="MS Mincho" w:cs="Times New Roman"/>
                <w:b/>
                <w:bCs/>
                <w:kern w:val="0"/>
                <w:sz w:val="20"/>
                <w:szCs w:val="20"/>
                <w:u w:val="single"/>
                <w:vertAlign w:val="baseline"/>
                <w:lang w:val="en-GB" w:eastAsia="ja-JP"/>
              </w:rPr>
            </w:pPr>
            <w:r>
              <w:rPr>
                <w:rFonts w:ascii="Times New Roman" w:hAnsi="Times New Roman" w:eastAsia="Calibri" w:cs="Times New Roman"/>
                <w:sz w:val="20"/>
                <w:szCs w:val="20"/>
                <w:lang w:val="en-US" w:eastAsia="zh-CN" w:bidi="ar-SA"/>
              </w:rPr>
              <w:t>Rel-18 network energy saving techniques should be considered as baseline in the system level study</w:t>
            </w:r>
            <w:bookmarkEnd w:id="5"/>
          </w:p>
        </w:tc>
      </w:tr>
    </w:tbl>
    <w:p>
      <w:pPr>
        <w:spacing w:before="120" w:beforeLines="50" w:after="120" w:afterLines="50"/>
        <w:rPr>
          <w:rFonts w:ascii="Times New Roman" w:hAnsi="Times New Roman" w:eastAsia="等线" w:cs="Times New Roman"/>
          <w:sz w:val="20"/>
          <w:szCs w:val="20"/>
        </w:rPr>
      </w:pPr>
      <w:r>
        <w:rPr>
          <w:rFonts w:hint="eastAsia" w:ascii="Times New Roman" w:hAnsi="Times New Roman" w:eastAsia="等线" w:cs="Times New Roman"/>
          <w:sz w:val="20"/>
          <w:szCs w:val="20"/>
          <w:lang w:val="en-US" w:eastAsia="zh-CN"/>
        </w:rPr>
        <w:t>In Rel-19, satellite may be unable to have all its beams active with the nominal EIRP density per beam at a given time, in order to balance the DL coverage and satellite payload. T</w:t>
      </w:r>
      <w:r>
        <w:rPr>
          <w:rFonts w:ascii="Times New Roman" w:hAnsi="Times New Roman" w:eastAsia="等线" w:cs="Times New Roman"/>
          <w:sz w:val="20"/>
          <w:szCs w:val="20"/>
        </w:rPr>
        <w:t xml:space="preserve">o ensure that all UEs can be served across the satellite foot print while maximizing the overall satellite throughput, the nominal EIRP density may separate by several beams as multiple beams are activated simultaneously. </w:t>
      </w:r>
    </w:p>
    <w:p>
      <w:pPr>
        <w:spacing w:before="120" w:beforeLines="50" w:after="120" w:afterLines="5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Based on current progress, RAN1 is conduction evaluation considering three different beam states: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rPr>
                <w:rFonts w:ascii="Times" w:hAnsi="Times" w:eastAsia="Batang" w:cs="Times New Roman"/>
                <w:kern w:val="0"/>
                <w:sz w:val="20"/>
                <w:szCs w:val="24"/>
                <w:lang w:val="en-GB" w:eastAsia="en-US"/>
              </w:rPr>
            </w:pPr>
            <w:r>
              <w:rPr>
                <w:rFonts w:ascii="Times" w:hAnsi="Times" w:eastAsia="Batang" w:cs="Times New Roman"/>
                <w:kern w:val="0"/>
                <w:sz w:val="20"/>
                <w:szCs w:val="24"/>
                <w:highlight w:val="green"/>
                <w:lang w:val="en-GB" w:eastAsia="en-US"/>
              </w:rPr>
              <w:t>Agreement</w:t>
            </w:r>
          </w:p>
          <w:p>
            <w:pPr>
              <w:rPr>
                <w:rFonts w:ascii="Times" w:hAnsi="Times" w:eastAsia="Batang" w:cs="Times New Roman"/>
                <w:kern w:val="0"/>
                <w:sz w:val="20"/>
                <w:szCs w:val="24"/>
                <w:lang w:val="en-GB" w:eastAsia="en-US"/>
              </w:rPr>
            </w:pPr>
            <w:r>
              <w:rPr>
                <w:rFonts w:ascii="Times" w:hAnsi="Times" w:eastAsia="Batang" w:cs="Times New Roman"/>
                <w:kern w:val="0"/>
                <w:sz w:val="20"/>
                <w:szCs w:val="24"/>
                <w:lang w:val="en-GB" w:eastAsia="en-US"/>
              </w:rPr>
              <w:t>For system level study based on analytical evaluation:</w:t>
            </w:r>
          </w:p>
          <w:p>
            <w:pPr>
              <w:numPr>
                <w:ilvl w:val="0"/>
                <w:numId w:val="6"/>
              </w:numPr>
              <w:ind w:left="720" w:hanging="360"/>
              <w:rPr>
                <w:rFonts w:ascii="Times New Roman" w:hAnsi="Times New Roman" w:eastAsia="宋体" w:cs="Times New Roman"/>
                <w:szCs w:val="24"/>
                <w:lang w:val="en-US" w:eastAsia="en-US" w:bidi="ar-SA"/>
              </w:rPr>
            </w:pPr>
            <w:r>
              <w:rPr>
                <w:rFonts w:ascii="Times New Roman" w:hAnsi="Times New Roman" w:eastAsia="宋体" w:cs="Times New Roman"/>
                <w:szCs w:val="24"/>
                <w:lang w:val="en-US" w:eastAsia="en-US" w:bidi="ar-SA"/>
              </w:rPr>
              <w:t>N1 beam footprints are in state “off”</w:t>
            </w:r>
          </w:p>
          <w:p>
            <w:pPr>
              <w:numPr>
                <w:ilvl w:val="1"/>
                <w:numId w:val="6"/>
              </w:numPr>
              <w:ind w:left="1440" w:hanging="360"/>
              <w:rPr>
                <w:rFonts w:ascii="Times New Roman" w:hAnsi="Times New Roman" w:eastAsia="宋体" w:cs="Times New Roman"/>
                <w:szCs w:val="24"/>
                <w:lang w:val="en-US" w:eastAsia="en-US" w:bidi="ar-SA"/>
              </w:rPr>
            </w:pPr>
            <w:r>
              <w:rPr>
                <w:rFonts w:ascii="Times New Roman" w:hAnsi="Times New Roman" w:eastAsia="宋体" w:cs="Times New Roman"/>
                <w:szCs w:val="24"/>
                <w:lang w:val="en-US" w:eastAsia="en-US" w:bidi="ar-SA"/>
              </w:rPr>
              <w:t>These beam footprints are not served by any signal (no satellite service in this area)</w:t>
            </w:r>
          </w:p>
          <w:p>
            <w:pPr>
              <w:numPr>
                <w:ilvl w:val="0"/>
                <w:numId w:val="6"/>
              </w:numPr>
              <w:ind w:left="720" w:hanging="360"/>
              <w:rPr>
                <w:rFonts w:ascii="Times New Roman" w:hAnsi="Times New Roman" w:eastAsia="宋体" w:cs="Times New Roman"/>
                <w:szCs w:val="24"/>
                <w:lang w:val="en-US" w:eastAsia="en-US" w:bidi="ar-SA"/>
              </w:rPr>
            </w:pPr>
            <w:r>
              <w:rPr>
                <w:rFonts w:ascii="Times New Roman" w:hAnsi="Times New Roman" w:eastAsia="宋体" w:cs="Times New Roman"/>
                <w:szCs w:val="24"/>
                <w:lang w:val="en-US" w:eastAsia="en-US" w:bidi="ar-SA"/>
              </w:rPr>
              <w:t>N2 beam footprints are in state “common messages only”</w:t>
            </w:r>
          </w:p>
          <w:p>
            <w:pPr>
              <w:numPr>
                <w:ilvl w:val="1"/>
                <w:numId w:val="6"/>
              </w:numPr>
              <w:ind w:left="1440" w:hanging="360"/>
              <w:rPr>
                <w:rFonts w:ascii="Times New Roman" w:hAnsi="Times New Roman" w:eastAsia="宋体" w:cs="Times New Roman"/>
                <w:szCs w:val="24"/>
                <w:lang w:val="en-US" w:eastAsia="en-US" w:bidi="ar-SA"/>
              </w:rPr>
            </w:pPr>
            <w:r>
              <w:rPr>
                <w:rFonts w:ascii="Times New Roman" w:hAnsi="Times New Roman" w:eastAsia="宋体" w:cs="Times New Roman"/>
                <w:szCs w:val="24"/>
                <w:lang w:val="en-US" w:eastAsia="en-US" w:bidi="ar-SA"/>
              </w:rPr>
              <w:t>These beam footprints do not have any active user traffic, and are served the necessary information for cell discovery and initial access.</w:t>
            </w:r>
          </w:p>
          <w:p>
            <w:pPr>
              <w:numPr>
                <w:ilvl w:val="1"/>
                <w:numId w:val="6"/>
              </w:numPr>
              <w:ind w:left="1440" w:hanging="360"/>
              <w:rPr>
                <w:rFonts w:ascii="Times New Roman" w:hAnsi="Times New Roman" w:eastAsia="宋体" w:cs="Times New Roman"/>
                <w:szCs w:val="24"/>
                <w:lang w:val="en-US" w:eastAsia="en-US" w:bidi="ar-SA"/>
              </w:rPr>
            </w:pPr>
            <w:r>
              <w:rPr>
                <w:rFonts w:hint="eastAsia" w:ascii="Times New Roman" w:hAnsi="Times New Roman" w:eastAsia="宋体" w:cs="Times New Roman"/>
                <w:szCs w:val="24"/>
                <w:lang w:val="en-US" w:eastAsia="en-US" w:bidi="ar-SA"/>
              </w:rPr>
              <w:t>O</w:t>
            </w:r>
            <w:r>
              <w:rPr>
                <w:rFonts w:ascii="Times New Roman" w:hAnsi="Times New Roman" w:eastAsia="宋体" w:cs="Times New Roman"/>
                <w:szCs w:val="24"/>
                <w:lang w:val="en-US" w:eastAsia="en-US" w:bidi="ar-SA"/>
              </w:rPr>
              <w:t>ptionally, companies may consider user arrival (e.g. RACH access) in this type of cell, and should describe how this is taken into account in the analytical evaluation</w:t>
            </w:r>
          </w:p>
          <w:p>
            <w:pPr>
              <w:numPr>
                <w:ilvl w:val="0"/>
                <w:numId w:val="6"/>
              </w:numPr>
              <w:ind w:left="720" w:hanging="360"/>
              <w:rPr>
                <w:rFonts w:ascii="Times New Roman" w:hAnsi="Times New Roman" w:eastAsia="宋体" w:cs="Times New Roman"/>
                <w:szCs w:val="24"/>
                <w:lang w:val="en-US" w:eastAsia="en-US" w:bidi="ar-SA"/>
              </w:rPr>
            </w:pPr>
            <w:r>
              <w:rPr>
                <w:rFonts w:ascii="Times New Roman" w:hAnsi="Times New Roman" w:eastAsia="宋体" w:cs="Times New Roman"/>
                <w:szCs w:val="24"/>
                <w:lang w:val="en-US" w:eastAsia="en-US" w:bidi="ar-SA"/>
              </w:rPr>
              <w:t xml:space="preserve">N3 beam footprints are in state “active traffic” </w:t>
            </w:r>
          </w:p>
          <w:p>
            <w:pPr>
              <w:numPr>
                <w:ilvl w:val="1"/>
                <w:numId w:val="6"/>
              </w:numPr>
              <w:ind w:left="1440" w:hanging="360"/>
              <w:rPr>
                <w:rFonts w:ascii="Times New Roman" w:hAnsi="Times New Roman" w:eastAsia="宋体" w:cs="Times New Roman"/>
                <w:szCs w:val="24"/>
                <w:lang w:val="en-US" w:eastAsia="en-US" w:bidi="ar-SA"/>
              </w:rPr>
            </w:pPr>
            <w:r>
              <w:rPr>
                <w:rFonts w:ascii="Times New Roman" w:hAnsi="Times New Roman" w:eastAsia="宋体" w:cs="Times New Roman"/>
                <w:szCs w:val="24"/>
                <w:lang w:val="en-US" w:eastAsia="en-US" w:bidi="ar-SA"/>
              </w:rPr>
              <w:t>These beam footprints have X active (e.g. VoNR) users each.</w:t>
            </w:r>
          </w:p>
          <w:p>
            <w:pPr>
              <w:numPr>
                <w:ilvl w:val="1"/>
                <w:numId w:val="6"/>
              </w:numPr>
              <w:ind w:left="1440" w:hanging="360"/>
              <w:rPr>
                <w:rFonts w:ascii="Times New Roman" w:hAnsi="Times New Roman" w:eastAsia="宋体" w:cs="Times New Roman"/>
                <w:szCs w:val="24"/>
                <w:lang w:val="en-US" w:eastAsia="en-US" w:bidi="ar-SA"/>
              </w:rPr>
            </w:pPr>
            <w:r>
              <w:rPr>
                <w:rFonts w:ascii="Times New Roman" w:hAnsi="Times New Roman" w:eastAsia="宋体" w:cs="Times New Roman"/>
                <w:szCs w:val="24"/>
                <w:lang w:val="en-US" w:eastAsia="en-US" w:bidi="ar-SA"/>
              </w:rPr>
              <w:t>These beam footprints are also served the necessary information for cell discovery and initial access</w:t>
            </w:r>
          </w:p>
          <w:p>
            <w:pPr>
              <w:numPr>
                <w:ilvl w:val="0"/>
                <w:numId w:val="6"/>
              </w:numPr>
              <w:ind w:left="720" w:hanging="360"/>
              <w:rPr>
                <w:rFonts w:ascii="Times New Roman" w:hAnsi="Times New Roman" w:eastAsia="宋体" w:cs="Times New Roman"/>
                <w:szCs w:val="24"/>
                <w:lang w:val="en-US" w:eastAsia="en-US" w:bidi="ar-SA"/>
              </w:rPr>
            </w:pPr>
            <w:r>
              <w:rPr>
                <w:rFonts w:ascii="Times New Roman" w:hAnsi="Times New Roman" w:eastAsia="宋体" w:cs="Times New Roman"/>
                <w:szCs w:val="24"/>
                <w:lang w:val="en-US" w:eastAsia="en-US" w:bidi="ar-SA"/>
              </w:rPr>
              <w:t xml:space="preserve">N1 + N2 + N3 = “Total number of beam footprints “ </w:t>
            </w:r>
          </w:p>
          <w:p>
            <w:pPr>
              <w:numPr>
                <w:ilvl w:val="0"/>
                <w:numId w:val="6"/>
              </w:numPr>
              <w:ind w:left="720" w:hanging="360"/>
              <w:rPr>
                <w:rFonts w:ascii="Times New Roman" w:hAnsi="Times New Roman" w:eastAsia="宋体" w:cs="Times New Roman"/>
                <w:szCs w:val="24"/>
                <w:lang w:val="en-US" w:eastAsia="en-US" w:bidi="ar-SA"/>
              </w:rPr>
            </w:pPr>
            <w:r>
              <w:rPr>
                <w:rFonts w:ascii="Times New Roman" w:hAnsi="Times New Roman" w:eastAsia="宋体" w:cs="Times New Roman"/>
                <w:szCs w:val="24"/>
                <w:lang w:val="en-US" w:eastAsia="en-US" w:bidi="ar-SA"/>
              </w:rPr>
              <w:t>N1, N2, N3, X are to be reported by companies.</w:t>
            </w:r>
          </w:p>
          <w:p>
            <w:pPr>
              <w:numPr>
                <w:ilvl w:val="0"/>
                <w:numId w:val="6"/>
              </w:numPr>
              <w:ind w:left="720" w:hanging="360"/>
              <w:rPr>
                <w:rFonts w:ascii="Times New Roman" w:hAnsi="Times New Roman" w:eastAsia="宋体" w:cs="Times New Roman"/>
                <w:szCs w:val="24"/>
                <w:lang w:val="en-US" w:eastAsia="en-US" w:bidi="ar-SA"/>
              </w:rPr>
            </w:pPr>
            <w:r>
              <w:rPr>
                <w:rFonts w:ascii="Times New Roman" w:hAnsi="Times New Roman" w:eastAsia="宋体" w:cs="Times New Roman"/>
                <w:szCs w:val="24"/>
                <w:lang w:val="en-US" w:eastAsia="en-US" w:bidi="ar-SA"/>
              </w:rPr>
              <w:t>Resource utilization obtained under the assumptions above is to be reported by companies.</w:t>
            </w:r>
          </w:p>
          <w:p>
            <w:pPr>
              <w:numPr>
                <w:ilvl w:val="0"/>
                <w:numId w:val="6"/>
              </w:numPr>
              <w:ind w:left="720" w:hanging="360"/>
              <w:rPr>
                <w:rFonts w:hint="eastAsia" w:ascii="Times New Roman" w:hAnsi="Times New Roman" w:eastAsia="等线" w:cs="Times New Roman"/>
                <w:sz w:val="20"/>
                <w:szCs w:val="20"/>
                <w:vertAlign w:val="baseline"/>
                <w:lang w:val="en-US" w:eastAsia="zh-CN"/>
              </w:rPr>
            </w:pPr>
            <w:r>
              <w:rPr>
                <w:rFonts w:ascii="Times New Roman" w:hAnsi="Times New Roman" w:eastAsia="宋体" w:cs="Times New Roman"/>
                <w:szCs w:val="24"/>
                <w:lang w:val="en-US" w:eastAsia="en-US" w:bidi="ar-SA"/>
              </w:rPr>
              <w:t>Other assumptions made in the evaluation are to be reported by companies, e.g. power sharing scheme, beam hopping scheme, etc.</w:t>
            </w:r>
          </w:p>
        </w:tc>
      </w:tr>
    </w:tbl>
    <w:p>
      <w:pPr>
        <w:spacing w:before="120" w:beforeLines="50" w:after="120" w:afterLines="5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The scheme of </w:t>
      </w:r>
      <w:bookmarkStart w:id="6" w:name="OLE_LINK3"/>
      <w:r>
        <w:rPr>
          <w:rFonts w:hint="eastAsia" w:ascii="Times New Roman" w:hAnsi="Times New Roman" w:eastAsia="等线" w:cs="Times New Roman"/>
          <w:sz w:val="20"/>
          <w:szCs w:val="20"/>
          <w:lang w:val="en-US" w:eastAsia="zh-CN"/>
        </w:rPr>
        <w:t>beams activation/deactivation</w:t>
      </w:r>
      <w:bookmarkEnd w:id="6"/>
      <w:r>
        <w:rPr>
          <w:rFonts w:hint="eastAsia" w:ascii="Times New Roman" w:hAnsi="Times New Roman" w:eastAsia="等线" w:cs="Times New Roman"/>
          <w:sz w:val="20"/>
          <w:szCs w:val="20"/>
          <w:lang w:val="en-US" w:eastAsia="zh-CN"/>
        </w:rPr>
        <w:t xml:space="preserve"> is still under discussion in RAN1 and RAN2. For example, one of the methods currently considering is the cell DTX/DRX like mechanism. </w:t>
      </w:r>
    </w:p>
    <w:p>
      <w:pPr>
        <w:spacing w:before="120" w:beforeLines="50" w:after="120" w:afterLines="50"/>
        <w:rPr>
          <w:rFonts w:hint="eastAsia" w:ascii="Times New Roman" w:hAnsi="Times New Roman" w:eastAsia="等线" w:cs="Times New Roman"/>
          <w:sz w:val="20"/>
          <w:szCs w:val="20"/>
          <w:lang w:val="en-US" w:eastAsia="zh-CN"/>
        </w:rPr>
      </w:pPr>
      <w:r>
        <w:rPr>
          <w:rFonts w:hint="eastAsia" w:ascii="Times New Roman" w:hAnsi="Times New Roman" w:eastAsia="宋体" w:cs="Times New Roman"/>
          <w:b/>
          <w:kern w:val="0"/>
          <w:sz w:val="20"/>
          <w:szCs w:val="20"/>
          <w:lang w:val="en-US" w:eastAsia="zh-CN"/>
        </w:rPr>
        <w:t xml:space="preserve">Observation </w:t>
      </w:r>
      <w:r>
        <w:rPr>
          <w:rFonts w:hint="eastAsia" w:ascii="Times New Roman" w:hAnsi="Times New Roman" w:eastAsia="宋体" w:cs="Times New Roman"/>
          <w:b/>
          <w:kern w:val="0"/>
          <w:sz w:val="20"/>
          <w:szCs w:val="20"/>
          <w:lang w:val="en-US" w:eastAsia="zh-CN"/>
        </w:rPr>
        <w:fldChar w:fldCharType="begin"/>
      </w:r>
      <w:r>
        <w:rPr>
          <w:rFonts w:hint="eastAsia" w:ascii="Times New Roman" w:hAnsi="Times New Roman" w:eastAsia="宋体" w:cs="Times New Roman"/>
          <w:b/>
          <w:kern w:val="0"/>
          <w:sz w:val="20"/>
          <w:szCs w:val="20"/>
          <w:lang w:val="en-US" w:eastAsia="zh-CN"/>
        </w:rPr>
        <w:instrText xml:space="preserve"> SEQ Observation \* MERGEFORMAT </w:instrText>
      </w:r>
      <w:r>
        <w:rPr>
          <w:rFonts w:hint="eastAsia" w:ascii="Times New Roman" w:hAnsi="Times New Roman" w:eastAsia="宋体" w:cs="Times New Roman"/>
          <w:b/>
          <w:kern w:val="0"/>
          <w:sz w:val="20"/>
          <w:szCs w:val="20"/>
          <w:lang w:val="en-US" w:eastAsia="zh-CN"/>
        </w:rPr>
        <w:fldChar w:fldCharType="separate"/>
      </w:r>
      <w:r>
        <w:rPr>
          <w:rFonts w:hint="eastAsia" w:ascii="Times New Roman" w:hAnsi="Times New Roman" w:eastAsia="宋体" w:cs="Times New Roman"/>
          <w:b/>
          <w:kern w:val="0"/>
          <w:sz w:val="20"/>
          <w:szCs w:val="20"/>
          <w:lang w:val="en-US" w:eastAsia="zh-CN"/>
        </w:rPr>
        <w:t>1</w:t>
      </w:r>
      <w:r>
        <w:rPr>
          <w:rFonts w:hint="eastAsia" w:ascii="Times New Roman" w:hAnsi="Times New Roman" w:eastAsia="宋体" w:cs="Times New Roman"/>
          <w:b/>
          <w:kern w:val="0"/>
          <w:sz w:val="20"/>
          <w:szCs w:val="20"/>
          <w:lang w:val="en-US" w:eastAsia="zh-CN"/>
        </w:rPr>
        <w:fldChar w:fldCharType="end"/>
      </w:r>
      <w:r>
        <w:rPr>
          <w:rFonts w:hint="eastAsia" w:ascii="Times New Roman" w:hAnsi="Times New Roman" w:eastAsia="宋体" w:cs="Times New Roman"/>
          <w:b/>
          <w:kern w:val="0"/>
          <w:sz w:val="20"/>
          <w:szCs w:val="20"/>
          <w:lang w:val="en-US" w:eastAsia="zh-CN"/>
        </w:rPr>
        <w:t xml:space="preserve">: Satellite beam activation/deactivation scheme is under discussion in RAN1/2. </w:t>
      </w:r>
    </w:p>
    <w:p>
      <w:pPr>
        <w:spacing w:before="120" w:beforeLines="50" w:after="120" w:afterLines="5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We understand that the beams activation/deactivation would have RRM impact. Currently, measurement requirements in both IDLE/INACTIVE mode and CONNECTED mode are basically based on SSB or DRX configuration. If </w:t>
      </w:r>
      <w:bookmarkStart w:id="7" w:name="OLE_LINK2"/>
      <w:r>
        <w:rPr>
          <w:rFonts w:hint="eastAsia" w:ascii="Times New Roman" w:hAnsi="Times New Roman" w:eastAsia="等线" w:cs="Times New Roman"/>
          <w:sz w:val="20"/>
          <w:szCs w:val="20"/>
          <w:lang w:val="en-US" w:eastAsia="zh-CN"/>
        </w:rPr>
        <w:t>cell DTX/DRX</w:t>
      </w:r>
      <w:bookmarkEnd w:id="7"/>
      <w:r>
        <w:rPr>
          <w:rFonts w:hint="eastAsia" w:ascii="Times New Roman" w:hAnsi="Times New Roman" w:eastAsia="等线" w:cs="Times New Roman"/>
          <w:sz w:val="20"/>
          <w:szCs w:val="20"/>
          <w:lang w:val="en-US" w:eastAsia="zh-CN"/>
        </w:rPr>
        <w:t xml:space="preserve"> like mechanism is used to indicate beam status, the cell DTX/DRX configuration shall also be considered in the measurement delay requirements. Also, we think that the satellite beam transition between different states may have impact on mobility requirements and the corresponding UE behavior should be further studied. However, since the conclusions from RAN1 is not sufficient yet, we think those RRM impact can be FFS.</w:t>
      </w:r>
    </w:p>
    <w:p>
      <w:pPr>
        <w:spacing w:before="120" w:beforeLines="50" w:after="120" w:afterLines="5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1</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study the RRM impact of satellite beams activation/deactivation scheme after RAN1/2 reaching more concrete conclusions.</w:t>
      </w:r>
    </w:p>
    <w:p>
      <w:pPr>
        <w:spacing w:before="120" w:beforeLines="50" w:after="120" w:afterLines="5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Based on the latest revised WID, SSB channel enhancement focusing on </w:t>
      </w:r>
      <w:bookmarkStart w:id="8" w:name="OLE_LINK5"/>
      <w:r>
        <w:rPr>
          <w:rFonts w:hint="eastAsia" w:ascii="Times New Roman" w:hAnsi="Times New Roman" w:eastAsia="等线" w:cs="Times New Roman"/>
          <w:sz w:val="20"/>
          <w:szCs w:val="20"/>
          <w:lang w:val="en-US" w:eastAsia="zh-CN"/>
        </w:rPr>
        <w:t>SSB periodicity extension</w:t>
      </w:r>
      <w:bookmarkEnd w:id="8"/>
      <w:r>
        <w:rPr>
          <w:rFonts w:hint="eastAsia" w:ascii="Times New Roman" w:hAnsi="Times New Roman" w:eastAsia="等线" w:cs="Times New Roman"/>
          <w:sz w:val="20"/>
          <w:szCs w:val="20"/>
          <w:lang w:val="en-US" w:eastAsia="zh-CN"/>
        </w:rPr>
        <w:t xml:space="preserve"> will be considered in RAN1, while the final decision will be given by RAN1 at the latest by RAN#106. The concrete method for SSB periodicity extension depends on the subsequent RAN1 discussion. </w:t>
      </w:r>
    </w:p>
    <w:p>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US" w:eastAsia="zh-CN"/>
        </w:rPr>
        <w:t xml:space="preserve">Observation </w:t>
      </w:r>
      <w:r>
        <w:rPr>
          <w:rFonts w:hint="eastAsia" w:ascii="Times New Roman" w:hAnsi="Times New Roman" w:eastAsia="宋体" w:cs="Times New Roman"/>
          <w:b/>
          <w:kern w:val="0"/>
          <w:sz w:val="20"/>
          <w:szCs w:val="20"/>
          <w:lang w:val="en-US" w:eastAsia="zh-CN"/>
        </w:rPr>
        <w:fldChar w:fldCharType="begin"/>
      </w:r>
      <w:r>
        <w:rPr>
          <w:rFonts w:hint="eastAsia" w:ascii="Times New Roman" w:hAnsi="Times New Roman" w:eastAsia="宋体" w:cs="Times New Roman"/>
          <w:b/>
          <w:kern w:val="0"/>
          <w:sz w:val="20"/>
          <w:szCs w:val="20"/>
          <w:lang w:val="en-US" w:eastAsia="zh-CN"/>
        </w:rPr>
        <w:instrText xml:space="preserve"> SEQ Observation \* MERGEFORMAT </w:instrText>
      </w:r>
      <w:r>
        <w:rPr>
          <w:rFonts w:hint="eastAsia" w:ascii="Times New Roman" w:hAnsi="Times New Roman" w:eastAsia="宋体" w:cs="Times New Roman"/>
          <w:b/>
          <w:kern w:val="0"/>
          <w:sz w:val="20"/>
          <w:szCs w:val="20"/>
          <w:lang w:val="en-US" w:eastAsia="zh-CN"/>
        </w:rPr>
        <w:fldChar w:fldCharType="separate"/>
      </w:r>
      <w:r>
        <w:rPr>
          <w:rFonts w:hint="eastAsia" w:ascii="Times New Roman" w:hAnsi="Times New Roman" w:eastAsia="宋体" w:cs="Times New Roman"/>
          <w:b/>
          <w:kern w:val="0"/>
          <w:sz w:val="20"/>
          <w:szCs w:val="20"/>
          <w:lang w:val="en-US" w:eastAsia="zh-CN"/>
        </w:rPr>
        <w:t>2</w:t>
      </w:r>
      <w:r>
        <w:rPr>
          <w:rFonts w:hint="eastAsia" w:ascii="Times New Roman" w:hAnsi="Times New Roman" w:eastAsia="宋体" w:cs="Times New Roman"/>
          <w:b/>
          <w:kern w:val="0"/>
          <w:sz w:val="20"/>
          <w:szCs w:val="20"/>
          <w:lang w:val="en-US" w:eastAsia="zh-CN"/>
        </w:rPr>
        <w:fldChar w:fldCharType="end"/>
      </w:r>
      <w:r>
        <w:rPr>
          <w:rFonts w:hint="eastAsia" w:ascii="Times New Roman" w:hAnsi="Times New Roman" w:eastAsia="宋体" w:cs="Times New Roman"/>
          <w:b/>
          <w:kern w:val="0"/>
          <w:sz w:val="20"/>
          <w:szCs w:val="20"/>
          <w:lang w:val="en-US" w:eastAsia="zh-CN"/>
        </w:rPr>
        <w:t xml:space="preserve">: The SSB periodicity enhancement will be considered in RAN1. </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The reception of SSB is the basics of measurement. UE conducting SSB measurement to get timing/frequency/AGC information of the serving cell as well as the target cell. The </w:t>
      </w:r>
      <w:r>
        <w:rPr>
          <w:rFonts w:hint="eastAsia" w:ascii="Times New Roman" w:hAnsi="Times New Roman" w:eastAsia="等线" w:cs="Times New Roman"/>
          <w:sz w:val="20"/>
          <w:szCs w:val="20"/>
          <w:lang w:val="en-US" w:eastAsia="zh-CN"/>
        </w:rPr>
        <w:t>SSB periodicity extension clearly has RRM impact. However, the RAN4 study is pending on RAN1 finial decision.</w:t>
      </w:r>
    </w:p>
    <w:p>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2</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study the RRM impact of SSB periodicity enhancement once further progress is made in RAN1.</w:t>
      </w:r>
    </w:p>
    <w:p>
      <w:pPr>
        <w:pStyle w:val="3"/>
        <w:keepNext/>
        <w:keepLines/>
        <w:pageBreakBefore w:val="0"/>
        <w:widowControl/>
        <w:kinsoku/>
        <w:wordWrap/>
        <w:overflowPunct/>
        <w:topLinePunct w:val="0"/>
        <w:autoSpaceDE/>
        <w:autoSpaceDN/>
        <w:bidi w:val="0"/>
        <w:adjustRightInd/>
        <w:snapToGrid/>
        <w:spacing w:before="157" w:beforeLines="50" w:after="157" w:afterLines="50" w:line="240" w:lineRule="auto"/>
        <w:textAlignment w:val="auto"/>
        <w:rPr>
          <w:rFonts w:hint="default" w:ascii="Times New Roman" w:hAnsi="Times New Roman" w:cs="Times New Roman"/>
          <w:sz w:val="20"/>
          <w:szCs w:val="20"/>
          <w:u w:val="single"/>
          <w:lang w:val="en-GB" w:eastAsia="ja-JP"/>
        </w:rPr>
      </w:pPr>
      <w:r>
        <w:rPr>
          <w:rFonts w:hint="default" w:ascii="Times New Roman" w:hAnsi="Times New Roman" w:cs="Times New Roman"/>
          <w:sz w:val="20"/>
          <w:szCs w:val="20"/>
          <w:u w:val="single"/>
          <w:lang w:val="en-GB" w:eastAsia="ja-JP"/>
        </w:rPr>
        <w:t xml:space="preserve">Support of RedCap and eRedCap UEs with </w:t>
      </w:r>
      <w:bookmarkStart w:id="9" w:name="OLE_LINK7"/>
      <w:r>
        <w:rPr>
          <w:rFonts w:hint="default" w:ascii="Times New Roman" w:hAnsi="Times New Roman" w:cs="Times New Roman"/>
          <w:sz w:val="20"/>
          <w:szCs w:val="20"/>
          <w:u w:val="single"/>
          <w:lang w:val="en-GB" w:eastAsia="ja-JP"/>
        </w:rPr>
        <w:t>NR NTN</w:t>
      </w:r>
      <w:bookmarkEnd w:id="9"/>
      <w:r>
        <w:rPr>
          <w:rFonts w:hint="default" w:ascii="Times New Roman" w:hAnsi="Times New Roman" w:cs="Times New Roman"/>
          <w:sz w:val="20"/>
          <w:szCs w:val="20"/>
          <w:u w:val="single"/>
          <w:lang w:val="en-GB" w:eastAsia="ja-JP"/>
        </w:rPr>
        <w:t xml:space="preserve"> operating in FR1-NTN bands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4"/>
              </w:numPr>
              <w:overflowPunct w:val="0"/>
              <w:autoSpaceDE w:val="0"/>
              <w:autoSpaceDN w:val="0"/>
              <w:adjustRightInd w:val="0"/>
              <w:spacing w:after="0" w:line="276" w:lineRule="auto"/>
              <w:ind w:left="420" w:hanging="420"/>
              <w:textAlignment w:val="baseline"/>
              <w:rPr>
                <w:rFonts w:ascii="Times New Roman" w:hAnsi="Times New Roman" w:eastAsia="Malgun Gothic" w:cs="Times New Roman"/>
                <w:kern w:val="0"/>
                <w:sz w:val="20"/>
                <w:szCs w:val="20"/>
                <w:lang w:val="en-US" w:eastAsia="ko-KR"/>
              </w:rPr>
            </w:pPr>
            <w:r>
              <w:rPr>
                <w:rFonts w:ascii="Times New Roman" w:hAnsi="Times New Roman" w:eastAsia="Malgun Gothic" w:cs="Times New Roman"/>
                <w:kern w:val="0"/>
                <w:sz w:val="20"/>
                <w:szCs w:val="20"/>
                <w:lang w:val="en-US" w:eastAsia="ko-KR"/>
              </w:rPr>
              <w:t>Support of Rel-17 RedCap and Rel-18 eRedCap UEs with NR NTN operating in FR1-NTN bands [RAN4, RAN1]</w:t>
            </w:r>
          </w:p>
          <w:p>
            <w:pPr>
              <w:widowControl w:val="0"/>
              <w:numPr>
                <w:ilvl w:val="0"/>
                <w:numId w:val="5"/>
              </w:numPr>
              <w:overflowPunct/>
              <w:autoSpaceDE/>
              <w:autoSpaceDN/>
              <w:adjustRightInd/>
              <w:spacing w:after="0" w:line="276" w:lineRule="auto"/>
              <w:ind w:left="720" w:hanging="360"/>
              <w:contextualSpacing/>
              <w:jc w:val="both"/>
              <w:textAlignment w:val="auto"/>
              <w:rPr>
                <w:rFonts w:ascii="Times New Roman" w:hAnsi="Times New Roman" w:eastAsia="Calibri" w:cs="Times New Roman"/>
                <w:sz w:val="20"/>
                <w:szCs w:val="20"/>
                <w:lang w:val="en-US" w:eastAsia="zh-CN" w:bidi="ar-SA"/>
              </w:rPr>
            </w:pPr>
            <w:r>
              <w:rPr>
                <w:rFonts w:ascii="Times New Roman" w:hAnsi="Times New Roman" w:eastAsia="Calibri" w:cs="Times New Roman"/>
                <w:sz w:val="20"/>
                <w:szCs w:val="20"/>
                <w:lang w:val="en-US" w:eastAsia="zh-CN" w:bidi="ar-SA"/>
              </w:rPr>
              <w:t>For full-duplex and half duplex FDD RedCap and eRedCap UEs, define the RF and RRM requirements [RAN4]</w:t>
            </w:r>
          </w:p>
          <w:p>
            <w:pPr>
              <w:widowControl w:val="0"/>
              <w:numPr>
                <w:ilvl w:val="0"/>
                <w:numId w:val="5"/>
              </w:numPr>
              <w:overflowPunct/>
              <w:autoSpaceDE/>
              <w:autoSpaceDN/>
              <w:adjustRightInd/>
              <w:spacing w:after="0" w:line="276" w:lineRule="auto"/>
              <w:ind w:left="720" w:hanging="360"/>
              <w:contextualSpacing/>
              <w:jc w:val="both"/>
              <w:textAlignment w:val="auto"/>
              <w:rPr>
                <w:rFonts w:ascii="Times New Roman" w:hAnsi="Times New Roman" w:eastAsia="Calibri" w:cs="Times New Roman"/>
                <w:sz w:val="20"/>
                <w:szCs w:val="20"/>
                <w:lang w:val="en-US" w:eastAsia="zh-CN" w:bidi="ar-SA"/>
              </w:rPr>
            </w:pPr>
            <w:r>
              <w:rPr>
                <w:rFonts w:ascii="Times New Roman" w:hAnsi="Times New Roman" w:eastAsia="Calibri" w:cs="Times New Roman"/>
                <w:sz w:val="20"/>
                <w:szCs w:val="20"/>
                <w:lang w:val="en-US" w:eastAsia="zh-CN" w:bidi="ar-SA"/>
              </w:rPr>
              <w:t>For HD-FDD RedCap UEs and eRedCap UEs, specify enhancements for mitigating issues caused by TA mismatch between actual TA used by the UE and assumed TA for the UE at the gNB [RAN1]</w:t>
            </w:r>
          </w:p>
          <w:p>
            <w:pPr>
              <w:widowControl w:val="0"/>
              <w:numPr>
                <w:ilvl w:val="1"/>
                <w:numId w:val="5"/>
              </w:numPr>
              <w:overflowPunct/>
              <w:autoSpaceDE/>
              <w:autoSpaceDN/>
              <w:adjustRightInd/>
              <w:spacing w:after="0" w:line="276" w:lineRule="auto"/>
              <w:ind w:left="1440" w:hanging="360"/>
              <w:contextualSpacing/>
              <w:jc w:val="both"/>
              <w:textAlignment w:val="auto"/>
              <w:rPr>
                <w:rFonts w:ascii="Times New Roman" w:hAnsi="Times New Roman" w:eastAsia="Calibri" w:cs="Times New Roman"/>
                <w:sz w:val="20"/>
                <w:szCs w:val="20"/>
                <w:lang w:val="en-US" w:eastAsia="zh-CN" w:bidi="ar-SA"/>
              </w:rPr>
            </w:pPr>
            <w:r>
              <w:rPr>
                <w:rFonts w:ascii="Times New Roman" w:hAnsi="Times New Roman" w:eastAsia="Calibri" w:cs="Times New Roman"/>
                <w:sz w:val="20"/>
                <w:szCs w:val="20"/>
                <w:lang w:val="en-US" w:eastAsia="zh-CN" w:bidi="ar-SA"/>
              </w:rPr>
              <w:t>Enhancements are targeted for the following HD collisions cases (cases 3 and 4):</w:t>
            </w:r>
          </w:p>
          <w:p>
            <w:pPr>
              <w:widowControl w:val="0"/>
              <w:numPr>
                <w:ilvl w:val="2"/>
                <w:numId w:val="5"/>
              </w:numPr>
              <w:overflowPunct/>
              <w:autoSpaceDE/>
              <w:autoSpaceDN/>
              <w:adjustRightInd/>
              <w:spacing w:after="0" w:line="276" w:lineRule="auto"/>
              <w:ind w:left="2160" w:hanging="360"/>
              <w:contextualSpacing/>
              <w:jc w:val="both"/>
              <w:textAlignment w:val="auto"/>
              <w:rPr>
                <w:rFonts w:ascii="Times New Roman" w:hAnsi="Times New Roman" w:eastAsia="Calibri" w:cs="Times New Roman"/>
                <w:sz w:val="20"/>
                <w:szCs w:val="20"/>
                <w:lang w:val="en-US" w:eastAsia="zh-CN" w:bidi="ar-SA"/>
              </w:rPr>
            </w:pPr>
            <w:r>
              <w:rPr>
                <w:rFonts w:ascii="Times New Roman" w:hAnsi="Times New Roman" w:eastAsia="Calibri" w:cs="Times New Roman"/>
                <w:sz w:val="20"/>
                <w:szCs w:val="20"/>
                <w:lang w:val="en-US" w:eastAsia="zh-CN" w:bidi="ar-SA"/>
              </w:rPr>
              <w:t xml:space="preserve">Semi-statically configured DL reception collides with semi-statically configured UL transmission </w:t>
            </w:r>
          </w:p>
          <w:p>
            <w:pPr>
              <w:widowControl w:val="0"/>
              <w:numPr>
                <w:ilvl w:val="2"/>
                <w:numId w:val="5"/>
              </w:numPr>
              <w:overflowPunct/>
              <w:autoSpaceDE/>
              <w:autoSpaceDN/>
              <w:adjustRightInd/>
              <w:spacing w:after="0" w:line="276" w:lineRule="auto"/>
              <w:ind w:left="2160" w:hanging="360"/>
              <w:contextualSpacing/>
              <w:jc w:val="both"/>
              <w:textAlignment w:val="auto"/>
              <w:rPr>
                <w:rFonts w:ascii="Times New Roman" w:hAnsi="Times New Roman" w:eastAsia="Calibri" w:cs="Times New Roman"/>
                <w:sz w:val="20"/>
                <w:szCs w:val="20"/>
                <w:lang w:val="en-US" w:eastAsia="zh-CN" w:bidi="ar-SA"/>
              </w:rPr>
            </w:pPr>
            <w:r>
              <w:rPr>
                <w:rFonts w:ascii="Times New Roman" w:hAnsi="Times New Roman" w:eastAsia="Calibri" w:cs="Times New Roman"/>
                <w:sz w:val="20"/>
                <w:szCs w:val="20"/>
                <w:lang w:val="en-US" w:eastAsia="zh-CN" w:bidi="ar-SA"/>
              </w:rPr>
              <w:t>Dynamically scheduled DL reception collides with dynamic scheduled UL transmission</w:t>
            </w:r>
          </w:p>
          <w:p>
            <w:pPr>
              <w:widowControl w:val="0"/>
              <w:numPr>
                <w:ilvl w:val="1"/>
                <w:numId w:val="5"/>
              </w:numPr>
              <w:overflowPunct/>
              <w:autoSpaceDE/>
              <w:autoSpaceDN/>
              <w:adjustRightInd/>
              <w:spacing w:after="0" w:line="276" w:lineRule="auto"/>
              <w:ind w:left="1440" w:hanging="360"/>
              <w:contextualSpacing/>
              <w:jc w:val="both"/>
              <w:textAlignment w:val="auto"/>
              <w:rPr>
                <w:rFonts w:ascii="Times New Roman" w:hAnsi="Times New Roman" w:eastAsia="Calibri" w:cs="Times New Roman"/>
                <w:sz w:val="20"/>
                <w:szCs w:val="20"/>
                <w:lang w:val="en-US" w:eastAsia="zh-CN" w:bidi="ar-SA"/>
              </w:rPr>
            </w:pPr>
            <w:r>
              <w:rPr>
                <w:rFonts w:ascii="Times New Roman" w:hAnsi="Times New Roman" w:eastAsia="Calibri" w:cs="Times New Roman"/>
                <w:sz w:val="20"/>
                <w:szCs w:val="20"/>
                <w:lang w:val="en-US" w:eastAsia="zh-CN" w:bidi="ar-SA"/>
              </w:rPr>
              <w:t>Note: enhancements for other HD collision cases are not targeted. Enhancements for HD collision cases 3 and 4 that may improve other HD collision cases are not precluded.</w:t>
            </w:r>
          </w:p>
          <w:p>
            <w:pPr>
              <w:widowControl w:val="0"/>
              <w:numPr>
                <w:ilvl w:val="1"/>
                <w:numId w:val="5"/>
              </w:numPr>
              <w:overflowPunct/>
              <w:autoSpaceDE/>
              <w:autoSpaceDN/>
              <w:adjustRightInd/>
              <w:spacing w:after="0" w:line="276" w:lineRule="auto"/>
              <w:ind w:left="1440" w:hanging="360"/>
              <w:contextualSpacing/>
              <w:jc w:val="both"/>
              <w:textAlignment w:val="auto"/>
              <w:rPr>
                <w:rFonts w:ascii="Times New Roman" w:hAnsi="Times New Roman" w:eastAsia="Calibri" w:cs="Times New Roman"/>
                <w:sz w:val="20"/>
                <w:szCs w:val="20"/>
                <w:lang w:val="en-US" w:eastAsia="zh-CN" w:bidi="ar-SA"/>
              </w:rPr>
            </w:pPr>
            <w:r>
              <w:rPr>
                <w:rFonts w:ascii="Times New Roman" w:hAnsi="Times New Roman" w:eastAsia="Calibri" w:cs="Times New Roman"/>
                <w:sz w:val="20"/>
                <w:szCs w:val="20"/>
                <w:lang w:val="en-US" w:eastAsia="zh-CN" w:bidi="ar-SA"/>
              </w:rPr>
              <w:t>Note: potential work in RAN2, if any, starts after RAN1 has decided on the solution.</w:t>
            </w:r>
          </w:p>
          <w:p>
            <w:pPr>
              <w:widowControl w:val="0"/>
              <w:numPr>
                <w:ilvl w:val="0"/>
                <w:numId w:val="5"/>
              </w:numPr>
              <w:overflowPunct/>
              <w:autoSpaceDE/>
              <w:autoSpaceDN/>
              <w:adjustRightInd/>
              <w:spacing w:after="0" w:line="276" w:lineRule="auto"/>
              <w:ind w:left="720" w:hanging="360"/>
              <w:contextualSpacing/>
              <w:jc w:val="both"/>
              <w:textAlignment w:val="auto"/>
              <w:rPr>
                <w:rFonts w:ascii="Times New Roman" w:hAnsi="Times New Roman" w:eastAsia="Calibri" w:cs="Times New Roman"/>
                <w:sz w:val="20"/>
                <w:szCs w:val="20"/>
                <w:lang w:val="en-US" w:eastAsia="zh-CN" w:bidi="ar-SA"/>
              </w:rPr>
            </w:pPr>
            <w:r>
              <w:rPr>
                <w:rFonts w:ascii="Times New Roman" w:hAnsi="Times New Roman" w:eastAsia="Calibri" w:cs="Times New Roman"/>
                <w:sz w:val="20"/>
                <w:szCs w:val="20"/>
                <w:lang w:val="en-US" w:eastAsia="zh-CN" w:bidi="ar-SA"/>
              </w:rPr>
              <w:t>Notes for this objective:</w:t>
            </w:r>
          </w:p>
          <w:p>
            <w:pPr>
              <w:widowControl w:val="0"/>
              <w:numPr>
                <w:ilvl w:val="1"/>
                <w:numId w:val="5"/>
              </w:numPr>
              <w:overflowPunct/>
              <w:autoSpaceDE/>
              <w:autoSpaceDN/>
              <w:adjustRightInd/>
              <w:spacing w:after="0" w:line="276" w:lineRule="auto"/>
              <w:ind w:left="1440" w:hanging="360"/>
              <w:contextualSpacing/>
              <w:jc w:val="both"/>
              <w:textAlignment w:val="auto"/>
              <w:rPr>
                <w:rFonts w:hint="default" w:ascii="Times New Roman" w:hAnsi="Times New Roman" w:eastAsia="宋体" w:cs="Times New Roman"/>
                <w:b w:val="0"/>
                <w:bCs/>
                <w:kern w:val="0"/>
                <w:sz w:val="20"/>
                <w:szCs w:val="20"/>
                <w:vertAlign w:val="baseline"/>
                <w:lang w:val="en-US" w:eastAsia="zh-CN"/>
              </w:rPr>
            </w:pPr>
            <w:r>
              <w:rPr>
                <w:rFonts w:ascii="Times New Roman" w:hAnsi="Times New Roman" w:eastAsia="Calibri" w:cs="Times New Roman"/>
                <w:sz w:val="20"/>
                <w:szCs w:val="20"/>
                <w:lang w:val="en-US" w:eastAsia="zh-CN" w:bidi="ar-SA"/>
              </w:rPr>
              <w:t>GNSS (Global Navigation Satellite Systems) capabilities and simultaneous GNSS and NR-NTN operation is supported in RedCap/eRedCap UE.</w:t>
            </w:r>
          </w:p>
        </w:tc>
      </w:tr>
    </w:tbl>
    <w:p>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Based on the objective captured above, Rel-19 NTN is also targeting at supporting RedCap devices operating in FR1 NTN. </w:t>
      </w:r>
    </w:p>
    <w:p>
      <w:pPr>
        <w:numPr>
          <w:ilvl w:val="0"/>
          <w:numId w:val="7"/>
        </w:numPr>
        <w:spacing w:before="120" w:beforeLines="50" w:after="120" w:afterLines="50"/>
        <w:ind w:left="420" w:leftChars="0" w:hanging="420" w:firstLineChars="0"/>
        <w:rPr>
          <w:rFonts w:hint="eastAsia" w:ascii="Times New Roman" w:hAnsi="Times New Roman" w:eastAsia="宋体" w:cs="Times New Roman"/>
          <w:b/>
          <w:bCs w:val="0"/>
          <w:kern w:val="0"/>
          <w:sz w:val="20"/>
          <w:szCs w:val="20"/>
          <w:lang w:val="en-US" w:eastAsia="zh-CN"/>
        </w:rPr>
      </w:pPr>
      <w:r>
        <w:rPr>
          <w:rFonts w:hint="eastAsia" w:ascii="Times New Roman" w:hAnsi="Times New Roman" w:eastAsia="宋体" w:cs="Times New Roman"/>
          <w:b/>
          <w:bCs w:val="0"/>
          <w:kern w:val="0"/>
          <w:sz w:val="20"/>
          <w:szCs w:val="20"/>
          <w:lang w:val="en-US" w:eastAsia="zh-CN"/>
        </w:rPr>
        <w:t>Reduced UE complexity</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Based on Rel-17 and Rel-18 progress, the main characteristic for RedCap UE is the reduced UE complexity. RedCap UE supports 1 or 2 UE Rx branches and HD-FDD or FD-FDD operation. Besides some additional clarification on available samples for HD-FDD operation, the same RRM requirements as for normal NR UE are reused for Rel-17 RedCap with 2Rx, while the relaxed measurement requirements are defined for Rel-17 RedCap with 1Rx. The relaxation method including extending the number of measurement samples and relaxing the measurement accuracy. From our perspective, when defining </w:t>
      </w:r>
      <w:r>
        <w:rPr>
          <w:rFonts w:ascii="Times New Roman" w:hAnsi="Times New Roman" w:eastAsia="Calibri" w:cs="Times New Roman"/>
          <w:sz w:val="20"/>
          <w:szCs w:val="20"/>
          <w:lang w:val="en-US" w:eastAsia="zh-CN" w:bidi="ar-SA"/>
        </w:rPr>
        <w:t xml:space="preserve">RRM requirements </w:t>
      </w:r>
      <w:r>
        <w:rPr>
          <w:rFonts w:hint="eastAsia" w:ascii="Times New Roman" w:hAnsi="Times New Roman" w:eastAsia="Calibri" w:cs="Times New Roman"/>
          <w:sz w:val="20"/>
          <w:szCs w:val="20"/>
          <w:lang w:val="en-US" w:eastAsia="zh-CN" w:bidi="ar-SA"/>
        </w:rPr>
        <w:t>for RedCap and eRedCap UEs with NR NTN, similar</w:t>
      </w:r>
      <w:r>
        <w:rPr>
          <w:rFonts w:hint="eastAsia" w:ascii="Times New Roman" w:hAnsi="Times New Roman" w:eastAsia="宋体" w:cs="Times New Roman"/>
          <w:b w:val="0"/>
          <w:bCs/>
          <w:kern w:val="0"/>
          <w:sz w:val="20"/>
          <w:szCs w:val="20"/>
          <w:lang w:val="en-US" w:eastAsia="zh-CN"/>
        </w:rPr>
        <w:t xml:space="preserve"> principle could be taken.</w:t>
      </w:r>
    </w:p>
    <w:p>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3</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define RRM requirements for (e)RedCap UEs with NR NTN on reduced number of UE Rx branches:</w:t>
      </w:r>
    </w:p>
    <w:p>
      <w:pPr>
        <w:numPr>
          <w:ilvl w:val="0"/>
          <w:numId w:val="8"/>
        </w:numPr>
        <w:spacing w:before="120" w:beforeLines="50" w:after="120" w:afterLines="50"/>
        <w:ind w:left="840" w:leftChars="0" w:hanging="420" w:firstLineChars="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US" w:eastAsia="zh-CN"/>
        </w:rPr>
        <w:t>For 2RX RedCap</w:t>
      </w:r>
    </w:p>
    <w:p>
      <w:pPr>
        <w:numPr>
          <w:ilvl w:val="1"/>
          <w:numId w:val="8"/>
        </w:numPr>
        <w:spacing w:before="120" w:beforeLines="50" w:after="120" w:afterLines="50"/>
        <w:ind w:left="1260" w:leftChars="0" w:hanging="420" w:firstLineChars="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US" w:eastAsia="zh-CN"/>
        </w:rPr>
        <w:t>Take measurement requirements for FR1-NTN as baseline；</w:t>
      </w:r>
    </w:p>
    <w:p>
      <w:pPr>
        <w:numPr>
          <w:ilvl w:val="0"/>
          <w:numId w:val="8"/>
        </w:numPr>
        <w:spacing w:before="120" w:beforeLines="50" w:after="120" w:afterLines="50"/>
        <w:ind w:left="840" w:leftChars="0" w:hanging="420" w:firstLineChars="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US" w:eastAsia="zh-CN"/>
        </w:rPr>
        <w:t>For 1RX RedCap</w:t>
      </w:r>
    </w:p>
    <w:p>
      <w:pPr>
        <w:numPr>
          <w:ilvl w:val="1"/>
          <w:numId w:val="8"/>
        </w:numPr>
        <w:spacing w:before="120" w:beforeLines="50" w:after="120" w:afterLines="50"/>
        <w:ind w:left="1260" w:leftChars="0" w:hanging="420" w:firstLineChars="0"/>
        <w:rPr>
          <w:rFonts w:hint="eastAsia" w:ascii="Times New Roman" w:hAnsi="Times New Roman" w:eastAsia="宋体" w:cs="Times New Roman"/>
          <w:b/>
          <w:kern w:val="0"/>
          <w:sz w:val="20"/>
          <w:szCs w:val="20"/>
          <w:lang w:val="en-US" w:eastAsia="zh-CN"/>
        </w:rPr>
      </w:pPr>
      <w:bookmarkStart w:id="10" w:name="OLE_LINK8"/>
      <w:r>
        <w:rPr>
          <w:rFonts w:hint="eastAsia" w:ascii="Times New Roman" w:hAnsi="Times New Roman" w:eastAsia="宋体" w:cs="Times New Roman"/>
          <w:b/>
          <w:kern w:val="0"/>
          <w:sz w:val="20"/>
          <w:szCs w:val="20"/>
          <w:lang w:val="en-US" w:eastAsia="zh-CN"/>
        </w:rPr>
        <w:t>Relax measurement requirements from the aspects of extending the number of measurement samples or relaxing the measurement accuracy.</w:t>
      </w:r>
      <w:bookmarkEnd w:id="10"/>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Currently, RAN1 is focusing on evaluating the applicability of the existing handling rules for </w:t>
      </w:r>
      <w:r>
        <w:rPr>
          <w:rFonts w:ascii="Times New Roman" w:hAnsi="Times New Roman" w:eastAsia="Calibri" w:cs="Times New Roman"/>
          <w:sz w:val="20"/>
          <w:szCs w:val="20"/>
          <w:lang w:val="en-US" w:eastAsia="zh-CN" w:bidi="ar-SA"/>
        </w:rPr>
        <w:t>HD collisions cases</w:t>
      </w:r>
      <w:r>
        <w:rPr>
          <w:rFonts w:hint="eastAsia" w:ascii="Times New Roman" w:hAnsi="Times New Roman" w:eastAsia="Calibri" w:cs="Times New Roman"/>
          <w:sz w:val="20"/>
          <w:szCs w:val="20"/>
          <w:lang w:val="en-US" w:eastAsia="zh-CN" w:bidi="ar-SA"/>
        </w:rPr>
        <w:t>, considering the TA mismatch between actual TA used by UE and assumed TA at the gNB. RAN4 can waiting RAN1</w:t>
      </w:r>
      <w:r>
        <w:rPr>
          <w:rFonts w:hint="default" w:ascii="Times New Roman" w:hAnsi="Times New Roman" w:eastAsia="Calibri" w:cs="Times New Roman"/>
          <w:sz w:val="20"/>
          <w:szCs w:val="20"/>
          <w:lang w:val="en-US" w:eastAsia="zh-CN" w:bidi="ar-SA"/>
        </w:rPr>
        <w:t>’</w:t>
      </w:r>
      <w:r>
        <w:rPr>
          <w:rFonts w:hint="eastAsia" w:ascii="Times New Roman" w:hAnsi="Times New Roman" w:eastAsia="Calibri" w:cs="Times New Roman"/>
          <w:sz w:val="20"/>
          <w:szCs w:val="20"/>
          <w:lang w:val="en-US" w:eastAsia="zh-CN" w:bidi="ar-SA"/>
        </w:rPr>
        <w:t>s final decision to check whether there is new RRM impact.</w:t>
      </w:r>
    </w:p>
    <w:p>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4</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check whether existing HD-FDD related requirements can be reused or not after RAN1 reaching further conclusions.</w:t>
      </w:r>
    </w:p>
    <w:p>
      <w:pPr>
        <w:numPr>
          <w:ilvl w:val="0"/>
          <w:numId w:val="7"/>
        </w:numPr>
        <w:spacing w:before="120" w:beforeLines="50" w:after="120" w:afterLines="50"/>
        <w:ind w:left="420" w:leftChars="0" w:hanging="420" w:firstLineChars="0"/>
        <w:rPr>
          <w:rFonts w:hint="eastAsia" w:ascii="Times New Roman" w:hAnsi="Times New Roman" w:eastAsia="宋体" w:cs="Times New Roman"/>
          <w:b/>
          <w:bCs w:val="0"/>
          <w:kern w:val="0"/>
          <w:sz w:val="20"/>
          <w:szCs w:val="20"/>
          <w:lang w:val="en-US" w:eastAsia="zh-CN"/>
        </w:rPr>
      </w:pPr>
      <w:r>
        <w:rPr>
          <w:rFonts w:hint="eastAsia" w:ascii="Times New Roman" w:hAnsi="Times New Roman" w:eastAsia="宋体" w:cs="Times New Roman"/>
          <w:b/>
          <w:bCs w:val="0"/>
          <w:kern w:val="0"/>
          <w:sz w:val="20"/>
          <w:szCs w:val="20"/>
          <w:lang w:val="en-US" w:eastAsia="zh-CN"/>
        </w:rPr>
        <w:t>eDRX</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 xml:space="preserve">The Rel-17 RedCap </w:t>
      </w:r>
      <w:r>
        <w:rPr>
          <w:rFonts w:hint="eastAsia" w:ascii="Times New Roman" w:hAnsi="Times New Roman" w:eastAsia="宋体" w:cs="Times New Roman"/>
          <w:b w:val="0"/>
          <w:bCs/>
          <w:kern w:val="0"/>
          <w:sz w:val="20"/>
          <w:szCs w:val="20"/>
          <w:lang w:val="en-US" w:eastAsia="zh-CN"/>
        </w:rPr>
        <w:t xml:space="preserve">WI </w:t>
      </w:r>
      <w:r>
        <w:rPr>
          <w:rFonts w:hint="default" w:ascii="Times New Roman" w:hAnsi="Times New Roman" w:eastAsia="宋体" w:cs="Times New Roman"/>
          <w:b w:val="0"/>
          <w:bCs/>
          <w:kern w:val="0"/>
          <w:sz w:val="20"/>
          <w:szCs w:val="20"/>
          <w:lang w:val="en-US" w:eastAsia="zh-CN"/>
        </w:rPr>
        <w:t xml:space="preserve">introduced extended DRX cycles for RRC Idle state (up to 10485.76 seconds) and RRC Inactive state (up to 10.24 seconds). </w:t>
      </w:r>
      <w:r>
        <w:rPr>
          <w:rFonts w:hint="eastAsia" w:ascii="Times New Roman" w:hAnsi="Times New Roman" w:eastAsia="宋体" w:cs="Times New Roman"/>
          <w:b w:val="0"/>
          <w:bCs/>
          <w:kern w:val="0"/>
          <w:sz w:val="20"/>
          <w:szCs w:val="20"/>
          <w:lang w:val="en-US" w:eastAsia="zh-CN"/>
        </w:rPr>
        <w:t xml:space="preserve">Furthermore, the Rel-18 eRedCap WI introduced enhanced eDRX cycle length in RRC Inactive state beyond 10.24 seconds, up to the same eDRX cycle length as for RRC Idle state (up to 10485.76 seconds). During discussion in the (e)RedCap WI, the eDRX feature is introduced </w:t>
      </w:r>
      <w:r>
        <w:rPr>
          <w:rFonts w:hint="default" w:ascii="Times New Roman" w:hAnsi="Times New Roman" w:eastAsia="宋体" w:cs="Times New Roman"/>
          <w:b w:val="0"/>
          <w:bCs/>
          <w:kern w:val="0"/>
          <w:sz w:val="20"/>
          <w:szCs w:val="20"/>
          <w:lang w:val="en-US" w:eastAsia="zh-CN"/>
        </w:rPr>
        <w:t>as an optional feature for both RedCap and non-RedCap UEs</w:t>
      </w:r>
      <w:r>
        <w:rPr>
          <w:rFonts w:hint="eastAsia" w:ascii="Times New Roman" w:hAnsi="Times New Roman" w:eastAsia="宋体" w:cs="Times New Roman"/>
          <w:b w:val="0"/>
          <w:bCs/>
          <w:kern w:val="0"/>
          <w:sz w:val="20"/>
          <w:szCs w:val="20"/>
          <w:lang w:val="en-US" w:eastAsia="zh-CN"/>
        </w:rPr>
        <w:t>. As the eDRX feature is not specific for (e)RedCap UE, we think RAN4 should</w:t>
      </w:r>
      <w:bookmarkStart w:id="11" w:name="OLE_LINK6"/>
      <w:r>
        <w:rPr>
          <w:rFonts w:hint="eastAsia" w:ascii="Times New Roman" w:hAnsi="Times New Roman" w:eastAsia="宋体" w:cs="Times New Roman"/>
          <w:b w:val="0"/>
          <w:bCs/>
          <w:kern w:val="0"/>
          <w:sz w:val="20"/>
          <w:szCs w:val="20"/>
          <w:lang w:val="en-US" w:eastAsia="zh-CN"/>
        </w:rPr>
        <w:t xml:space="preserve"> discuss whether to support eDRX feature for NR NTN.</w:t>
      </w:r>
      <w:bookmarkEnd w:id="11"/>
    </w:p>
    <w:p>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5</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discuss whether to define measurement </w:t>
      </w:r>
      <w:bookmarkStart w:id="13" w:name="_GoBack"/>
      <w:bookmarkEnd w:id="13"/>
      <w:r>
        <w:rPr>
          <w:rFonts w:hint="eastAsia" w:ascii="Times New Roman" w:hAnsi="Times New Roman" w:eastAsia="宋体" w:cs="Times New Roman"/>
          <w:b/>
          <w:kern w:val="0"/>
          <w:sz w:val="20"/>
          <w:szCs w:val="20"/>
          <w:lang w:val="en-US" w:eastAsia="zh-CN"/>
        </w:rPr>
        <w:t>requirements for eDRX feature for NR NTN.</w:t>
      </w:r>
    </w:p>
    <w:p>
      <w:pPr>
        <w:numPr>
          <w:ilvl w:val="0"/>
          <w:numId w:val="7"/>
        </w:numPr>
        <w:spacing w:before="120" w:beforeLines="50" w:after="120" w:afterLines="50"/>
        <w:ind w:left="420" w:leftChars="0" w:hanging="420" w:firstLineChars="0"/>
        <w:rPr>
          <w:rFonts w:hint="default" w:ascii="Times New Roman" w:hAnsi="Times New Roman" w:eastAsia="宋体" w:cs="Times New Roman"/>
          <w:b/>
          <w:bCs w:val="0"/>
          <w:kern w:val="0"/>
          <w:sz w:val="20"/>
          <w:szCs w:val="20"/>
          <w:lang w:val="en-US" w:eastAsia="zh-CN"/>
        </w:rPr>
      </w:pPr>
      <w:r>
        <w:rPr>
          <w:rFonts w:hint="eastAsia" w:ascii="Times New Roman" w:hAnsi="Times New Roman" w:eastAsia="宋体" w:cs="Times New Roman"/>
          <w:b/>
          <w:bCs w:val="0"/>
          <w:kern w:val="0"/>
          <w:sz w:val="20"/>
          <w:szCs w:val="20"/>
          <w:lang w:val="en-US" w:eastAsia="zh-CN"/>
        </w:rPr>
        <w:t xml:space="preserve">RRM relaxation </w:t>
      </w:r>
    </w:p>
    <w:p>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RRM measurement relaxation for neighbour cells is introduced as an optional feature for RedCap UEs that can be enabled by the network</w:t>
      </w:r>
      <w:r>
        <w:rPr>
          <w:rFonts w:hint="eastAsia" w:ascii="Times New Roman" w:hAnsi="Times New Roman" w:eastAsia="宋体" w:cs="Times New Roman"/>
          <w:b w:val="0"/>
          <w:bCs/>
          <w:kern w:val="0"/>
          <w:sz w:val="20"/>
          <w:szCs w:val="20"/>
          <w:lang w:val="en-US" w:eastAsia="zh-CN"/>
        </w:rPr>
        <w:t xml:space="preserve"> i</w:t>
      </w:r>
      <w:r>
        <w:rPr>
          <w:rFonts w:hint="default" w:ascii="Times New Roman" w:hAnsi="Times New Roman" w:eastAsia="宋体" w:cs="Times New Roman"/>
          <w:b w:val="0"/>
          <w:bCs/>
          <w:kern w:val="0"/>
          <w:sz w:val="20"/>
          <w:szCs w:val="20"/>
          <w:lang w:val="en-US" w:eastAsia="zh-CN"/>
        </w:rPr>
        <w:t xml:space="preserve">n </w:t>
      </w:r>
      <w:r>
        <w:rPr>
          <w:rFonts w:hint="eastAsia" w:ascii="Times New Roman" w:hAnsi="Times New Roman" w:eastAsia="宋体" w:cs="Times New Roman"/>
          <w:b w:val="0"/>
          <w:bCs/>
          <w:kern w:val="0"/>
          <w:sz w:val="20"/>
          <w:szCs w:val="20"/>
          <w:lang w:val="en-US" w:eastAsia="zh-CN"/>
        </w:rPr>
        <w:t xml:space="preserve">both </w:t>
      </w:r>
      <w:r>
        <w:rPr>
          <w:rFonts w:hint="default" w:ascii="Times New Roman" w:hAnsi="Times New Roman" w:eastAsia="宋体" w:cs="Times New Roman"/>
          <w:b w:val="0"/>
          <w:bCs/>
          <w:kern w:val="0"/>
          <w:sz w:val="20"/>
          <w:szCs w:val="20"/>
          <w:lang w:val="en-US" w:eastAsia="zh-CN"/>
        </w:rPr>
        <w:t>RRC idle/inactive states</w:t>
      </w:r>
      <w:r>
        <w:rPr>
          <w:rFonts w:hint="eastAsia" w:ascii="Times New Roman" w:hAnsi="Times New Roman" w:eastAsia="宋体" w:cs="Times New Roman"/>
          <w:b w:val="0"/>
          <w:bCs/>
          <w:kern w:val="0"/>
          <w:sz w:val="20"/>
          <w:szCs w:val="20"/>
          <w:lang w:val="en-US" w:eastAsia="zh-CN"/>
        </w:rPr>
        <w:t xml:space="preserve"> and RRC connected state. From RRM perspective, the spec impact only exists in RRC idle/inactive states. The UE is allowed to further relax neighbour-cell RRM measurements (compared to existing Rel-16 relaxation functionality) when an RSRP/RSRQ-based stationarity criterion is met for a period of time, or when both the stationarity criterion and a not-at-cell-edge criterion are met.</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Based on the current TS 38.133, NTN has already supported Rel-16 relaxation functionality.</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US" w:eastAsia="zh-CN" w:bidi="ar-SA"/>
              </w:rPr>
            </w:pPr>
            <w:r>
              <w:rPr>
                <w:rFonts w:ascii="Arial" w:hAnsi="Arial" w:eastAsia="Times New Roman" w:cs="Times New Roman"/>
                <w:sz w:val="24"/>
                <w:lang w:val="en-US" w:eastAsia="zh-CN" w:bidi="ar-SA"/>
              </w:rPr>
              <w:t>4.2C.2.7</w:t>
            </w:r>
            <w:r>
              <w:rPr>
                <w:rFonts w:ascii="Arial" w:hAnsi="Arial" w:eastAsia="Times New Roman" w:cs="Times New Roman"/>
                <w:sz w:val="24"/>
                <w:lang w:val="en-US" w:eastAsia="zh-CN" w:bidi="ar-SA"/>
              </w:rPr>
              <w:tab/>
            </w:r>
            <w:r>
              <w:rPr>
                <w:rFonts w:ascii="Arial" w:hAnsi="Arial" w:eastAsia="Times New Roman" w:cs="Times New Roman"/>
                <w:sz w:val="24"/>
                <w:lang w:val="en-US" w:eastAsia="zh-CN" w:bidi="ar-SA"/>
              </w:rPr>
              <w:t>Measurements of intra-frequency NR cells for UE configured with relaxed measurement criterion</w:t>
            </w:r>
          </w:p>
          <w:p>
            <w:pPr>
              <w:overflowPunct w:val="0"/>
              <w:autoSpaceDE w:val="0"/>
              <w:autoSpaceDN w:val="0"/>
              <w:adjustRightInd w:val="0"/>
              <w:spacing w:after="180"/>
              <w:textAlignment w:val="baseline"/>
              <w:rPr>
                <w:rFonts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The</w:t>
            </w:r>
            <w:r>
              <w:rPr>
                <w:rFonts w:ascii="Times New Roman" w:hAnsi="Times New Roman" w:eastAsia="Times New Roman" w:cs="Times New Roman"/>
                <w:kern w:val="0"/>
                <w:sz w:val="20"/>
                <w:szCs w:val="20"/>
                <w:lang w:val="en-GB" w:eastAsia="en-GB"/>
              </w:rPr>
              <w:t xml:space="preserve"> </w:t>
            </w:r>
            <w:r>
              <w:rPr>
                <w:rFonts w:hint="eastAsia" w:ascii="Times New Roman" w:hAnsi="Times New Roman" w:eastAsia="宋体" w:cs="Times New Roman"/>
                <w:kern w:val="0"/>
                <w:sz w:val="20"/>
                <w:szCs w:val="20"/>
                <w:lang w:val="en-US" w:eastAsia="zh-CN"/>
              </w:rPr>
              <w:t>requirements</w:t>
            </w:r>
            <w:r>
              <w:rPr>
                <w:rFonts w:ascii="Times New Roman" w:hAnsi="Times New Roman" w:eastAsia="Times New Roman" w:cs="Times New Roman"/>
                <w:kern w:val="0"/>
                <w:sz w:val="20"/>
                <w:szCs w:val="20"/>
                <w:lang w:val="en-GB" w:eastAsia="en-GB"/>
              </w:rPr>
              <w:t xml:space="preserve"> in clause 4.2.2.</w:t>
            </w:r>
            <w:r>
              <w:rPr>
                <w:rFonts w:hint="eastAsia" w:ascii="Times New Roman" w:hAnsi="Times New Roman" w:eastAsia="Times New Roman" w:cs="Times New Roman"/>
                <w:kern w:val="0"/>
                <w:sz w:val="20"/>
                <w:szCs w:val="20"/>
                <w:lang w:val="en-GB" w:eastAsia="zh-CN"/>
              </w:rPr>
              <w:t>9</w:t>
            </w:r>
            <w:r>
              <w:rPr>
                <w:rFonts w:ascii="Times New Roman" w:hAnsi="Times New Roman" w:eastAsia="Times New Roman" w:cs="Times New Roman"/>
                <w:kern w:val="0"/>
                <w:sz w:val="20"/>
                <w:szCs w:val="20"/>
                <w:lang w:val="en-GB" w:eastAsia="en-GB"/>
              </w:rPr>
              <w:t xml:space="preserve"> apply provided that target cell’s satellite is GEO.</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US" w:eastAsia="zh-CN" w:bidi="ar-SA"/>
              </w:rPr>
            </w:pPr>
            <w:r>
              <w:rPr>
                <w:rFonts w:ascii="Arial" w:hAnsi="Arial" w:eastAsia="Times New Roman" w:cs="Times New Roman"/>
                <w:sz w:val="24"/>
                <w:lang w:val="en-US" w:eastAsia="zh-CN" w:bidi="ar-SA"/>
              </w:rPr>
              <w:t>4.2C.2.</w:t>
            </w:r>
            <w:r>
              <w:rPr>
                <w:rFonts w:hint="eastAsia" w:ascii="Arial" w:hAnsi="Arial" w:eastAsia="等线" w:cs="Times New Roman"/>
                <w:sz w:val="24"/>
                <w:lang w:val="en-US" w:eastAsia="zh-CN" w:bidi="ar-SA"/>
              </w:rPr>
              <w:t>8</w:t>
            </w:r>
            <w:r>
              <w:rPr>
                <w:rFonts w:ascii="Arial" w:hAnsi="Arial" w:eastAsia="Times New Roman" w:cs="Times New Roman"/>
                <w:sz w:val="24"/>
                <w:lang w:val="en-US" w:eastAsia="zh-CN" w:bidi="ar-SA"/>
              </w:rPr>
              <w:tab/>
            </w:r>
            <w:r>
              <w:rPr>
                <w:rFonts w:ascii="Arial" w:hAnsi="Arial" w:eastAsia="Times New Roman" w:cs="Times New Roman"/>
                <w:sz w:val="24"/>
                <w:lang w:val="en-US" w:eastAsia="zh-CN" w:bidi="ar-SA"/>
              </w:rPr>
              <w:t>Measurements of int</w:t>
            </w:r>
            <w:r>
              <w:rPr>
                <w:rFonts w:hint="eastAsia" w:ascii="Arial" w:hAnsi="Arial" w:eastAsia="等线" w:cs="Times New Roman"/>
                <w:sz w:val="24"/>
                <w:lang w:val="en-US" w:eastAsia="zh-CN" w:bidi="ar-SA"/>
              </w:rPr>
              <w:t>er</w:t>
            </w:r>
            <w:r>
              <w:rPr>
                <w:rFonts w:ascii="Arial" w:hAnsi="Arial" w:eastAsia="Times New Roman" w:cs="Times New Roman"/>
                <w:sz w:val="24"/>
                <w:lang w:val="en-US" w:eastAsia="zh-CN" w:bidi="ar-SA"/>
              </w:rPr>
              <w:t>-frequency NR cells for UE configured with relaxed measurement criterion</w:t>
            </w:r>
          </w:p>
          <w:p>
            <w:pPr>
              <w:overflowPunct w:val="0"/>
              <w:autoSpaceDE w:val="0"/>
              <w:autoSpaceDN w:val="0"/>
              <w:adjustRightInd w:val="0"/>
              <w:spacing w:after="180"/>
              <w:textAlignment w:val="baseline"/>
              <w:rPr>
                <w:rFonts w:hint="default" w:ascii="Times New Roman" w:hAnsi="Times New Roman" w:eastAsia="宋体" w:cs="Times New Roman"/>
                <w:b w:val="0"/>
                <w:bCs/>
                <w:kern w:val="0"/>
                <w:sz w:val="20"/>
                <w:szCs w:val="20"/>
                <w:vertAlign w:val="baseline"/>
                <w:lang w:val="en-US" w:eastAsia="zh-CN"/>
              </w:rPr>
            </w:pPr>
            <w:r>
              <w:rPr>
                <w:rFonts w:ascii="Times New Roman" w:hAnsi="Times New Roman" w:eastAsia="Times New Roman" w:cs="Times New Roman"/>
                <w:kern w:val="0"/>
                <w:sz w:val="20"/>
                <w:szCs w:val="20"/>
                <w:lang w:val="en-GB" w:eastAsia="en-GB"/>
              </w:rPr>
              <w:t xml:space="preserve">The </w:t>
            </w:r>
            <w:r>
              <w:rPr>
                <w:rFonts w:hint="eastAsia" w:ascii="Times New Roman" w:hAnsi="Times New Roman" w:eastAsia="宋体" w:cs="Times New Roman"/>
                <w:kern w:val="0"/>
                <w:sz w:val="20"/>
                <w:szCs w:val="20"/>
                <w:lang w:val="en-US" w:eastAsia="zh-CN"/>
              </w:rPr>
              <w:t>requirements</w:t>
            </w:r>
            <w:r>
              <w:rPr>
                <w:rFonts w:ascii="Times New Roman" w:hAnsi="Times New Roman" w:eastAsia="Times New Roman" w:cs="Times New Roman"/>
                <w:kern w:val="0"/>
                <w:sz w:val="20"/>
                <w:szCs w:val="20"/>
                <w:lang w:val="en-GB" w:eastAsia="en-GB"/>
              </w:rPr>
              <w:t xml:space="preserve"> in clause 4.2.2.</w:t>
            </w:r>
            <w:r>
              <w:rPr>
                <w:rFonts w:ascii="Times New Roman" w:hAnsi="Times New Roman" w:eastAsia="等线" w:cs="Times New Roman"/>
                <w:kern w:val="0"/>
                <w:sz w:val="20"/>
                <w:szCs w:val="20"/>
                <w:lang w:val="en-GB" w:eastAsia="zh-CN"/>
              </w:rPr>
              <w:t xml:space="preserve">10 </w:t>
            </w:r>
            <w:r>
              <w:rPr>
                <w:rFonts w:ascii="Times New Roman" w:hAnsi="Times New Roman" w:eastAsia="Times New Roman" w:cs="Times New Roman"/>
                <w:kern w:val="0"/>
                <w:sz w:val="20"/>
                <w:szCs w:val="20"/>
                <w:lang w:val="en-GB" w:eastAsia="en-GB"/>
              </w:rPr>
              <w:t>apply provided that target cell’s satellite is GEO.</w:t>
            </w:r>
          </w:p>
        </w:tc>
      </w:tr>
    </w:tbl>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If we follow the same logic as in Rel-17 NTN discussion, the requirements in clause 4.2B.2.9 and 4.2B.2.10 for RRM measurement relaxation for Redcap could apply provided that target cell</w:t>
      </w:r>
      <w:r>
        <w:rPr>
          <w:rFonts w:hint="default" w:ascii="Times New Roman" w:hAnsi="Times New Roman" w:eastAsia="宋体" w:cs="Times New Roman"/>
          <w:b w:val="0"/>
          <w:bCs/>
          <w:kern w:val="0"/>
          <w:sz w:val="20"/>
          <w:szCs w:val="20"/>
          <w:lang w:val="en-US" w:eastAsia="zh-CN"/>
        </w:rPr>
        <w:t>’</w:t>
      </w:r>
      <w:r>
        <w:rPr>
          <w:rFonts w:hint="eastAsia" w:ascii="Times New Roman" w:hAnsi="Times New Roman" w:eastAsia="宋体" w:cs="Times New Roman"/>
          <w:b w:val="0"/>
          <w:bCs/>
          <w:kern w:val="0"/>
          <w:sz w:val="20"/>
          <w:szCs w:val="20"/>
          <w:lang w:val="en-US" w:eastAsia="zh-CN"/>
        </w:rPr>
        <w:t>s satellite is GEO. We can firstly check if RAN4 can agree to define Rel-17 relaxation measurement requirements for RedCap UE with NR NTN.</w:t>
      </w:r>
    </w:p>
    <w:p>
      <w:pPr>
        <w:spacing w:before="120" w:beforeLines="50" w:after="120" w:afterLines="50"/>
        <w:rPr>
          <w:rFonts w:hint="default" w:ascii="Times New Roman" w:hAnsi="Times New Roman" w:eastAsia="宋体" w:cs="Times New Roman"/>
          <w:b w:val="0"/>
          <w:bCs/>
          <w:kern w:val="0"/>
          <w:sz w:val="20"/>
          <w:szCs w:val="20"/>
          <w:lang w:val="en-US" w:eastAsia="zh-CN"/>
        </w:rPr>
      </w:pPr>
      <w:bookmarkStart w:id="12" w:name="OLE_LINK9"/>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6</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discuss whether to define relaxed measurement requirements for NR NTN when RedCap UE configured with Rel-17 relaxation criteria.</w:t>
      </w:r>
    </w:p>
    <w:bookmarkEnd w:id="12"/>
    <w:p>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spacing w:before="120" w:beforeLines="50" w:after="120" w:afterLines="50"/>
        <w:rPr>
          <w:rFonts w:hint="eastAsia" w:ascii="Times New Roman" w:hAnsi="Times New Roman" w:eastAsia="等线" w:cs="Times New Roman"/>
          <w:sz w:val="20"/>
          <w:szCs w:val="20"/>
          <w:lang w:val="en-US" w:eastAsia="zh-CN"/>
        </w:rPr>
      </w:pPr>
      <w:r>
        <w:rPr>
          <w:rFonts w:hint="eastAsia" w:ascii="Times New Roman" w:hAnsi="Times New Roman" w:eastAsia="宋体" w:cs="Times New Roman"/>
          <w:b/>
          <w:kern w:val="0"/>
          <w:sz w:val="20"/>
          <w:szCs w:val="20"/>
          <w:lang w:val="en-US" w:eastAsia="zh-CN"/>
        </w:rPr>
        <w:t xml:space="preserve">Observation </w:t>
      </w:r>
      <w:r>
        <w:rPr>
          <w:rFonts w:hint="eastAsia" w:ascii="Times New Roman" w:hAnsi="Times New Roman" w:eastAsia="宋体" w:cs="Times New Roman"/>
          <w:b/>
          <w:kern w:val="0"/>
          <w:sz w:val="20"/>
          <w:szCs w:val="20"/>
          <w:lang w:val="en-US" w:eastAsia="zh-CN"/>
        </w:rPr>
        <w:fldChar w:fldCharType="begin"/>
      </w:r>
      <w:r>
        <w:rPr>
          <w:rFonts w:hint="eastAsia" w:ascii="Times New Roman" w:hAnsi="Times New Roman" w:eastAsia="宋体" w:cs="Times New Roman"/>
          <w:b/>
          <w:kern w:val="0"/>
          <w:sz w:val="20"/>
          <w:szCs w:val="20"/>
          <w:lang w:val="en-US" w:eastAsia="zh-CN"/>
        </w:rPr>
        <w:instrText xml:space="preserve"> SEQ Observation \* MERGEFORMAT </w:instrText>
      </w:r>
      <w:r>
        <w:rPr>
          <w:rFonts w:hint="eastAsia" w:ascii="Times New Roman" w:hAnsi="Times New Roman" w:eastAsia="宋体" w:cs="Times New Roman"/>
          <w:b/>
          <w:kern w:val="0"/>
          <w:sz w:val="20"/>
          <w:szCs w:val="20"/>
          <w:lang w:val="en-US" w:eastAsia="zh-CN"/>
        </w:rPr>
        <w:fldChar w:fldCharType="separate"/>
      </w:r>
      <w:r>
        <w:rPr>
          <w:rFonts w:hint="eastAsia" w:ascii="Times New Roman" w:hAnsi="Times New Roman" w:eastAsia="宋体" w:cs="Times New Roman"/>
          <w:b/>
          <w:kern w:val="0"/>
          <w:sz w:val="20"/>
          <w:szCs w:val="20"/>
          <w:lang w:val="en-US" w:eastAsia="zh-CN"/>
        </w:rPr>
        <w:t>1</w:t>
      </w:r>
      <w:r>
        <w:rPr>
          <w:rFonts w:hint="eastAsia" w:ascii="Times New Roman" w:hAnsi="Times New Roman" w:eastAsia="宋体" w:cs="Times New Roman"/>
          <w:b/>
          <w:kern w:val="0"/>
          <w:sz w:val="20"/>
          <w:szCs w:val="20"/>
          <w:lang w:val="en-US" w:eastAsia="zh-CN"/>
        </w:rPr>
        <w:fldChar w:fldCharType="end"/>
      </w:r>
      <w:r>
        <w:rPr>
          <w:rFonts w:hint="eastAsia" w:ascii="Times New Roman" w:hAnsi="Times New Roman" w:eastAsia="宋体" w:cs="Times New Roman"/>
          <w:b/>
          <w:kern w:val="0"/>
          <w:sz w:val="20"/>
          <w:szCs w:val="20"/>
          <w:lang w:val="en-US" w:eastAsia="zh-CN"/>
        </w:rPr>
        <w:t xml:space="preserve">: Satellite beam activation/deactivation scheme is under discussion in RAN1/2. </w:t>
      </w:r>
    </w:p>
    <w:p>
      <w:pPr>
        <w:spacing w:before="120" w:beforeLines="50" w:after="120" w:afterLines="5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1</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study the RRM impact of satellite beams activation/deactivation scheme after RAN1/2 reaching more concrete conclusions.</w:t>
      </w:r>
    </w:p>
    <w:p>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US" w:eastAsia="zh-CN"/>
        </w:rPr>
        <w:t xml:space="preserve">Observation </w:t>
      </w:r>
      <w:r>
        <w:rPr>
          <w:rFonts w:hint="eastAsia" w:ascii="Times New Roman" w:hAnsi="Times New Roman" w:eastAsia="宋体" w:cs="Times New Roman"/>
          <w:b/>
          <w:kern w:val="0"/>
          <w:sz w:val="20"/>
          <w:szCs w:val="20"/>
          <w:lang w:val="en-US" w:eastAsia="zh-CN"/>
        </w:rPr>
        <w:fldChar w:fldCharType="begin"/>
      </w:r>
      <w:r>
        <w:rPr>
          <w:rFonts w:hint="eastAsia" w:ascii="Times New Roman" w:hAnsi="Times New Roman" w:eastAsia="宋体" w:cs="Times New Roman"/>
          <w:b/>
          <w:kern w:val="0"/>
          <w:sz w:val="20"/>
          <w:szCs w:val="20"/>
          <w:lang w:val="en-US" w:eastAsia="zh-CN"/>
        </w:rPr>
        <w:instrText xml:space="preserve"> SEQ Observation \* MERGEFORMAT </w:instrText>
      </w:r>
      <w:r>
        <w:rPr>
          <w:rFonts w:hint="eastAsia" w:ascii="Times New Roman" w:hAnsi="Times New Roman" w:eastAsia="宋体" w:cs="Times New Roman"/>
          <w:b/>
          <w:kern w:val="0"/>
          <w:sz w:val="20"/>
          <w:szCs w:val="20"/>
          <w:lang w:val="en-US" w:eastAsia="zh-CN"/>
        </w:rPr>
        <w:fldChar w:fldCharType="separate"/>
      </w:r>
      <w:r>
        <w:rPr>
          <w:rFonts w:hint="eastAsia" w:ascii="Times New Roman" w:hAnsi="Times New Roman" w:eastAsia="宋体" w:cs="Times New Roman"/>
          <w:b/>
          <w:kern w:val="0"/>
          <w:sz w:val="20"/>
          <w:szCs w:val="20"/>
          <w:lang w:val="en-US" w:eastAsia="zh-CN"/>
        </w:rPr>
        <w:t>2</w:t>
      </w:r>
      <w:r>
        <w:rPr>
          <w:rFonts w:hint="eastAsia" w:ascii="Times New Roman" w:hAnsi="Times New Roman" w:eastAsia="宋体" w:cs="Times New Roman"/>
          <w:b/>
          <w:kern w:val="0"/>
          <w:sz w:val="20"/>
          <w:szCs w:val="20"/>
          <w:lang w:val="en-US" w:eastAsia="zh-CN"/>
        </w:rPr>
        <w:fldChar w:fldCharType="end"/>
      </w:r>
      <w:r>
        <w:rPr>
          <w:rFonts w:hint="eastAsia" w:ascii="Times New Roman" w:hAnsi="Times New Roman" w:eastAsia="宋体" w:cs="Times New Roman"/>
          <w:b/>
          <w:kern w:val="0"/>
          <w:sz w:val="20"/>
          <w:szCs w:val="20"/>
          <w:lang w:val="en-US" w:eastAsia="zh-CN"/>
        </w:rPr>
        <w:t xml:space="preserve">: The SSB periodicity enhancement will be considered in RAN1. </w:t>
      </w:r>
    </w:p>
    <w:p>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2</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study the RRM impact of SSB periodicity enhancement once further progress is made in RAN1.</w:t>
      </w:r>
    </w:p>
    <w:p>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3</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define RRM requirements for (e)RedCap UEs with NR NTN on reduced number of UE Rx branches:</w:t>
      </w:r>
    </w:p>
    <w:p>
      <w:pPr>
        <w:numPr>
          <w:ilvl w:val="0"/>
          <w:numId w:val="8"/>
        </w:numPr>
        <w:spacing w:before="120" w:beforeLines="50" w:after="120" w:afterLines="50"/>
        <w:ind w:left="840" w:leftChars="0" w:hanging="420" w:firstLineChars="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US" w:eastAsia="zh-CN"/>
        </w:rPr>
        <w:t>For 2RX RedCap</w:t>
      </w:r>
    </w:p>
    <w:p>
      <w:pPr>
        <w:numPr>
          <w:ilvl w:val="1"/>
          <w:numId w:val="8"/>
        </w:numPr>
        <w:spacing w:before="120" w:beforeLines="50" w:after="120" w:afterLines="50"/>
        <w:ind w:left="1260" w:leftChars="0" w:hanging="420" w:firstLineChars="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US" w:eastAsia="zh-CN"/>
        </w:rPr>
        <w:t>Take measurement requirements for FR1-NTN as baseline；</w:t>
      </w:r>
    </w:p>
    <w:p>
      <w:pPr>
        <w:numPr>
          <w:ilvl w:val="0"/>
          <w:numId w:val="8"/>
        </w:numPr>
        <w:spacing w:before="120" w:beforeLines="50" w:after="120" w:afterLines="50"/>
        <w:ind w:left="840" w:leftChars="0" w:hanging="420" w:firstLineChars="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US" w:eastAsia="zh-CN"/>
        </w:rPr>
        <w:t>For 1RX RedCap</w:t>
      </w:r>
    </w:p>
    <w:p>
      <w:pPr>
        <w:numPr>
          <w:ilvl w:val="1"/>
          <w:numId w:val="8"/>
        </w:numPr>
        <w:spacing w:before="120" w:beforeLines="50" w:after="120" w:afterLines="50"/>
        <w:ind w:left="1260" w:leftChars="0" w:hanging="420" w:firstLineChars="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US" w:eastAsia="zh-CN"/>
        </w:rPr>
        <w:t>Relax measurement requirements from the aspects of extending the number of measurement samples or relaxing the measurement accuracy.</w:t>
      </w:r>
    </w:p>
    <w:p>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4</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check whether existing HD-FDD related requirements can be reused or not after RAN1 reaching further conclusions.</w:t>
      </w:r>
    </w:p>
    <w:p>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5</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discuss whether to define measurement requirements for eDRX feature for NR NTN.</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6</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discuss whether to define relaxed measurement requirements for NR NTN when RedCap UE configured with Rel-17 relaxation criteria.</w:t>
      </w:r>
    </w:p>
    <w:p>
      <w:pPr>
        <w:pStyle w:val="56"/>
        <w:spacing w:line="288" w:lineRule="auto"/>
        <w:rPr>
          <w:rFonts w:eastAsia="宋体"/>
          <w:b/>
          <w:bCs/>
          <w:lang w:val="en-GB"/>
        </w:rPr>
      </w:pPr>
    </w:p>
    <w:p>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numPr>
          <w:ilvl w:val="0"/>
          <w:numId w:val="9"/>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RP-241667</w:t>
      </w:r>
      <w:r>
        <w:rPr>
          <w:rFonts w:ascii="Times New Roman" w:hAnsi="Times New Roman" w:eastAsia="宋体" w:cs="Times New Roman"/>
          <w:kern w:val="0"/>
          <w:sz w:val="20"/>
          <w:szCs w:val="20"/>
          <w:lang w:val="en-GB"/>
        </w:rPr>
        <w:t xml:space="preserve">, </w:t>
      </w:r>
      <w:r>
        <w:rPr>
          <w:rFonts w:hint="eastAsia" w:ascii="Times New Roman" w:hAnsi="Times New Roman" w:eastAsia="宋体" w:cs="Times New Roman"/>
          <w:kern w:val="0"/>
          <w:sz w:val="20"/>
          <w:szCs w:val="20"/>
          <w:lang w:val="en-GB"/>
        </w:rPr>
        <w:t>Revised WID: Non-Terrestrial Networks (NTN) for NR Phase 3</w:t>
      </w:r>
      <w:r>
        <w:rPr>
          <w:rFonts w:ascii="Times New Roman" w:hAnsi="Times New Roman" w:eastAsia="宋体" w:cs="Times New Roman"/>
          <w:kern w:val="0"/>
          <w:sz w:val="20"/>
          <w:szCs w:val="20"/>
          <w:lang w:val="en-GB"/>
        </w:rPr>
        <w:t xml:space="preserve">, </w:t>
      </w:r>
      <w:r>
        <w:rPr>
          <w:rFonts w:hint="eastAsia" w:ascii="Times New Roman" w:hAnsi="Times New Roman" w:eastAsia="宋体" w:cs="Times New Roman"/>
          <w:kern w:val="0"/>
          <w:sz w:val="20"/>
          <w:szCs w:val="20"/>
          <w:lang w:val="en-GB"/>
        </w:rPr>
        <w:t>Thales, CATT</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8489B0"/>
    <w:multiLevelType w:val="singleLevel"/>
    <w:tmpl w:val="A98489B0"/>
    <w:lvl w:ilvl="0" w:tentative="0">
      <w:start w:val="1"/>
      <w:numFmt w:val="bullet"/>
      <w:lvlText w:val=""/>
      <w:lvlJc w:val="left"/>
      <w:pPr>
        <w:ind w:left="420" w:hanging="420"/>
      </w:pPr>
      <w:rPr>
        <w:rFonts w:hint="default" w:ascii="Wingdings" w:hAnsi="Wingdings"/>
      </w:rPr>
    </w:lvl>
  </w:abstractNum>
  <w:abstractNum w:abstractNumId="1">
    <w:nsid w:val="F722C3F8"/>
    <w:multiLevelType w:val="multilevel"/>
    <w:tmpl w:val="F722C3F8"/>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2">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958279B"/>
    <w:multiLevelType w:val="multilevel"/>
    <w:tmpl w:val="395827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606BEBA"/>
    <w:multiLevelType w:val="singleLevel"/>
    <w:tmpl w:val="7606BEBA"/>
    <w:lvl w:ilvl="0" w:tentative="0">
      <w:start w:val="1"/>
      <w:numFmt w:val="decimal"/>
      <w:suff w:val="space"/>
      <w:lvlText w:val="[%1]"/>
      <w:lvlJc w:val="left"/>
    </w:lvl>
  </w:abstractNum>
  <w:abstractNum w:abstractNumId="8">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6"/>
  </w:num>
  <w:num w:numId="3">
    <w:abstractNumId w:val="4"/>
  </w:num>
  <w:num w:numId="4">
    <w:abstractNumId w:val="8"/>
  </w:num>
  <w:num w:numId="5">
    <w:abstractNumId w:val="2"/>
  </w:num>
  <w:num w:numId="6">
    <w:abstractNumId w:val="3"/>
  </w:num>
  <w:num w:numId="7">
    <w:abstractNumId w:val="0"/>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5554A4"/>
    <w:rsid w:val="019424BE"/>
    <w:rsid w:val="01992300"/>
    <w:rsid w:val="01DB7ED5"/>
    <w:rsid w:val="01E0373D"/>
    <w:rsid w:val="021F7DC1"/>
    <w:rsid w:val="02317AF5"/>
    <w:rsid w:val="0232479F"/>
    <w:rsid w:val="024A4392"/>
    <w:rsid w:val="024C1B2A"/>
    <w:rsid w:val="025A704C"/>
    <w:rsid w:val="025E3EE7"/>
    <w:rsid w:val="02751A20"/>
    <w:rsid w:val="0286604A"/>
    <w:rsid w:val="02D06700"/>
    <w:rsid w:val="03365100"/>
    <w:rsid w:val="03913E39"/>
    <w:rsid w:val="03B15391"/>
    <w:rsid w:val="040D42FA"/>
    <w:rsid w:val="04194A97"/>
    <w:rsid w:val="04A22E57"/>
    <w:rsid w:val="04E83035"/>
    <w:rsid w:val="0511629C"/>
    <w:rsid w:val="053425E6"/>
    <w:rsid w:val="053A445F"/>
    <w:rsid w:val="055374A2"/>
    <w:rsid w:val="058E038E"/>
    <w:rsid w:val="0591353A"/>
    <w:rsid w:val="05A827C4"/>
    <w:rsid w:val="05CC64B2"/>
    <w:rsid w:val="05D9200B"/>
    <w:rsid w:val="06437F8E"/>
    <w:rsid w:val="065B3392"/>
    <w:rsid w:val="06D03D80"/>
    <w:rsid w:val="071A0439"/>
    <w:rsid w:val="07466F91"/>
    <w:rsid w:val="07754928"/>
    <w:rsid w:val="0788465B"/>
    <w:rsid w:val="078A5965"/>
    <w:rsid w:val="07A47FD8"/>
    <w:rsid w:val="07DD49A7"/>
    <w:rsid w:val="07E54304"/>
    <w:rsid w:val="07EF6488"/>
    <w:rsid w:val="07F26B0C"/>
    <w:rsid w:val="08142BE4"/>
    <w:rsid w:val="0834033F"/>
    <w:rsid w:val="085355EF"/>
    <w:rsid w:val="0864151C"/>
    <w:rsid w:val="086B654C"/>
    <w:rsid w:val="08A13C26"/>
    <w:rsid w:val="08C35BCC"/>
    <w:rsid w:val="08EB6C4F"/>
    <w:rsid w:val="08F43C68"/>
    <w:rsid w:val="092B4153"/>
    <w:rsid w:val="094674BE"/>
    <w:rsid w:val="0A021F2E"/>
    <w:rsid w:val="0A0C7595"/>
    <w:rsid w:val="0A404F63"/>
    <w:rsid w:val="0A673EF3"/>
    <w:rsid w:val="0ABA0FCF"/>
    <w:rsid w:val="0ADD14FB"/>
    <w:rsid w:val="0B1245E8"/>
    <w:rsid w:val="0B3F3282"/>
    <w:rsid w:val="0B454EBC"/>
    <w:rsid w:val="0B792C38"/>
    <w:rsid w:val="0B901D30"/>
    <w:rsid w:val="0C796C68"/>
    <w:rsid w:val="0CB657C6"/>
    <w:rsid w:val="0CCB7EBA"/>
    <w:rsid w:val="0CF31220"/>
    <w:rsid w:val="0D0E5602"/>
    <w:rsid w:val="0D2E1801"/>
    <w:rsid w:val="0D3A1F53"/>
    <w:rsid w:val="0D636733"/>
    <w:rsid w:val="0DF30354"/>
    <w:rsid w:val="0E157954"/>
    <w:rsid w:val="0EC5388C"/>
    <w:rsid w:val="0ECE1FF2"/>
    <w:rsid w:val="0ED13166"/>
    <w:rsid w:val="0EDD4F42"/>
    <w:rsid w:val="0EDE4A54"/>
    <w:rsid w:val="0F411287"/>
    <w:rsid w:val="0F4277E5"/>
    <w:rsid w:val="0F4D3059"/>
    <w:rsid w:val="0F917DE8"/>
    <w:rsid w:val="0F98794A"/>
    <w:rsid w:val="0FFE157A"/>
    <w:rsid w:val="0FFF1232"/>
    <w:rsid w:val="103A5CAF"/>
    <w:rsid w:val="105F7F23"/>
    <w:rsid w:val="10E072B6"/>
    <w:rsid w:val="10FC65BF"/>
    <w:rsid w:val="1102255C"/>
    <w:rsid w:val="1102722C"/>
    <w:rsid w:val="11765524"/>
    <w:rsid w:val="11BA012C"/>
    <w:rsid w:val="13BB36C2"/>
    <w:rsid w:val="14410B0B"/>
    <w:rsid w:val="144933C4"/>
    <w:rsid w:val="14670F3B"/>
    <w:rsid w:val="14A2292A"/>
    <w:rsid w:val="14C2372B"/>
    <w:rsid w:val="14C30A80"/>
    <w:rsid w:val="150F6DF8"/>
    <w:rsid w:val="157E6A6B"/>
    <w:rsid w:val="15FA088E"/>
    <w:rsid w:val="15FA2BC8"/>
    <w:rsid w:val="16283474"/>
    <w:rsid w:val="1659551A"/>
    <w:rsid w:val="16EF3DAF"/>
    <w:rsid w:val="170A0BE8"/>
    <w:rsid w:val="173A5A2D"/>
    <w:rsid w:val="18426FD0"/>
    <w:rsid w:val="18814EDA"/>
    <w:rsid w:val="195530E3"/>
    <w:rsid w:val="19670F1B"/>
    <w:rsid w:val="199F2C6B"/>
    <w:rsid w:val="1A177C84"/>
    <w:rsid w:val="1A425A24"/>
    <w:rsid w:val="1A6515CA"/>
    <w:rsid w:val="1AA2738A"/>
    <w:rsid w:val="1AB72134"/>
    <w:rsid w:val="1AB8095B"/>
    <w:rsid w:val="1AF54531"/>
    <w:rsid w:val="1B0C144B"/>
    <w:rsid w:val="1B225C27"/>
    <w:rsid w:val="1B401473"/>
    <w:rsid w:val="1B701236"/>
    <w:rsid w:val="1B9E6579"/>
    <w:rsid w:val="1BCA6B98"/>
    <w:rsid w:val="1BEB72C3"/>
    <w:rsid w:val="1C443FD4"/>
    <w:rsid w:val="1C533C31"/>
    <w:rsid w:val="1C6629EC"/>
    <w:rsid w:val="1D46765C"/>
    <w:rsid w:val="1E032835"/>
    <w:rsid w:val="1E0B5246"/>
    <w:rsid w:val="1EBB7F97"/>
    <w:rsid w:val="1ED41491"/>
    <w:rsid w:val="1EE305C4"/>
    <w:rsid w:val="1EE91A2B"/>
    <w:rsid w:val="1F0210D8"/>
    <w:rsid w:val="1F176423"/>
    <w:rsid w:val="1F664E2A"/>
    <w:rsid w:val="1F7237CF"/>
    <w:rsid w:val="1F7C7D01"/>
    <w:rsid w:val="1FA26EEB"/>
    <w:rsid w:val="1FD576A0"/>
    <w:rsid w:val="20555B3C"/>
    <w:rsid w:val="20A56D20"/>
    <w:rsid w:val="20C54D60"/>
    <w:rsid w:val="20D7393A"/>
    <w:rsid w:val="20DE15FA"/>
    <w:rsid w:val="21052421"/>
    <w:rsid w:val="21464CF5"/>
    <w:rsid w:val="21971062"/>
    <w:rsid w:val="21F26E49"/>
    <w:rsid w:val="22592A24"/>
    <w:rsid w:val="22853819"/>
    <w:rsid w:val="22AC524A"/>
    <w:rsid w:val="22B937E1"/>
    <w:rsid w:val="22C24A6D"/>
    <w:rsid w:val="22C97BAA"/>
    <w:rsid w:val="22D14E7D"/>
    <w:rsid w:val="22FE2588"/>
    <w:rsid w:val="230D345A"/>
    <w:rsid w:val="231F3C6E"/>
    <w:rsid w:val="233C0AA7"/>
    <w:rsid w:val="23503E27"/>
    <w:rsid w:val="236C49D9"/>
    <w:rsid w:val="2398414F"/>
    <w:rsid w:val="239D76F7"/>
    <w:rsid w:val="23C051AF"/>
    <w:rsid w:val="23D45F8E"/>
    <w:rsid w:val="240D3AC6"/>
    <w:rsid w:val="240D3E70"/>
    <w:rsid w:val="241E3F25"/>
    <w:rsid w:val="24303C58"/>
    <w:rsid w:val="24575689"/>
    <w:rsid w:val="24596D0B"/>
    <w:rsid w:val="24861ACA"/>
    <w:rsid w:val="24C30629"/>
    <w:rsid w:val="24F07BEB"/>
    <w:rsid w:val="24F41CD4"/>
    <w:rsid w:val="252D58FF"/>
    <w:rsid w:val="25B368EF"/>
    <w:rsid w:val="267E0CAB"/>
    <w:rsid w:val="267E514F"/>
    <w:rsid w:val="267F67D1"/>
    <w:rsid w:val="26C27851"/>
    <w:rsid w:val="2725381D"/>
    <w:rsid w:val="27271343"/>
    <w:rsid w:val="272730F1"/>
    <w:rsid w:val="278B7B24"/>
    <w:rsid w:val="27C46B92"/>
    <w:rsid w:val="27D84E93"/>
    <w:rsid w:val="280A144A"/>
    <w:rsid w:val="282201FE"/>
    <w:rsid w:val="28417D61"/>
    <w:rsid w:val="28506677"/>
    <w:rsid w:val="28564FB5"/>
    <w:rsid w:val="291853E7"/>
    <w:rsid w:val="2919115F"/>
    <w:rsid w:val="291E0523"/>
    <w:rsid w:val="2967011C"/>
    <w:rsid w:val="296F6B21"/>
    <w:rsid w:val="297206B2"/>
    <w:rsid w:val="29AF078E"/>
    <w:rsid w:val="29CA4207"/>
    <w:rsid w:val="29D7493D"/>
    <w:rsid w:val="2A1025F9"/>
    <w:rsid w:val="2A286F0C"/>
    <w:rsid w:val="2ABB0FF3"/>
    <w:rsid w:val="2B006133"/>
    <w:rsid w:val="2B17347C"/>
    <w:rsid w:val="2B27367F"/>
    <w:rsid w:val="2B2C6A15"/>
    <w:rsid w:val="2B415FA0"/>
    <w:rsid w:val="2B8A00F2"/>
    <w:rsid w:val="2BB32A71"/>
    <w:rsid w:val="2BB95357"/>
    <w:rsid w:val="2BE710A1"/>
    <w:rsid w:val="2C307EA2"/>
    <w:rsid w:val="2C74691D"/>
    <w:rsid w:val="2D572256"/>
    <w:rsid w:val="2DC36921"/>
    <w:rsid w:val="2DCA7799"/>
    <w:rsid w:val="2DD107CA"/>
    <w:rsid w:val="2DD37B2E"/>
    <w:rsid w:val="2E4C739F"/>
    <w:rsid w:val="2E5A3DAC"/>
    <w:rsid w:val="2E7330BF"/>
    <w:rsid w:val="2E8261B4"/>
    <w:rsid w:val="2E8B21B7"/>
    <w:rsid w:val="2F1B2E6A"/>
    <w:rsid w:val="2F257B78"/>
    <w:rsid w:val="2F260139"/>
    <w:rsid w:val="2F2D0284"/>
    <w:rsid w:val="2F57653D"/>
    <w:rsid w:val="2F6C3452"/>
    <w:rsid w:val="2F7000C2"/>
    <w:rsid w:val="2F8379E0"/>
    <w:rsid w:val="2F950E14"/>
    <w:rsid w:val="2FA66A7B"/>
    <w:rsid w:val="2FAA1397"/>
    <w:rsid w:val="2FC21B1A"/>
    <w:rsid w:val="2FDA78F1"/>
    <w:rsid w:val="306B6443"/>
    <w:rsid w:val="308D6684"/>
    <w:rsid w:val="30B4631B"/>
    <w:rsid w:val="30F54260"/>
    <w:rsid w:val="3199108F"/>
    <w:rsid w:val="31EA2BFF"/>
    <w:rsid w:val="32150FD3"/>
    <w:rsid w:val="321E57AE"/>
    <w:rsid w:val="3252386D"/>
    <w:rsid w:val="327613D0"/>
    <w:rsid w:val="327B6CC5"/>
    <w:rsid w:val="32C24615"/>
    <w:rsid w:val="32F171E0"/>
    <w:rsid w:val="32F64767"/>
    <w:rsid w:val="33135238"/>
    <w:rsid w:val="335F1862"/>
    <w:rsid w:val="336D27D3"/>
    <w:rsid w:val="339607A9"/>
    <w:rsid w:val="33B32D68"/>
    <w:rsid w:val="33B76D89"/>
    <w:rsid w:val="33CA653C"/>
    <w:rsid w:val="34164C19"/>
    <w:rsid w:val="3434509F"/>
    <w:rsid w:val="344003D4"/>
    <w:rsid w:val="344F3C87"/>
    <w:rsid w:val="347C1ADD"/>
    <w:rsid w:val="34853B4C"/>
    <w:rsid w:val="35026F4B"/>
    <w:rsid w:val="35202C81"/>
    <w:rsid w:val="3563768A"/>
    <w:rsid w:val="356B0126"/>
    <w:rsid w:val="356B4AF0"/>
    <w:rsid w:val="35763E83"/>
    <w:rsid w:val="358C0C7A"/>
    <w:rsid w:val="35CD7559"/>
    <w:rsid w:val="35EB5C31"/>
    <w:rsid w:val="364041CF"/>
    <w:rsid w:val="36810E01"/>
    <w:rsid w:val="36D93CDC"/>
    <w:rsid w:val="36DF3AA7"/>
    <w:rsid w:val="36F570EA"/>
    <w:rsid w:val="36FA26E2"/>
    <w:rsid w:val="3732773C"/>
    <w:rsid w:val="37476E97"/>
    <w:rsid w:val="377834F5"/>
    <w:rsid w:val="37B704C1"/>
    <w:rsid w:val="382471D8"/>
    <w:rsid w:val="38BF6164"/>
    <w:rsid w:val="38CD161E"/>
    <w:rsid w:val="38FA6FB1"/>
    <w:rsid w:val="391334A5"/>
    <w:rsid w:val="393C5B33"/>
    <w:rsid w:val="3951224F"/>
    <w:rsid w:val="39B27192"/>
    <w:rsid w:val="39B5032A"/>
    <w:rsid w:val="3A1219DE"/>
    <w:rsid w:val="3A1570EE"/>
    <w:rsid w:val="3A257964"/>
    <w:rsid w:val="3A746BF3"/>
    <w:rsid w:val="3ABD0B64"/>
    <w:rsid w:val="3B1A1C29"/>
    <w:rsid w:val="3B2C6AD0"/>
    <w:rsid w:val="3B8765B4"/>
    <w:rsid w:val="3BBF16F2"/>
    <w:rsid w:val="3BC1190E"/>
    <w:rsid w:val="3C073714"/>
    <w:rsid w:val="3C1974AA"/>
    <w:rsid w:val="3C5B03D9"/>
    <w:rsid w:val="3C6109FB"/>
    <w:rsid w:val="3D0F2205"/>
    <w:rsid w:val="3D404AB5"/>
    <w:rsid w:val="3D482C92"/>
    <w:rsid w:val="3D540560"/>
    <w:rsid w:val="3D626340"/>
    <w:rsid w:val="3D6822D8"/>
    <w:rsid w:val="3D8F3346"/>
    <w:rsid w:val="3DE6565C"/>
    <w:rsid w:val="3E2241BA"/>
    <w:rsid w:val="3E412892"/>
    <w:rsid w:val="3E4D56DB"/>
    <w:rsid w:val="3E6F7B87"/>
    <w:rsid w:val="3E907376"/>
    <w:rsid w:val="3ED7645B"/>
    <w:rsid w:val="3ED86102"/>
    <w:rsid w:val="3EF913BF"/>
    <w:rsid w:val="3F0B7E50"/>
    <w:rsid w:val="3F1538A4"/>
    <w:rsid w:val="3F7877A9"/>
    <w:rsid w:val="3FA550A3"/>
    <w:rsid w:val="3FE26F6C"/>
    <w:rsid w:val="3FE94F8F"/>
    <w:rsid w:val="401D4517"/>
    <w:rsid w:val="4046336F"/>
    <w:rsid w:val="4055509E"/>
    <w:rsid w:val="40650A63"/>
    <w:rsid w:val="409C0597"/>
    <w:rsid w:val="409E221E"/>
    <w:rsid w:val="40AA3C0C"/>
    <w:rsid w:val="40D439F8"/>
    <w:rsid w:val="40D54F73"/>
    <w:rsid w:val="40F736DC"/>
    <w:rsid w:val="40FA41D3"/>
    <w:rsid w:val="4114110C"/>
    <w:rsid w:val="4114428E"/>
    <w:rsid w:val="411F67C7"/>
    <w:rsid w:val="41676AB4"/>
    <w:rsid w:val="416A2100"/>
    <w:rsid w:val="417D58F7"/>
    <w:rsid w:val="41DF73B7"/>
    <w:rsid w:val="41FE630B"/>
    <w:rsid w:val="421A3B26"/>
    <w:rsid w:val="42215E43"/>
    <w:rsid w:val="42362E92"/>
    <w:rsid w:val="423B423F"/>
    <w:rsid w:val="427A6373"/>
    <w:rsid w:val="427E23AB"/>
    <w:rsid w:val="42C770F1"/>
    <w:rsid w:val="436A4639"/>
    <w:rsid w:val="439B3F9B"/>
    <w:rsid w:val="43B97970"/>
    <w:rsid w:val="43D33214"/>
    <w:rsid w:val="43D558A5"/>
    <w:rsid w:val="440E76BA"/>
    <w:rsid w:val="4442271D"/>
    <w:rsid w:val="44911538"/>
    <w:rsid w:val="44A65137"/>
    <w:rsid w:val="44AF21C8"/>
    <w:rsid w:val="44E25ED9"/>
    <w:rsid w:val="45832219"/>
    <w:rsid w:val="45B80FBE"/>
    <w:rsid w:val="45C81AEB"/>
    <w:rsid w:val="45DF1F1C"/>
    <w:rsid w:val="460A43BB"/>
    <w:rsid w:val="463A4797"/>
    <w:rsid w:val="46412B93"/>
    <w:rsid w:val="464C0B8F"/>
    <w:rsid w:val="468E6891"/>
    <w:rsid w:val="4693757A"/>
    <w:rsid w:val="46DD15C6"/>
    <w:rsid w:val="47060B1D"/>
    <w:rsid w:val="473311E6"/>
    <w:rsid w:val="47B0113A"/>
    <w:rsid w:val="47D30184"/>
    <w:rsid w:val="48141018"/>
    <w:rsid w:val="48757D08"/>
    <w:rsid w:val="487853DA"/>
    <w:rsid w:val="48790E7B"/>
    <w:rsid w:val="48B3768C"/>
    <w:rsid w:val="49066BB2"/>
    <w:rsid w:val="49596459"/>
    <w:rsid w:val="49604537"/>
    <w:rsid w:val="498D2E30"/>
    <w:rsid w:val="49C34AA3"/>
    <w:rsid w:val="49D10E80"/>
    <w:rsid w:val="49EF4246"/>
    <w:rsid w:val="4A30453E"/>
    <w:rsid w:val="4A9C1109"/>
    <w:rsid w:val="4AEE78FE"/>
    <w:rsid w:val="4B0E0E54"/>
    <w:rsid w:val="4B1B43AF"/>
    <w:rsid w:val="4BCD39B7"/>
    <w:rsid w:val="4BEB02E1"/>
    <w:rsid w:val="4BFE00D6"/>
    <w:rsid w:val="4C2D252F"/>
    <w:rsid w:val="4C40062D"/>
    <w:rsid w:val="4C6F1CFA"/>
    <w:rsid w:val="4C7C718B"/>
    <w:rsid w:val="4C950865"/>
    <w:rsid w:val="4D2A6BE7"/>
    <w:rsid w:val="4D2E492A"/>
    <w:rsid w:val="4D4203D5"/>
    <w:rsid w:val="4D48035B"/>
    <w:rsid w:val="4D4C2C93"/>
    <w:rsid w:val="4D6B3488"/>
    <w:rsid w:val="4D844549"/>
    <w:rsid w:val="4DF41807"/>
    <w:rsid w:val="4E1458CD"/>
    <w:rsid w:val="4E451F2B"/>
    <w:rsid w:val="4EA54FDB"/>
    <w:rsid w:val="4EBD3AB8"/>
    <w:rsid w:val="4EC138D9"/>
    <w:rsid w:val="4EC67822"/>
    <w:rsid w:val="4F3B332E"/>
    <w:rsid w:val="4F4E005F"/>
    <w:rsid w:val="4F6C798B"/>
    <w:rsid w:val="4F894099"/>
    <w:rsid w:val="4FED36EF"/>
    <w:rsid w:val="4FF12BA5"/>
    <w:rsid w:val="4FF83CE5"/>
    <w:rsid w:val="50192F9D"/>
    <w:rsid w:val="509B2AE5"/>
    <w:rsid w:val="50A40D66"/>
    <w:rsid w:val="50A410CE"/>
    <w:rsid w:val="50FF5CC6"/>
    <w:rsid w:val="51055641"/>
    <w:rsid w:val="517329AF"/>
    <w:rsid w:val="5177331C"/>
    <w:rsid w:val="51992F95"/>
    <w:rsid w:val="51CE27D0"/>
    <w:rsid w:val="51DB4734"/>
    <w:rsid w:val="51EB2DE9"/>
    <w:rsid w:val="5240491E"/>
    <w:rsid w:val="524810E8"/>
    <w:rsid w:val="52971FC1"/>
    <w:rsid w:val="52A122EE"/>
    <w:rsid w:val="52B81B37"/>
    <w:rsid w:val="52C80068"/>
    <w:rsid w:val="52E96A4D"/>
    <w:rsid w:val="5310681A"/>
    <w:rsid w:val="53143F28"/>
    <w:rsid w:val="53551D8A"/>
    <w:rsid w:val="53567FA8"/>
    <w:rsid w:val="537A4340"/>
    <w:rsid w:val="53CF5FBF"/>
    <w:rsid w:val="53D252D2"/>
    <w:rsid w:val="53E45BE4"/>
    <w:rsid w:val="53EA75FE"/>
    <w:rsid w:val="53F57F4F"/>
    <w:rsid w:val="540D7877"/>
    <w:rsid w:val="5415414D"/>
    <w:rsid w:val="541D74A6"/>
    <w:rsid w:val="54256D18"/>
    <w:rsid w:val="54513D62"/>
    <w:rsid w:val="545A24A8"/>
    <w:rsid w:val="552770F4"/>
    <w:rsid w:val="55752DD3"/>
    <w:rsid w:val="559B68D4"/>
    <w:rsid w:val="55A541B8"/>
    <w:rsid w:val="567A6461"/>
    <w:rsid w:val="56935B78"/>
    <w:rsid w:val="56F206EB"/>
    <w:rsid w:val="570D5C67"/>
    <w:rsid w:val="57905DFE"/>
    <w:rsid w:val="57F31B4D"/>
    <w:rsid w:val="580E7831"/>
    <w:rsid w:val="589549C1"/>
    <w:rsid w:val="58A41F44"/>
    <w:rsid w:val="58E5406A"/>
    <w:rsid w:val="58FF18EE"/>
    <w:rsid w:val="590D1897"/>
    <w:rsid w:val="59691E36"/>
    <w:rsid w:val="5988716F"/>
    <w:rsid w:val="599205A1"/>
    <w:rsid w:val="59961CEE"/>
    <w:rsid w:val="59C75EEA"/>
    <w:rsid w:val="5A0A4142"/>
    <w:rsid w:val="5A1949F4"/>
    <w:rsid w:val="5A2E5F69"/>
    <w:rsid w:val="5A382944"/>
    <w:rsid w:val="5A513A05"/>
    <w:rsid w:val="5A7D47FA"/>
    <w:rsid w:val="5A84202D"/>
    <w:rsid w:val="5A970AC8"/>
    <w:rsid w:val="5AC32448"/>
    <w:rsid w:val="5AEA4E4D"/>
    <w:rsid w:val="5AF32C10"/>
    <w:rsid w:val="5B0311A3"/>
    <w:rsid w:val="5B3A26EB"/>
    <w:rsid w:val="5B9D1D5D"/>
    <w:rsid w:val="5BE34B31"/>
    <w:rsid w:val="5C071976"/>
    <w:rsid w:val="5C9C18B0"/>
    <w:rsid w:val="5CFA0384"/>
    <w:rsid w:val="5D282774"/>
    <w:rsid w:val="5D2E2574"/>
    <w:rsid w:val="5D550132"/>
    <w:rsid w:val="5D6A65F1"/>
    <w:rsid w:val="5DAF4ECD"/>
    <w:rsid w:val="5DB9023F"/>
    <w:rsid w:val="5DBC45AF"/>
    <w:rsid w:val="5DC276CB"/>
    <w:rsid w:val="5DC82230"/>
    <w:rsid w:val="5DD63AC6"/>
    <w:rsid w:val="5E0037FD"/>
    <w:rsid w:val="5E3C65CD"/>
    <w:rsid w:val="5E7C4D34"/>
    <w:rsid w:val="5E960581"/>
    <w:rsid w:val="5FEA69EB"/>
    <w:rsid w:val="607641C6"/>
    <w:rsid w:val="609603C4"/>
    <w:rsid w:val="60A06A72"/>
    <w:rsid w:val="60AA20C1"/>
    <w:rsid w:val="60E2732E"/>
    <w:rsid w:val="60FD5EC0"/>
    <w:rsid w:val="610B7004"/>
    <w:rsid w:val="61572621"/>
    <w:rsid w:val="616D0E78"/>
    <w:rsid w:val="616E494E"/>
    <w:rsid w:val="61736957"/>
    <w:rsid w:val="62314848"/>
    <w:rsid w:val="623F2914"/>
    <w:rsid w:val="62851A7B"/>
    <w:rsid w:val="62BC7E8A"/>
    <w:rsid w:val="63161C90"/>
    <w:rsid w:val="63247F09"/>
    <w:rsid w:val="637E751D"/>
    <w:rsid w:val="638C00E4"/>
    <w:rsid w:val="638C3D00"/>
    <w:rsid w:val="63A31776"/>
    <w:rsid w:val="642145AD"/>
    <w:rsid w:val="64354398"/>
    <w:rsid w:val="64730B57"/>
    <w:rsid w:val="64A77A42"/>
    <w:rsid w:val="64D57D88"/>
    <w:rsid w:val="64D709C5"/>
    <w:rsid w:val="65036133"/>
    <w:rsid w:val="65362BDA"/>
    <w:rsid w:val="65AC068A"/>
    <w:rsid w:val="65EB11B2"/>
    <w:rsid w:val="669015B7"/>
    <w:rsid w:val="66A17AC3"/>
    <w:rsid w:val="66C043ED"/>
    <w:rsid w:val="66D772C4"/>
    <w:rsid w:val="66EE7979"/>
    <w:rsid w:val="66EF5AF8"/>
    <w:rsid w:val="674A094A"/>
    <w:rsid w:val="6770036D"/>
    <w:rsid w:val="67B00EEE"/>
    <w:rsid w:val="67DB0DB2"/>
    <w:rsid w:val="67ED71FD"/>
    <w:rsid w:val="67FC76A6"/>
    <w:rsid w:val="68543E5E"/>
    <w:rsid w:val="685E5C6B"/>
    <w:rsid w:val="68703BF0"/>
    <w:rsid w:val="68826ACC"/>
    <w:rsid w:val="68863414"/>
    <w:rsid w:val="68D53CDB"/>
    <w:rsid w:val="691358AB"/>
    <w:rsid w:val="691737EF"/>
    <w:rsid w:val="69554A42"/>
    <w:rsid w:val="69643755"/>
    <w:rsid w:val="697D0373"/>
    <w:rsid w:val="69894F6A"/>
    <w:rsid w:val="699509B7"/>
    <w:rsid w:val="6A0F1D94"/>
    <w:rsid w:val="6A1C2F60"/>
    <w:rsid w:val="6A2912F9"/>
    <w:rsid w:val="6A527A52"/>
    <w:rsid w:val="6A752A5B"/>
    <w:rsid w:val="6B0F628A"/>
    <w:rsid w:val="6B1E137F"/>
    <w:rsid w:val="6B2C262A"/>
    <w:rsid w:val="6B4B0599"/>
    <w:rsid w:val="6B6E5468"/>
    <w:rsid w:val="6B9320D0"/>
    <w:rsid w:val="6BD61FBC"/>
    <w:rsid w:val="6BE95765"/>
    <w:rsid w:val="6C475B83"/>
    <w:rsid w:val="6C6E7319"/>
    <w:rsid w:val="6C8934D3"/>
    <w:rsid w:val="6C8D3B4B"/>
    <w:rsid w:val="6CCF6157"/>
    <w:rsid w:val="6D21370B"/>
    <w:rsid w:val="6D255D0D"/>
    <w:rsid w:val="6D2B6338"/>
    <w:rsid w:val="6D8A6691"/>
    <w:rsid w:val="6DC62913"/>
    <w:rsid w:val="6DE81093"/>
    <w:rsid w:val="6E1B45FE"/>
    <w:rsid w:val="6E296DAE"/>
    <w:rsid w:val="6E6054CF"/>
    <w:rsid w:val="6EBF7433"/>
    <w:rsid w:val="6EDF7C07"/>
    <w:rsid w:val="6EE7296D"/>
    <w:rsid w:val="6F0D111A"/>
    <w:rsid w:val="6F276F30"/>
    <w:rsid w:val="6F55769C"/>
    <w:rsid w:val="6F5C3995"/>
    <w:rsid w:val="6FB10D76"/>
    <w:rsid w:val="6FBE2F8F"/>
    <w:rsid w:val="6FE23C3A"/>
    <w:rsid w:val="6FF13869"/>
    <w:rsid w:val="6FFD3FBC"/>
    <w:rsid w:val="70B64CD9"/>
    <w:rsid w:val="70CE1F7A"/>
    <w:rsid w:val="70DE6FFB"/>
    <w:rsid w:val="70EB650A"/>
    <w:rsid w:val="70F57389"/>
    <w:rsid w:val="71161F56"/>
    <w:rsid w:val="715F2A54"/>
    <w:rsid w:val="71750972"/>
    <w:rsid w:val="7185561A"/>
    <w:rsid w:val="71A548A6"/>
    <w:rsid w:val="71F820D6"/>
    <w:rsid w:val="724C4250"/>
    <w:rsid w:val="72A36E41"/>
    <w:rsid w:val="72B1518D"/>
    <w:rsid w:val="72DB610A"/>
    <w:rsid w:val="72FD2525"/>
    <w:rsid w:val="72FE14BF"/>
    <w:rsid w:val="731A007D"/>
    <w:rsid w:val="733446AD"/>
    <w:rsid w:val="73497518"/>
    <w:rsid w:val="7363682B"/>
    <w:rsid w:val="738467A2"/>
    <w:rsid w:val="74230FF4"/>
    <w:rsid w:val="744A3547"/>
    <w:rsid w:val="74506A0E"/>
    <w:rsid w:val="74510C07"/>
    <w:rsid w:val="747B454C"/>
    <w:rsid w:val="749A6E45"/>
    <w:rsid w:val="74B46920"/>
    <w:rsid w:val="74DD3870"/>
    <w:rsid w:val="74DE5DD9"/>
    <w:rsid w:val="74EE4F33"/>
    <w:rsid w:val="750E0A19"/>
    <w:rsid w:val="751F6782"/>
    <w:rsid w:val="754B3A1B"/>
    <w:rsid w:val="7582336F"/>
    <w:rsid w:val="75D302FB"/>
    <w:rsid w:val="75D7705D"/>
    <w:rsid w:val="75E55F4D"/>
    <w:rsid w:val="75F53987"/>
    <w:rsid w:val="764304AB"/>
    <w:rsid w:val="766A4BBD"/>
    <w:rsid w:val="766E79D6"/>
    <w:rsid w:val="7671125F"/>
    <w:rsid w:val="768076F4"/>
    <w:rsid w:val="769136B0"/>
    <w:rsid w:val="76AB57A0"/>
    <w:rsid w:val="7763329E"/>
    <w:rsid w:val="778356EE"/>
    <w:rsid w:val="778B071D"/>
    <w:rsid w:val="77985FBE"/>
    <w:rsid w:val="77C677ED"/>
    <w:rsid w:val="77F710EB"/>
    <w:rsid w:val="782102D7"/>
    <w:rsid w:val="78280044"/>
    <w:rsid w:val="7848178C"/>
    <w:rsid w:val="78C6353E"/>
    <w:rsid w:val="78CD7367"/>
    <w:rsid w:val="791349A0"/>
    <w:rsid w:val="796230E1"/>
    <w:rsid w:val="79825532"/>
    <w:rsid w:val="79894B12"/>
    <w:rsid w:val="798A4233"/>
    <w:rsid w:val="79B25E17"/>
    <w:rsid w:val="79C432CC"/>
    <w:rsid w:val="7A120583"/>
    <w:rsid w:val="7A131A5F"/>
    <w:rsid w:val="7A392094"/>
    <w:rsid w:val="7A7E219D"/>
    <w:rsid w:val="7ACB4CB6"/>
    <w:rsid w:val="7B2811A6"/>
    <w:rsid w:val="7B3F373C"/>
    <w:rsid w:val="7BBC11CF"/>
    <w:rsid w:val="7BD5403F"/>
    <w:rsid w:val="7C1C6A9B"/>
    <w:rsid w:val="7C3E7E36"/>
    <w:rsid w:val="7C6F0276"/>
    <w:rsid w:val="7C717CE9"/>
    <w:rsid w:val="7C947A56"/>
    <w:rsid w:val="7D1E37C3"/>
    <w:rsid w:val="7D642E2E"/>
    <w:rsid w:val="7D6E4B7A"/>
    <w:rsid w:val="7D7B08DA"/>
    <w:rsid w:val="7DCF1A52"/>
    <w:rsid w:val="7DE939CB"/>
    <w:rsid w:val="7DEB53FA"/>
    <w:rsid w:val="7DF74740"/>
    <w:rsid w:val="7DF96991"/>
    <w:rsid w:val="7E140B0F"/>
    <w:rsid w:val="7E2552E0"/>
    <w:rsid w:val="7E296EED"/>
    <w:rsid w:val="7E2E3EDA"/>
    <w:rsid w:val="7E491FC4"/>
    <w:rsid w:val="7E4C369D"/>
    <w:rsid w:val="7E835FD4"/>
    <w:rsid w:val="7EEC1DCB"/>
    <w:rsid w:val="7F364DF4"/>
    <w:rsid w:val="7F7B4EFD"/>
    <w:rsid w:val="7F8A3392"/>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outlineLvl w:val="2"/>
    </w:pPr>
  </w:style>
  <w:style w:type="paragraph" w:styleId="5">
    <w:name w:val="heading 4"/>
    <w:basedOn w:val="4"/>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 w:type="character" w:customStyle="1" w:styleId="65">
    <w:name w:val="ui-provider"/>
    <w:qFormat/>
    <w:uiPriority w:val="0"/>
  </w:style>
  <w:style w:type="paragraph" w:customStyle="1" w:styleId="66">
    <w:name w:val="リスト段落1"/>
    <w:basedOn w:val="1"/>
    <w:qFormat/>
    <w:uiPriority w:val="34"/>
    <w:pPr>
      <w:ind w:left="720"/>
    </w:pPr>
    <w:rPr>
      <w:rFonts w:ascii="Times New Roman" w:hAnsi="Times New Roman" w:eastAsia="宋体"/>
      <w:lang w:val="en-US"/>
    </w:rPr>
  </w:style>
  <w:style w:type="paragraph" w:customStyle="1" w:styleId="67">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455</Words>
  <Characters>2595</Characters>
  <Lines>21</Lines>
  <Paragraphs>6</Paragraphs>
  <TotalTime>0</TotalTime>
  <ScaleCrop>false</ScaleCrop>
  <LinksUpToDate>false</LinksUpToDate>
  <CharactersWithSpaces>3044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2024-08-09T06:34:03Z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2052-12.1.0.15374</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ies>
</file>