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90D762" w14:textId="62BB9A3D"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r>
        <w:rPr>
          <w:rFonts w:eastAsia="Malgun Gothic"/>
          <w:b/>
          <w:bCs/>
          <w:sz w:val="28"/>
        </w:rPr>
        <w:t>3GPP TSG RAN WG</w:t>
      </w:r>
      <w:r w:rsidR="00936CFA">
        <w:rPr>
          <w:rFonts w:eastAsia="Malgun Gothic"/>
          <w:b/>
          <w:bCs/>
          <w:sz w:val="28"/>
        </w:rPr>
        <w:t>4</w:t>
      </w:r>
      <w:r>
        <w:rPr>
          <w:rFonts w:eastAsia="Malgun Gothic"/>
          <w:b/>
          <w:bCs/>
          <w:sz w:val="28"/>
        </w:rPr>
        <w:t xml:space="preserve"> Meeting #</w:t>
      </w:r>
      <w:r w:rsidR="004447C5">
        <w:rPr>
          <w:rFonts w:eastAsia="Malgun Gothic"/>
          <w:b/>
          <w:bCs/>
          <w:sz w:val="28"/>
        </w:rPr>
        <w:t>1</w:t>
      </w:r>
      <w:r w:rsidR="00936CFA">
        <w:rPr>
          <w:rFonts w:eastAsia="Malgun Gothic"/>
          <w:b/>
          <w:bCs/>
          <w:sz w:val="28"/>
        </w:rPr>
        <w:t>12</w:t>
      </w:r>
      <w:r w:rsidRPr="00B91A9F">
        <w:rPr>
          <w:rFonts w:eastAsia="Malgun Gothic"/>
          <w:b/>
          <w:bCs/>
          <w:sz w:val="28"/>
        </w:rPr>
        <w:tab/>
        <w:t>R</w:t>
      </w:r>
      <w:r w:rsidR="00891713">
        <w:rPr>
          <w:rFonts w:eastAsia="Malgun Gothic"/>
          <w:b/>
          <w:bCs/>
          <w:sz w:val="28"/>
        </w:rPr>
        <w:t>4</w:t>
      </w:r>
      <w:r w:rsidRPr="00B91A9F">
        <w:rPr>
          <w:rFonts w:eastAsia="Malgun Gothic"/>
          <w:b/>
          <w:bCs/>
          <w:sz w:val="28"/>
        </w:rPr>
        <w:t>-</w:t>
      </w:r>
      <w:r w:rsidR="008457F2" w:rsidRPr="00B91A9F">
        <w:rPr>
          <w:rFonts w:eastAsia="Malgun Gothic"/>
          <w:b/>
          <w:bCs/>
          <w:sz w:val="28"/>
        </w:rPr>
        <w:t>2</w:t>
      </w:r>
      <w:r w:rsidR="004447C5">
        <w:rPr>
          <w:rFonts w:eastAsia="Malgun Gothic"/>
          <w:b/>
          <w:bCs/>
          <w:sz w:val="28"/>
        </w:rPr>
        <w:t>4</w:t>
      </w:r>
      <w:r w:rsidR="00142CFE">
        <w:rPr>
          <w:rFonts w:eastAsia="Malgun Gothic"/>
          <w:b/>
          <w:bCs/>
          <w:sz w:val="28"/>
        </w:rPr>
        <w:t>11531</w:t>
      </w:r>
    </w:p>
    <w:p w14:paraId="32A39083" w14:textId="710BC474" w:rsidR="00FC11C7" w:rsidRPr="00B91A9F" w:rsidRDefault="004447C5"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Maastricht</w:t>
      </w:r>
      <w:r w:rsidR="00FC11C7" w:rsidRPr="00B91A9F">
        <w:rPr>
          <w:rFonts w:eastAsia="Malgun Gothic"/>
          <w:b/>
          <w:bCs/>
          <w:sz w:val="28"/>
          <w:lang w:eastAsia="ko-KR"/>
        </w:rPr>
        <w:t>,</w:t>
      </w:r>
      <w:r w:rsidR="00BB7E99">
        <w:rPr>
          <w:rFonts w:eastAsia="Malgun Gothic"/>
          <w:b/>
          <w:bCs/>
          <w:sz w:val="28"/>
          <w:lang w:eastAsia="ko-KR"/>
        </w:rPr>
        <w:t xml:space="preserve"> </w:t>
      </w:r>
      <w:r>
        <w:rPr>
          <w:rFonts w:eastAsia="Malgun Gothic"/>
          <w:b/>
          <w:bCs/>
          <w:sz w:val="28"/>
          <w:lang w:eastAsia="ko-KR"/>
        </w:rPr>
        <w:t>Netherlands</w:t>
      </w:r>
      <w:r w:rsidR="00BB7E99">
        <w:rPr>
          <w:rFonts w:eastAsia="Malgun Gothic"/>
          <w:b/>
          <w:bCs/>
          <w:sz w:val="28"/>
          <w:lang w:eastAsia="ko-KR"/>
        </w:rPr>
        <w:t>,</w:t>
      </w:r>
      <w:r w:rsidR="00FC11C7" w:rsidRPr="00B91A9F">
        <w:rPr>
          <w:rFonts w:eastAsia="Malgun Gothic"/>
          <w:b/>
          <w:bCs/>
          <w:sz w:val="28"/>
          <w:lang w:eastAsia="ko-KR"/>
        </w:rPr>
        <w:t xml:space="preserve"> </w:t>
      </w:r>
      <w:r>
        <w:rPr>
          <w:rFonts w:eastAsia="Malgun Gothic"/>
          <w:b/>
          <w:bCs/>
          <w:sz w:val="28"/>
          <w:lang w:eastAsia="ko-KR"/>
        </w:rPr>
        <w:t>19</w:t>
      </w:r>
      <w:r>
        <w:rPr>
          <w:rFonts w:eastAsia="Malgun Gothic"/>
          <w:b/>
          <w:bCs/>
          <w:sz w:val="28"/>
          <w:vertAlign w:val="superscript"/>
          <w:lang w:eastAsia="ko-KR"/>
        </w:rPr>
        <w:t>th</w:t>
      </w:r>
      <w:r w:rsidR="00D001ED">
        <w:rPr>
          <w:rFonts w:eastAsia="Malgun Gothic"/>
          <w:b/>
          <w:bCs/>
          <w:sz w:val="28"/>
          <w:lang w:eastAsia="ko-KR"/>
        </w:rPr>
        <w:tab/>
        <w:t xml:space="preserve"> </w:t>
      </w:r>
      <w:r w:rsidR="00FB7B77" w:rsidRPr="00FB7B77">
        <w:rPr>
          <w:rFonts w:eastAsia="Malgun Gothic"/>
          <w:b/>
          <w:bCs/>
          <w:sz w:val="28"/>
          <w:lang w:eastAsia="ko-KR"/>
        </w:rPr>
        <w:t xml:space="preserve">– </w:t>
      </w:r>
      <w:r>
        <w:rPr>
          <w:rFonts w:eastAsia="Malgun Gothic"/>
          <w:b/>
          <w:bCs/>
          <w:sz w:val="28"/>
          <w:lang w:eastAsia="ko-KR"/>
        </w:rPr>
        <w:t>23</w:t>
      </w:r>
      <w:r>
        <w:rPr>
          <w:rFonts w:eastAsia="Malgun Gothic"/>
          <w:b/>
          <w:bCs/>
          <w:sz w:val="28"/>
          <w:vertAlign w:val="superscript"/>
          <w:lang w:eastAsia="ko-KR"/>
        </w:rPr>
        <w:t>rd</w:t>
      </w:r>
      <w:r>
        <w:rPr>
          <w:rFonts w:eastAsia="Malgun Gothic"/>
          <w:b/>
          <w:bCs/>
          <w:sz w:val="28"/>
          <w:lang w:eastAsia="ko-KR"/>
        </w:rPr>
        <w:t xml:space="preserve"> August</w:t>
      </w:r>
      <w:r w:rsidR="00FB7B77" w:rsidRPr="00FB7B77">
        <w:rPr>
          <w:rFonts w:eastAsia="Malgun Gothic"/>
          <w:b/>
          <w:bCs/>
          <w:sz w:val="28"/>
          <w:lang w:eastAsia="ko-KR"/>
        </w:rPr>
        <w:t xml:space="preserve"> 202</w:t>
      </w:r>
      <w:r>
        <w:rPr>
          <w:rFonts w:eastAsia="Malgun Gothic"/>
          <w:b/>
          <w:bCs/>
          <w:sz w:val="28"/>
          <w:lang w:eastAsia="ko-KR"/>
        </w:rPr>
        <w:t>4</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2583E593" w:rsidR="00B81FC7" w:rsidRPr="003C6EB1" w:rsidRDefault="00B81FC7" w:rsidP="008159B1">
      <w:pPr>
        <w:ind w:left="2160" w:hanging="2160"/>
        <w:rPr>
          <w:lang w:val="en-GB"/>
        </w:rPr>
      </w:pPr>
      <w:r w:rsidRPr="00DE4417">
        <w:rPr>
          <w:b/>
          <w:lang w:val="en-GB"/>
        </w:rPr>
        <w:t>Title:</w:t>
      </w:r>
      <w:r w:rsidRPr="00DE4417">
        <w:rPr>
          <w:b/>
          <w:lang w:val="en-GB"/>
        </w:rPr>
        <w:tab/>
      </w:r>
      <w:r w:rsidR="00034124">
        <w:rPr>
          <w:lang w:val="en-GB"/>
        </w:rPr>
        <w:t xml:space="preserve">Discussion on </w:t>
      </w:r>
      <w:r w:rsidR="004753DC">
        <w:rPr>
          <w:lang w:val="en-GB"/>
        </w:rPr>
        <w:t>STxMP measurement limitations</w:t>
      </w:r>
    </w:p>
    <w:p w14:paraId="75E65FB7" w14:textId="662B0DDC"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6D29C0">
        <w:rPr>
          <w:lang w:val="en-GB"/>
        </w:rPr>
        <w:t>8.13.2</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Heading1"/>
        <w:rPr>
          <w:rFonts w:cs="Arial"/>
        </w:rPr>
      </w:pPr>
      <w:r w:rsidRPr="00DE4417">
        <w:rPr>
          <w:rFonts w:cs="Arial"/>
        </w:rPr>
        <w:t>Introduction</w:t>
      </w:r>
    </w:p>
    <w:p w14:paraId="4919A8F7" w14:textId="604AF16B" w:rsidR="00196262" w:rsidRDefault="0074717F" w:rsidP="00196262">
      <w:pPr>
        <w:rPr>
          <w:lang w:val="en-GB" w:eastAsia="en-US"/>
        </w:rPr>
      </w:pPr>
      <w:r>
        <w:rPr>
          <w:lang w:val="en-GB" w:eastAsia="en-US"/>
        </w:rPr>
        <w:t>In this paper we discuss a brief analysis of possible restrictions to signal level conditions when it comes to receiving the signals from a STxMP transmission on a single antenna</w:t>
      </w:r>
      <w:r w:rsidR="004034EE">
        <w:rPr>
          <w:lang w:val="en-GB" w:eastAsia="en-US"/>
        </w:rPr>
        <w:t xml:space="preserve"> based on the agreements in [1].</w:t>
      </w:r>
    </w:p>
    <w:p w14:paraId="188F9162" w14:textId="0FA4A682" w:rsidR="003442BC" w:rsidRDefault="002A659B" w:rsidP="003442BC">
      <w:pPr>
        <w:pStyle w:val="Heading1"/>
        <w:rPr>
          <w:rFonts w:cs="Arial"/>
        </w:rPr>
      </w:pPr>
      <w:bookmarkStart w:id="1" w:name="OLE_LINK10"/>
      <w:bookmarkStart w:id="2" w:name="OLE_LINK11"/>
      <w:r w:rsidRPr="00DE4417">
        <w:rPr>
          <w:rFonts w:cs="Arial"/>
        </w:rPr>
        <w:t>Discussion</w:t>
      </w:r>
    </w:p>
    <w:p w14:paraId="3A94913C" w14:textId="7EC481B7" w:rsidR="002A3C1E" w:rsidRDefault="0074717F" w:rsidP="002A3C1E">
      <w:pPr>
        <w:rPr>
          <w:lang w:val="en-GB" w:eastAsia="en-US"/>
        </w:rPr>
      </w:pPr>
      <w:r>
        <w:rPr>
          <w:lang w:val="en-GB" w:eastAsia="en-US"/>
        </w:rPr>
        <w:t>During last RAN4 meeting as part of the Way forward [1] the following was agreed:</w:t>
      </w:r>
    </w:p>
    <w:p w14:paraId="318689C5" w14:textId="77777777" w:rsidR="0074717F" w:rsidRPr="0074717F" w:rsidRDefault="0074717F" w:rsidP="0074717F">
      <w:pPr>
        <w:rPr>
          <w:b/>
          <w:i/>
          <w:iCs/>
          <w:sz w:val="20"/>
          <w:szCs w:val="20"/>
          <w:highlight w:val="lightGray"/>
          <w:u w:val="single"/>
          <w:lang w:val="en-GB" w:eastAsia="en-US"/>
        </w:rPr>
      </w:pPr>
      <w:r w:rsidRPr="0074717F">
        <w:rPr>
          <w:b/>
          <w:i/>
          <w:iCs/>
          <w:sz w:val="20"/>
          <w:szCs w:val="20"/>
          <w:highlight w:val="lightGray"/>
          <w:u w:val="single"/>
          <w:lang w:val="en-GB" w:eastAsia="en-US"/>
        </w:rPr>
        <w:t>Issue 1-1-1: Signal level condition for measuring/distinguishing EIRP per TCI</w:t>
      </w:r>
    </w:p>
    <w:p w14:paraId="11601ECA" w14:textId="77777777" w:rsidR="0074717F" w:rsidRPr="0074717F" w:rsidRDefault="0074717F" w:rsidP="0074717F">
      <w:pPr>
        <w:numPr>
          <w:ilvl w:val="0"/>
          <w:numId w:val="19"/>
        </w:numPr>
        <w:rPr>
          <w:i/>
          <w:iCs/>
          <w:sz w:val="20"/>
          <w:szCs w:val="20"/>
          <w:highlight w:val="lightGray"/>
          <w:lang w:val="en-GB" w:eastAsia="en-US"/>
        </w:rPr>
      </w:pPr>
      <w:r w:rsidRPr="0074717F">
        <w:rPr>
          <w:i/>
          <w:iCs/>
          <w:sz w:val="20"/>
          <w:szCs w:val="20"/>
          <w:highlight w:val="lightGray"/>
          <w:lang w:val="en-GB" w:eastAsia="en-US"/>
        </w:rPr>
        <w:t>Agreement:</w:t>
      </w:r>
    </w:p>
    <w:p w14:paraId="2F89E527" w14:textId="77777777" w:rsidR="0074717F" w:rsidRPr="0074717F" w:rsidRDefault="0074717F" w:rsidP="0074717F">
      <w:pPr>
        <w:numPr>
          <w:ilvl w:val="1"/>
          <w:numId w:val="19"/>
        </w:numPr>
        <w:rPr>
          <w:i/>
          <w:iCs/>
          <w:sz w:val="20"/>
          <w:szCs w:val="20"/>
          <w:highlight w:val="lightGray"/>
          <w:lang w:val="en-GB" w:eastAsia="en-US"/>
        </w:rPr>
      </w:pPr>
      <w:r w:rsidRPr="0074717F">
        <w:rPr>
          <w:i/>
          <w:iCs/>
          <w:sz w:val="20"/>
          <w:szCs w:val="20"/>
          <w:highlight w:val="lightGray"/>
          <w:lang w:val="en-GB" w:eastAsia="en-US"/>
        </w:rPr>
        <w:t>RAN4 assume TE has the capability of distinguishing EIRP per TCI with the configuration of rank 2 PUSCH transmission in EIRP measurement of STxMP. under SDM scheme to further study the test methodology</w:t>
      </w:r>
    </w:p>
    <w:p w14:paraId="5828E4BB" w14:textId="77777777" w:rsidR="0074717F" w:rsidRPr="0074717F" w:rsidRDefault="0074717F" w:rsidP="0074717F">
      <w:pPr>
        <w:numPr>
          <w:ilvl w:val="1"/>
          <w:numId w:val="19"/>
        </w:numPr>
        <w:rPr>
          <w:i/>
          <w:iCs/>
          <w:sz w:val="20"/>
          <w:szCs w:val="20"/>
          <w:highlight w:val="lightGray"/>
          <w:lang w:val="en-GB" w:eastAsia="en-US"/>
        </w:rPr>
      </w:pPr>
      <w:r w:rsidRPr="0074717F">
        <w:rPr>
          <w:i/>
          <w:iCs/>
          <w:sz w:val="20"/>
          <w:szCs w:val="20"/>
          <w:highlight w:val="lightGray"/>
          <w:lang w:val="en-GB" w:eastAsia="en-US"/>
        </w:rPr>
        <w:t>Signal level conditions (e.g., SNR, power imbalance) and test procedure need to be further checked.</w:t>
      </w:r>
    </w:p>
    <w:p w14:paraId="33DBB26D" w14:textId="77777777" w:rsidR="0074717F" w:rsidRPr="0074717F" w:rsidRDefault="0074717F" w:rsidP="0074717F">
      <w:pPr>
        <w:numPr>
          <w:ilvl w:val="1"/>
          <w:numId w:val="19"/>
        </w:numPr>
        <w:rPr>
          <w:i/>
          <w:iCs/>
          <w:sz w:val="20"/>
          <w:szCs w:val="20"/>
          <w:highlight w:val="lightGray"/>
          <w:lang w:val="en-GB" w:eastAsia="en-US"/>
        </w:rPr>
      </w:pPr>
      <w:r w:rsidRPr="0074717F">
        <w:rPr>
          <w:i/>
          <w:iCs/>
          <w:sz w:val="20"/>
          <w:szCs w:val="20"/>
          <w:highlight w:val="lightGray"/>
          <w:lang w:val="en-GB" w:eastAsia="en-US"/>
        </w:rPr>
        <w:t>RAN4 to conclude the feasibility issue in next meeting.</w:t>
      </w:r>
    </w:p>
    <w:p w14:paraId="531413F1" w14:textId="72C0BDF1" w:rsidR="0074717F" w:rsidRDefault="0074717F" w:rsidP="002A3C1E">
      <w:pPr>
        <w:rPr>
          <w:lang w:val="en-GB" w:eastAsia="en-US"/>
        </w:rPr>
      </w:pPr>
      <w:r>
        <w:rPr>
          <w:lang w:val="en-GB" w:eastAsia="en-US"/>
        </w:rPr>
        <w:t>To investigate that issue we emulated two separate UL signals</w:t>
      </w:r>
      <w:r w:rsidR="00950B79">
        <w:rPr>
          <w:lang w:val="en-GB" w:eastAsia="en-US"/>
        </w:rPr>
        <w:t xml:space="preserve"> with the help of a signal generator</w:t>
      </w:r>
      <w:r>
        <w:rPr>
          <w:lang w:val="en-GB" w:eastAsia="en-US"/>
        </w:rPr>
        <w:t xml:space="preserve"> and measured </w:t>
      </w:r>
      <w:r w:rsidR="00950B79">
        <w:rPr>
          <w:lang w:val="en-GB" w:eastAsia="en-US"/>
        </w:rPr>
        <w:t>the signal</w:t>
      </w:r>
      <w:r>
        <w:rPr>
          <w:lang w:val="en-GB" w:eastAsia="en-US"/>
        </w:rPr>
        <w:t xml:space="preserve"> as it would happen during the TC for STxMP.</w:t>
      </w:r>
    </w:p>
    <w:p w14:paraId="18DCC60B" w14:textId="2DD5CB7A" w:rsidR="0074717F" w:rsidRDefault="0074717F" w:rsidP="002A3C1E">
      <w:pPr>
        <w:rPr>
          <w:lang w:val="en-GB" w:eastAsia="en-US"/>
        </w:rPr>
      </w:pPr>
      <w:r>
        <w:rPr>
          <w:lang w:val="en-GB" w:eastAsia="en-US"/>
        </w:rPr>
        <w:t>The power of one of the UL signals was then reduced in 0.5 dB steps to simulate different signal conditions at the receiving TE antenna, e.g. for cases where a different main/side lobes of the transmitted signal from the UE overlap.</w:t>
      </w:r>
    </w:p>
    <w:p w14:paraId="7ED369CF" w14:textId="56225403" w:rsidR="004034EE" w:rsidRDefault="0074717F" w:rsidP="002A3C1E">
      <w:pPr>
        <w:rPr>
          <w:lang w:val="en-GB" w:eastAsia="en-US"/>
        </w:rPr>
      </w:pPr>
      <w:r>
        <w:rPr>
          <w:lang w:val="en-GB" w:eastAsia="en-US"/>
        </w:rPr>
        <w:t xml:space="preserve">Figure 1 shows EVM measurements for the 2 transmitted signal </w:t>
      </w:r>
      <w:r w:rsidR="004753DC">
        <w:rPr>
          <w:lang w:val="en-GB" w:eastAsia="en-US"/>
        </w:rPr>
        <w:t xml:space="preserve">plotted versus the difference in power level of the two transmitted signals. </w:t>
      </w:r>
      <w:r w:rsidR="004034EE">
        <w:rPr>
          <w:lang w:val="en-GB" w:eastAsia="en-US"/>
        </w:rPr>
        <w:t>The EVM measurement has been chosen as the metric, to detect potential synchronization issues in the measurement.</w:t>
      </w:r>
    </w:p>
    <w:p w14:paraId="635273F8" w14:textId="5CEDB6AD" w:rsidR="004753DC" w:rsidRDefault="004753DC" w:rsidP="002A3C1E">
      <w:pPr>
        <w:rPr>
          <w:lang w:val="en-GB" w:eastAsia="en-US"/>
        </w:rPr>
      </w:pPr>
      <w:r>
        <w:rPr>
          <w:lang w:val="en-GB" w:eastAsia="en-US"/>
        </w:rPr>
        <w:t>From the graph it can be seen that the EVM of the fixed level high power signal (blue) is constant, while the curve of the constantly lowered signal</w:t>
      </w:r>
      <w:r w:rsidR="00A1726A">
        <w:rPr>
          <w:lang w:val="en-GB" w:eastAsia="en-US"/>
        </w:rPr>
        <w:t xml:space="preserve"> (green)</w:t>
      </w:r>
      <w:r>
        <w:rPr>
          <w:lang w:val="en-GB" w:eastAsia="en-US"/>
        </w:rPr>
        <w:t xml:space="preserve"> increases the lower the power of the signal becomes. This is mainly driven by the fact that the </w:t>
      </w:r>
      <w:r w:rsidR="00A1726A">
        <w:rPr>
          <w:lang w:val="en-GB" w:eastAsia="en-US"/>
        </w:rPr>
        <w:t xml:space="preserve">reference </w:t>
      </w:r>
      <w:r>
        <w:rPr>
          <w:lang w:val="en-GB" w:eastAsia="en-US"/>
        </w:rPr>
        <w:t xml:space="preserve">level of the </w:t>
      </w:r>
      <w:r w:rsidR="00A1726A">
        <w:rPr>
          <w:lang w:val="en-GB" w:eastAsia="en-US"/>
        </w:rPr>
        <w:t xml:space="preserve">receiver in the </w:t>
      </w:r>
      <w:r>
        <w:rPr>
          <w:lang w:val="en-GB" w:eastAsia="en-US"/>
        </w:rPr>
        <w:t xml:space="preserve">test </w:t>
      </w:r>
      <w:r w:rsidR="00A1726A">
        <w:rPr>
          <w:lang w:val="en-GB" w:eastAsia="en-US"/>
        </w:rPr>
        <w:t>equipment</w:t>
      </w:r>
      <w:r>
        <w:rPr>
          <w:lang w:val="en-GB" w:eastAsia="en-US"/>
        </w:rPr>
        <w:t xml:space="preserve"> needs to be set according to the high power signal, so not to overdrive and </w:t>
      </w:r>
      <w:r>
        <w:rPr>
          <w:lang w:val="en-GB" w:eastAsia="en-US"/>
        </w:rPr>
        <w:lastRenderedPageBreak/>
        <w:t>damage the TE. However, even up to a difference of 40 dB between the signals no synch errors or similar problems are observed.</w:t>
      </w:r>
      <w:r w:rsidR="008B7A9E">
        <w:rPr>
          <w:lang w:val="en-GB" w:eastAsia="en-US"/>
        </w:rPr>
        <w:t xml:space="preserve"> </w:t>
      </w:r>
    </w:p>
    <w:p w14:paraId="4D30C395" w14:textId="77777777" w:rsidR="0074717F" w:rsidRDefault="0074717F" w:rsidP="0074717F">
      <w:pPr>
        <w:keepNext/>
      </w:pPr>
      <w:r w:rsidRPr="0074717F">
        <w:rPr>
          <w:noProof/>
          <w:lang w:val="de-DE" w:eastAsia="en-US"/>
        </w:rPr>
        <w:drawing>
          <wp:inline distT="0" distB="0" distL="0" distR="0" wp14:anchorId="4743D076" wp14:editId="06B34910">
            <wp:extent cx="5943600" cy="3764280"/>
            <wp:effectExtent l="0" t="0" r="0" b="7620"/>
            <wp:docPr id="111433876" name="Picture 2" descr="A graph with a green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33876" name="Picture 2" descr="A graph with a green lin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764280"/>
                    </a:xfrm>
                    <a:prstGeom prst="rect">
                      <a:avLst/>
                    </a:prstGeom>
                    <a:noFill/>
                    <a:ln>
                      <a:noFill/>
                    </a:ln>
                  </pic:spPr>
                </pic:pic>
              </a:graphicData>
            </a:graphic>
          </wp:inline>
        </w:drawing>
      </w:r>
    </w:p>
    <w:p w14:paraId="0FA116B0" w14:textId="681C3BD6" w:rsidR="0074717F" w:rsidRPr="0074717F" w:rsidRDefault="0074717F" w:rsidP="0074717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EVM measurement of received signal 1 &amp; 2</w:t>
      </w:r>
    </w:p>
    <w:p w14:paraId="0F027D49" w14:textId="5AC1F3A8" w:rsidR="004753DC" w:rsidRDefault="004753DC" w:rsidP="004753DC">
      <w:pPr>
        <w:rPr>
          <w:lang w:val="en-GB"/>
        </w:rPr>
      </w:pPr>
      <w:r w:rsidRPr="0036229F">
        <w:rPr>
          <w:b/>
          <w:lang w:val="en-GB"/>
        </w:rPr>
        <w:t>Observation 1:</w:t>
      </w:r>
      <w:r w:rsidRPr="0036229F">
        <w:rPr>
          <w:lang w:val="en-GB"/>
        </w:rPr>
        <w:t xml:space="preserve"> </w:t>
      </w:r>
      <w:r>
        <w:rPr>
          <w:lang w:val="en-GB"/>
        </w:rPr>
        <w:t>No synchronisation errors are observed for up to 40 dB difference in signal power.</w:t>
      </w:r>
    </w:p>
    <w:p w14:paraId="6563FAE7" w14:textId="474B37AB" w:rsidR="004034EE" w:rsidRDefault="004034EE" w:rsidP="004753DC">
      <w:pPr>
        <w:rPr>
          <w:lang w:val="en-GB"/>
        </w:rPr>
      </w:pPr>
      <w:r w:rsidRPr="004034EE">
        <w:rPr>
          <w:b/>
          <w:bCs/>
          <w:lang w:val="en-GB"/>
        </w:rPr>
        <w:t>Proposal 1:</w:t>
      </w:r>
      <w:r>
        <w:rPr>
          <w:b/>
          <w:bCs/>
          <w:lang w:val="en-GB"/>
        </w:rPr>
        <w:t xml:space="preserve"> </w:t>
      </w:r>
      <w:r>
        <w:rPr>
          <w:lang w:val="en-GB"/>
        </w:rPr>
        <w:t>RAN4 shall conclude that the test of the STxMP is feasible up to a power difference of 40 dB.</w:t>
      </w:r>
    </w:p>
    <w:p w14:paraId="370D4716" w14:textId="0B104E65" w:rsidR="004034EE" w:rsidRPr="004034EE" w:rsidRDefault="004647FB" w:rsidP="004753DC">
      <w:pPr>
        <w:rPr>
          <w:lang w:val="en-GB"/>
        </w:rPr>
      </w:pPr>
      <w:r>
        <w:rPr>
          <w:lang w:val="en-GB"/>
        </w:rPr>
        <w:t xml:space="preserve">One other issue that might come up during the testing is related to the fact that when the power difference becomes large, the SNR of the low power signal for the low power signal will become very small, leading to an increase in the measurement uncertainty. In this scenario however, the TE can also still perform the channel estimation based on the DMRS of the signal under test (as shown above no synch errors are observed), this way the power of the signal can be measured as well. However also in this case the MU needs further investigation, since the channel estimation will only be performed on the DMRS. </w:t>
      </w:r>
    </w:p>
    <w:p w14:paraId="3AFAFAB7" w14:textId="620E504E" w:rsidR="00AE32F9" w:rsidRDefault="00AE32F9" w:rsidP="00AE32F9">
      <w:pPr>
        <w:rPr>
          <w:lang w:val="en-GB"/>
        </w:rPr>
      </w:pPr>
      <w:r w:rsidRPr="0036229F">
        <w:rPr>
          <w:b/>
          <w:lang w:val="en-GB"/>
        </w:rPr>
        <w:t xml:space="preserve">Observation </w:t>
      </w:r>
      <w:r>
        <w:rPr>
          <w:b/>
          <w:lang w:val="en-GB"/>
        </w:rPr>
        <w:t>2</w:t>
      </w:r>
      <w:r w:rsidRPr="0036229F">
        <w:rPr>
          <w:b/>
          <w:lang w:val="en-GB"/>
        </w:rPr>
        <w:t>:</w:t>
      </w:r>
      <w:r w:rsidRPr="0036229F">
        <w:rPr>
          <w:lang w:val="en-GB"/>
        </w:rPr>
        <w:t xml:space="preserve"> </w:t>
      </w:r>
      <w:r w:rsidR="004647FB">
        <w:rPr>
          <w:lang w:val="en-GB"/>
        </w:rPr>
        <w:t>MU needs further investigation especially for in case of a large power imbalance.</w:t>
      </w:r>
    </w:p>
    <w:p w14:paraId="4E0CF5DE" w14:textId="32723A78" w:rsidR="004647FB" w:rsidRDefault="004647FB" w:rsidP="004647FB">
      <w:pPr>
        <w:rPr>
          <w:lang w:val="en-GB"/>
        </w:rPr>
      </w:pPr>
      <w:r w:rsidRPr="0036229F">
        <w:rPr>
          <w:b/>
          <w:lang w:val="en-GB"/>
        </w:rPr>
        <w:t xml:space="preserve">Observation </w:t>
      </w:r>
      <w:r>
        <w:rPr>
          <w:b/>
          <w:lang w:val="en-GB"/>
        </w:rPr>
        <w:t>3</w:t>
      </w:r>
      <w:r w:rsidRPr="0036229F">
        <w:rPr>
          <w:b/>
          <w:lang w:val="en-GB"/>
        </w:rPr>
        <w:t>:</w:t>
      </w:r>
      <w:r w:rsidRPr="0036229F">
        <w:rPr>
          <w:lang w:val="en-GB"/>
        </w:rPr>
        <w:t xml:space="preserve"> </w:t>
      </w:r>
      <w:r>
        <w:rPr>
          <w:lang w:val="en-GB"/>
        </w:rPr>
        <w:t xml:space="preserve">Channel estimation of the </w:t>
      </w:r>
      <w:r w:rsidR="005E7F3B">
        <w:rPr>
          <w:lang w:val="en-GB"/>
        </w:rPr>
        <w:t>TE based on the DMRS of the signal under test can be used to measure the power of the signal under test.</w:t>
      </w:r>
    </w:p>
    <w:p w14:paraId="3D3CF858" w14:textId="77777777" w:rsidR="005E7F3B" w:rsidRDefault="005E7F3B" w:rsidP="004034EE">
      <w:pPr>
        <w:rPr>
          <w:b/>
          <w:bCs/>
          <w:lang w:val="en-GB"/>
        </w:rPr>
      </w:pPr>
    </w:p>
    <w:p w14:paraId="68F304FE" w14:textId="09C34B74" w:rsidR="005E7F3B" w:rsidRPr="005E7F3B" w:rsidRDefault="005E7F3B" w:rsidP="004753DC">
      <w:pPr>
        <w:rPr>
          <w:lang w:val="en-GB"/>
        </w:rPr>
      </w:pPr>
      <w:r>
        <w:rPr>
          <w:lang w:val="en-GB"/>
        </w:rPr>
        <w:lastRenderedPageBreak/>
        <w:t>Since t</w:t>
      </w:r>
      <w:r w:rsidRPr="005E7F3B">
        <w:rPr>
          <w:lang w:val="en-GB"/>
        </w:rPr>
        <w:t>he e</w:t>
      </w:r>
      <w:r>
        <w:rPr>
          <w:lang w:val="en-GB"/>
        </w:rPr>
        <w:t xml:space="preserve">xact value of the measurement uncertainty will also depend on the exact Test Case parameters defined by RAN5, this work should be left to them and can be performed once the work on the actual Test Case starts. </w:t>
      </w:r>
    </w:p>
    <w:p w14:paraId="5F939306" w14:textId="5D4F93AE" w:rsidR="004753DC" w:rsidRPr="0036229F" w:rsidRDefault="004034EE" w:rsidP="004753DC">
      <w:pPr>
        <w:rPr>
          <w:lang w:val="en-GB"/>
        </w:rPr>
      </w:pPr>
      <w:r w:rsidRPr="004034EE">
        <w:rPr>
          <w:b/>
          <w:bCs/>
          <w:lang w:val="en-GB"/>
        </w:rPr>
        <w:t xml:space="preserve">Proposal </w:t>
      </w:r>
      <w:r w:rsidR="005E7F3B">
        <w:rPr>
          <w:b/>
          <w:bCs/>
          <w:lang w:val="en-GB"/>
        </w:rPr>
        <w:t>2</w:t>
      </w:r>
      <w:r w:rsidRPr="004034EE">
        <w:rPr>
          <w:b/>
          <w:bCs/>
          <w:lang w:val="en-GB"/>
        </w:rPr>
        <w:t>:</w:t>
      </w:r>
      <w:r>
        <w:rPr>
          <w:b/>
          <w:bCs/>
          <w:lang w:val="en-GB"/>
        </w:rPr>
        <w:t xml:space="preserve"> </w:t>
      </w:r>
      <w:r>
        <w:rPr>
          <w:lang w:val="en-GB"/>
        </w:rPr>
        <w:t>Detailed MU analysis can be left to RAN5 to take into account the exact Test Case parameters.</w:t>
      </w:r>
    </w:p>
    <w:bookmarkEnd w:id="1"/>
    <w:bookmarkEnd w:id="2"/>
    <w:p w14:paraId="6A30F3C3" w14:textId="0380C826" w:rsidR="00EE0AC3" w:rsidRPr="00DE4417" w:rsidRDefault="00F71811" w:rsidP="00E45333">
      <w:pPr>
        <w:pStyle w:val="Heading1"/>
        <w:rPr>
          <w:rFonts w:cs="Arial"/>
        </w:rPr>
      </w:pPr>
      <w:r w:rsidRPr="00DE4417">
        <w:rPr>
          <w:rFonts w:cs="Arial"/>
        </w:rPr>
        <w:t>Proposals</w:t>
      </w:r>
    </w:p>
    <w:p w14:paraId="43D54AB8" w14:textId="60158601" w:rsidR="00AF3C74" w:rsidRDefault="00AF3C74" w:rsidP="00AF3C74">
      <w:pPr>
        <w:rPr>
          <w:lang w:eastAsia="en-US"/>
        </w:rPr>
      </w:pPr>
      <w:bookmarkStart w:id="3" w:name="_Ref473660868"/>
      <w:bookmarkStart w:id="4" w:name="_Ref473660708"/>
      <w:bookmarkStart w:id="5" w:name="OLE_LINK6"/>
      <w:bookmarkStart w:id="6" w:name="OLE_LINK7"/>
      <w:r w:rsidRPr="00526386">
        <w:rPr>
          <w:lang w:eastAsia="en-US"/>
        </w:rPr>
        <w:t xml:space="preserve">In this contribution, </w:t>
      </w:r>
      <w:r w:rsidR="00FE1287">
        <w:rPr>
          <w:lang w:eastAsia="en-US"/>
        </w:rPr>
        <w:t>we</w:t>
      </w:r>
      <w:r w:rsidR="00F62C3E">
        <w:rPr>
          <w:lang w:eastAsia="en-US"/>
        </w:rPr>
        <w:t xml:space="preserve"> discussed </w:t>
      </w:r>
      <w:r w:rsidR="005E7F3B">
        <w:rPr>
          <w:lang w:eastAsia="en-US"/>
        </w:rPr>
        <w:t>the feasibility of testing the STxMP feature and the potential influence on measurement uncertainty.</w:t>
      </w:r>
    </w:p>
    <w:p w14:paraId="28DD9353" w14:textId="77777777" w:rsidR="005E7F3B" w:rsidRDefault="005E7F3B" w:rsidP="005E7F3B">
      <w:pPr>
        <w:rPr>
          <w:lang w:val="en-GB"/>
        </w:rPr>
      </w:pPr>
      <w:r w:rsidRPr="0036229F">
        <w:rPr>
          <w:b/>
          <w:lang w:val="en-GB"/>
        </w:rPr>
        <w:t>Observation 1:</w:t>
      </w:r>
      <w:r w:rsidRPr="0036229F">
        <w:rPr>
          <w:lang w:val="en-GB"/>
        </w:rPr>
        <w:t xml:space="preserve"> </w:t>
      </w:r>
      <w:r>
        <w:rPr>
          <w:lang w:val="en-GB"/>
        </w:rPr>
        <w:t>No synchronisation errors are observed for up to 40 dB difference in signal power.</w:t>
      </w:r>
    </w:p>
    <w:p w14:paraId="57699CE9" w14:textId="77777777" w:rsidR="005E7F3B" w:rsidRDefault="005E7F3B" w:rsidP="005E7F3B">
      <w:pPr>
        <w:rPr>
          <w:lang w:val="en-GB"/>
        </w:rPr>
      </w:pPr>
      <w:r w:rsidRPr="004034EE">
        <w:rPr>
          <w:b/>
          <w:bCs/>
          <w:lang w:val="en-GB"/>
        </w:rPr>
        <w:t>Proposal 1:</w:t>
      </w:r>
      <w:r>
        <w:rPr>
          <w:b/>
          <w:bCs/>
          <w:lang w:val="en-GB"/>
        </w:rPr>
        <w:t xml:space="preserve"> </w:t>
      </w:r>
      <w:r>
        <w:rPr>
          <w:lang w:val="en-GB"/>
        </w:rPr>
        <w:t>RAN4 shall conclude that the test of the STxMP is feasible up to a power difference of 40 dB.</w:t>
      </w:r>
    </w:p>
    <w:p w14:paraId="4EE8AEAB" w14:textId="77777777" w:rsidR="005E7F3B" w:rsidRDefault="005E7F3B" w:rsidP="005E7F3B">
      <w:pPr>
        <w:rPr>
          <w:lang w:val="en-GB"/>
        </w:rPr>
      </w:pPr>
      <w:r w:rsidRPr="0036229F">
        <w:rPr>
          <w:b/>
          <w:lang w:val="en-GB"/>
        </w:rPr>
        <w:t xml:space="preserve">Observation </w:t>
      </w:r>
      <w:r>
        <w:rPr>
          <w:b/>
          <w:lang w:val="en-GB"/>
        </w:rPr>
        <w:t>2</w:t>
      </w:r>
      <w:r w:rsidRPr="0036229F">
        <w:rPr>
          <w:b/>
          <w:lang w:val="en-GB"/>
        </w:rPr>
        <w:t>:</w:t>
      </w:r>
      <w:r w:rsidRPr="0036229F">
        <w:rPr>
          <w:lang w:val="en-GB"/>
        </w:rPr>
        <w:t xml:space="preserve"> </w:t>
      </w:r>
      <w:r>
        <w:rPr>
          <w:lang w:val="en-GB"/>
        </w:rPr>
        <w:t>MU needs further investigation especially for in case of a large power imbalance.</w:t>
      </w:r>
    </w:p>
    <w:p w14:paraId="4F81A612" w14:textId="77777777" w:rsidR="005E7F3B" w:rsidRDefault="005E7F3B" w:rsidP="005E7F3B">
      <w:pPr>
        <w:rPr>
          <w:lang w:val="en-GB"/>
        </w:rPr>
      </w:pPr>
      <w:r w:rsidRPr="0036229F">
        <w:rPr>
          <w:b/>
          <w:lang w:val="en-GB"/>
        </w:rPr>
        <w:t xml:space="preserve">Observation </w:t>
      </w:r>
      <w:r>
        <w:rPr>
          <w:b/>
          <w:lang w:val="en-GB"/>
        </w:rPr>
        <w:t>3</w:t>
      </w:r>
      <w:r w:rsidRPr="0036229F">
        <w:rPr>
          <w:b/>
          <w:lang w:val="en-GB"/>
        </w:rPr>
        <w:t>:</w:t>
      </w:r>
      <w:r w:rsidRPr="0036229F">
        <w:rPr>
          <w:lang w:val="en-GB"/>
        </w:rPr>
        <w:t xml:space="preserve"> </w:t>
      </w:r>
      <w:r>
        <w:rPr>
          <w:lang w:val="en-GB"/>
        </w:rPr>
        <w:t>Channel estimation of the TE based on the DMRS of the signal under test can be used to measure the power of the signal under test.</w:t>
      </w:r>
    </w:p>
    <w:p w14:paraId="09AD0D6C" w14:textId="3D4059E8" w:rsidR="005E7F3B" w:rsidRDefault="005E7F3B" w:rsidP="005E7F3B">
      <w:pPr>
        <w:rPr>
          <w:lang w:val="en-GB"/>
        </w:rPr>
      </w:pPr>
      <w:r w:rsidRPr="004034EE">
        <w:rPr>
          <w:b/>
          <w:bCs/>
          <w:lang w:val="en-GB"/>
        </w:rPr>
        <w:t xml:space="preserve">Proposal </w:t>
      </w:r>
      <w:r>
        <w:rPr>
          <w:b/>
          <w:bCs/>
          <w:lang w:val="en-GB"/>
        </w:rPr>
        <w:t>2</w:t>
      </w:r>
      <w:r w:rsidRPr="004034EE">
        <w:rPr>
          <w:b/>
          <w:bCs/>
          <w:lang w:val="en-GB"/>
        </w:rPr>
        <w:t>:</w:t>
      </w:r>
      <w:r>
        <w:rPr>
          <w:b/>
          <w:bCs/>
          <w:lang w:val="en-GB"/>
        </w:rPr>
        <w:t xml:space="preserve"> </w:t>
      </w:r>
      <w:r>
        <w:rPr>
          <w:lang w:val="en-GB"/>
        </w:rPr>
        <w:t>Detailed MU analysis can be left to RAN5 to take into account the exact Test Case parameters.</w:t>
      </w:r>
    </w:p>
    <w:p w14:paraId="1559997D" w14:textId="51D81406" w:rsidR="00030A7F" w:rsidRPr="00DE4417" w:rsidRDefault="00030A7F" w:rsidP="00030A7F">
      <w:pPr>
        <w:pStyle w:val="Heading1"/>
        <w:numPr>
          <w:ilvl w:val="0"/>
          <w:numId w:val="0"/>
        </w:numPr>
        <w:ind w:left="432" w:hanging="432"/>
        <w:rPr>
          <w:rFonts w:cs="Arial"/>
        </w:rPr>
      </w:pPr>
      <w:r w:rsidRPr="00DE4417">
        <w:rPr>
          <w:rFonts w:cs="Arial"/>
        </w:rPr>
        <w:t>References</w:t>
      </w:r>
    </w:p>
    <w:bookmarkEnd w:id="3"/>
    <w:bookmarkEnd w:id="4"/>
    <w:bookmarkEnd w:id="5"/>
    <w:bookmarkEnd w:id="6"/>
    <w:p w14:paraId="15A558AC" w14:textId="48175080" w:rsidR="0036229F" w:rsidRPr="005E7F3B" w:rsidRDefault="00936CFA" w:rsidP="005E7F3B">
      <w:pPr>
        <w:pStyle w:val="ListParagraph"/>
        <w:numPr>
          <w:ilvl w:val="0"/>
          <w:numId w:val="4"/>
        </w:numPr>
        <w:spacing w:after="0" w:line="240" w:lineRule="auto"/>
        <w:rPr>
          <w:lang w:val="en-GB"/>
        </w:rPr>
      </w:pPr>
      <w:r>
        <w:rPr>
          <w:lang w:val="en-GB"/>
        </w:rPr>
        <w:t>R4-240</w:t>
      </w:r>
      <w:r w:rsidR="0074717F">
        <w:rPr>
          <w:lang w:val="en-GB"/>
        </w:rPr>
        <w:t>9921</w:t>
      </w:r>
      <w:r>
        <w:rPr>
          <w:lang w:val="en-GB"/>
        </w:rPr>
        <w:t>, “</w:t>
      </w:r>
      <w:r w:rsidR="0074717F" w:rsidRPr="0074717F">
        <w:rPr>
          <w:lang w:val="en-US"/>
        </w:rPr>
        <w:t>Way Forward for [111][339] NR_FR2_OTA</w:t>
      </w:r>
      <w:r w:rsidR="0074717F">
        <w:rPr>
          <w:lang w:val="en-US"/>
        </w:rPr>
        <w:t>”, Qualcomm Incorporated</w:t>
      </w:r>
      <w:r>
        <w:rPr>
          <w:lang w:val="en-GB"/>
        </w:rPr>
        <w:t>, RAN4#111 May 2024</w:t>
      </w:r>
    </w:p>
    <w:p w14:paraId="746D44C2" w14:textId="77777777" w:rsidR="0036229F" w:rsidRPr="0036229F" w:rsidRDefault="0036229F" w:rsidP="0036229F">
      <w:pPr>
        <w:spacing w:after="0" w:line="240" w:lineRule="auto"/>
        <w:rPr>
          <w:lang w:val="en-GB"/>
        </w:rPr>
      </w:pPr>
    </w:p>
    <w:p w14:paraId="1C1B9EE4" w14:textId="57343FF7" w:rsidR="00847261" w:rsidRDefault="00847261" w:rsidP="00847261">
      <w:pPr>
        <w:spacing w:after="0" w:line="240" w:lineRule="auto"/>
        <w:rPr>
          <w:lang w:val="en-GB"/>
        </w:rPr>
      </w:pPr>
    </w:p>
    <w:sectPr w:rsidR="00847261"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1A6FC8" w14:textId="77777777" w:rsidR="006462CF" w:rsidRDefault="006462CF" w:rsidP="00371D7D">
      <w:r>
        <w:separator/>
      </w:r>
    </w:p>
  </w:endnote>
  <w:endnote w:type="continuationSeparator" w:id="0">
    <w:p w14:paraId="219181B4" w14:textId="77777777" w:rsidR="006462CF" w:rsidRDefault="006462CF"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6F44F" w14:textId="77777777" w:rsidR="00720AF6" w:rsidRDefault="00720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5AD71" w14:textId="4129D5A8" w:rsidR="00720AF6" w:rsidRPr="000E7B1E" w:rsidRDefault="00720AF6"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D5F4A" w14:textId="77777777" w:rsidR="00720AF6" w:rsidRDefault="00720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D165A" w14:textId="77777777" w:rsidR="006462CF" w:rsidRDefault="006462CF" w:rsidP="00371D7D">
      <w:r>
        <w:separator/>
      </w:r>
    </w:p>
  </w:footnote>
  <w:footnote w:type="continuationSeparator" w:id="0">
    <w:p w14:paraId="0837F780" w14:textId="77777777" w:rsidR="006462CF" w:rsidRDefault="006462CF"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883F6" w14:textId="43D5BFA1" w:rsidR="00720AF6" w:rsidRDefault="00720AF6">
    <w:pPr>
      <w:pStyle w:val="Header"/>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56579873"/>
                    </w:sdtPr>
                    <w:sdtContent>
                      <w:p w14:paraId="6E203B5F" w14:textId="3FF6EA8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4D15E" w14:textId="0C9F4EB9" w:rsidR="00720AF6" w:rsidRDefault="00720AF6">
    <w:pPr>
      <w:pStyle w:val="Header"/>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3CE1D8D" w14:textId="054C37AA"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8E2C1" w14:textId="46D22E5A" w:rsidR="00720AF6" w:rsidRDefault="00720AF6">
    <w:pPr>
      <w:pStyle w:val="Header"/>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13701768"/>
                    </w:sdtPr>
                    <w:sdtContent>
                      <w:p w14:paraId="13E8CA38" w14:textId="0D7B8AA7" w:rsidR="00720AF6" w:rsidRPr="00A11327" w:rsidRDefault="00720AF6" w:rsidP="00371B1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B7F33"/>
    <w:multiLevelType w:val="hybridMultilevel"/>
    <w:tmpl w:val="32043B96"/>
    <w:lvl w:ilvl="0" w:tplc="3190EB80">
      <w:start w:val="1"/>
      <w:numFmt w:val="bullet"/>
      <w:lvlText w:val="•"/>
      <w:lvlJc w:val="left"/>
      <w:pPr>
        <w:tabs>
          <w:tab w:val="num" w:pos="720"/>
        </w:tabs>
        <w:ind w:left="720" w:hanging="360"/>
      </w:pPr>
      <w:rPr>
        <w:rFonts w:ascii="Arial" w:hAnsi="Arial" w:hint="default"/>
      </w:rPr>
    </w:lvl>
    <w:lvl w:ilvl="1" w:tplc="3B0CADEE">
      <w:numFmt w:val="bullet"/>
      <w:lvlText w:val="–"/>
      <w:lvlJc w:val="left"/>
      <w:pPr>
        <w:tabs>
          <w:tab w:val="num" w:pos="1440"/>
        </w:tabs>
        <w:ind w:left="1440" w:hanging="360"/>
      </w:pPr>
      <w:rPr>
        <w:rFonts w:ascii="Arial" w:hAnsi="Arial" w:hint="default"/>
      </w:rPr>
    </w:lvl>
    <w:lvl w:ilvl="2" w:tplc="FD7637F6">
      <w:numFmt w:val="bullet"/>
      <w:lvlText w:val="•"/>
      <w:lvlJc w:val="left"/>
      <w:pPr>
        <w:tabs>
          <w:tab w:val="num" w:pos="2160"/>
        </w:tabs>
        <w:ind w:left="2160" w:hanging="360"/>
      </w:pPr>
      <w:rPr>
        <w:rFonts w:ascii="Arial" w:hAnsi="Arial" w:hint="default"/>
      </w:rPr>
    </w:lvl>
    <w:lvl w:ilvl="3" w:tplc="4654897C" w:tentative="1">
      <w:start w:val="1"/>
      <w:numFmt w:val="bullet"/>
      <w:lvlText w:val="•"/>
      <w:lvlJc w:val="left"/>
      <w:pPr>
        <w:tabs>
          <w:tab w:val="num" w:pos="2880"/>
        </w:tabs>
        <w:ind w:left="2880" w:hanging="360"/>
      </w:pPr>
      <w:rPr>
        <w:rFonts w:ascii="Arial" w:hAnsi="Arial" w:hint="default"/>
      </w:rPr>
    </w:lvl>
    <w:lvl w:ilvl="4" w:tplc="C78CBAC6" w:tentative="1">
      <w:start w:val="1"/>
      <w:numFmt w:val="bullet"/>
      <w:lvlText w:val="•"/>
      <w:lvlJc w:val="left"/>
      <w:pPr>
        <w:tabs>
          <w:tab w:val="num" w:pos="3600"/>
        </w:tabs>
        <w:ind w:left="3600" w:hanging="360"/>
      </w:pPr>
      <w:rPr>
        <w:rFonts w:ascii="Arial" w:hAnsi="Arial" w:hint="default"/>
      </w:rPr>
    </w:lvl>
    <w:lvl w:ilvl="5" w:tplc="F3E8CFFA" w:tentative="1">
      <w:start w:val="1"/>
      <w:numFmt w:val="bullet"/>
      <w:lvlText w:val="•"/>
      <w:lvlJc w:val="left"/>
      <w:pPr>
        <w:tabs>
          <w:tab w:val="num" w:pos="4320"/>
        </w:tabs>
        <w:ind w:left="4320" w:hanging="360"/>
      </w:pPr>
      <w:rPr>
        <w:rFonts w:ascii="Arial" w:hAnsi="Arial" w:hint="default"/>
      </w:rPr>
    </w:lvl>
    <w:lvl w:ilvl="6" w:tplc="57E2F5FC" w:tentative="1">
      <w:start w:val="1"/>
      <w:numFmt w:val="bullet"/>
      <w:lvlText w:val="•"/>
      <w:lvlJc w:val="left"/>
      <w:pPr>
        <w:tabs>
          <w:tab w:val="num" w:pos="5040"/>
        </w:tabs>
        <w:ind w:left="5040" w:hanging="360"/>
      </w:pPr>
      <w:rPr>
        <w:rFonts w:ascii="Arial" w:hAnsi="Arial" w:hint="default"/>
      </w:rPr>
    </w:lvl>
    <w:lvl w:ilvl="7" w:tplc="632AE162" w:tentative="1">
      <w:start w:val="1"/>
      <w:numFmt w:val="bullet"/>
      <w:lvlText w:val="•"/>
      <w:lvlJc w:val="left"/>
      <w:pPr>
        <w:tabs>
          <w:tab w:val="num" w:pos="5760"/>
        </w:tabs>
        <w:ind w:left="5760" w:hanging="360"/>
      </w:pPr>
      <w:rPr>
        <w:rFonts w:ascii="Arial" w:hAnsi="Arial" w:hint="default"/>
      </w:rPr>
    </w:lvl>
    <w:lvl w:ilvl="8" w:tplc="2026AD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54A36"/>
    <w:multiLevelType w:val="multilevel"/>
    <w:tmpl w:val="C206F7D0"/>
    <w:lvl w:ilvl="0">
      <w:start w:val="1"/>
      <w:numFmt w:val="bullet"/>
      <w:pStyle w:val="ListBullet"/>
      <w:lvlText w:val="ı"/>
      <w:lvlJc w:val="left"/>
      <w:pPr>
        <w:tabs>
          <w:tab w:val="num" w:pos="425"/>
        </w:tabs>
        <w:ind w:left="425" w:hanging="425"/>
      </w:pPr>
      <w:rPr>
        <w:rFonts w:ascii="Arial Black" w:hAnsi="Arial Black" w:cs="Arial Black"/>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8"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68B8D3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1"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16cid:durableId="613369541">
    <w:abstractNumId w:val="10"/>
  </w:num>
  <w:num w:numId="2" w16cid:durableId="1582331661">
    <w:abstractNumId w:val="16"/>
  </w:num>
  <w:num w:numId="3" w16cid:durableId="1097628655">
    <w:abstractNumId w:val="5"/>
  </w:num>
  <w:num w:numId="4" w16cid:durableId="716007056">
    <w:abstractNumId w:val="9"/>
  </w:num>
  <w:num w:numId="5" w16cid:durableId="915438008">
    <w:abstractNumId w:val="7"/>
  </w:num>
  <w:num w:numId="6" w16cid:durableId="702363974">
    <w:abstractNumId w:val="3"/>
  </w:num>
  <w:num w:numId="7" w16cid:durableId="652563968">
    <w:abstractNumId w:val="8"/>
  </w:num>
  <w:num w:numId="8" w16cid:durableId="1156414000">
    <w:abstractNumId w:val="17"/>
  </w:num>
  <w:num w:numId="9" w16cid:durableId="88964121">
    <w:abstractNumId w:val="12"/>
  </w:num>
  <w:num w:numId="10" w16cid:durableId="1072893222">
    <w:abstractNumId w:val="14"/>
  </w:num>
  <w:num w:numId="11" w16cid:durableId="179202920">
    <w:abstractNumId w:val="2"/>
  </w:num>
  <w:num w:numId="12" w16cid:durableId="227810691">
    <w:abstractNumId w:val="11"/>
  </w:num>
  <w:num w:numId="13" w16cid:durableId="1122069193">
    <w:abstractNumId w:val="1"/>
  </w:num>
  <w:num w:numId="14" w16cid:durableId="1676181365">
    <w:abstractNumId w:val="6"/>
  </w:num>
  <w:num w:numId="15" w16cid:durableId="1634559464">
    <w:abstractNumId w:val="0"/>
  </w:num>
  <w:num w:numId="16" w16cid:durableId="1177578659">
    <w:abstractNumId w:val="15"/>
  </w:num>
  <w:num w:numId="17" w16cid:durableId="1372802125">
    <w:abstractNumId w:val="18"/>
  </w:num>
  <w:num w:numId="18" w16cid:durableId="118259158">
    <w:abstractNumId w:val="4"/>
  </w:num>
  <w:num w:numId="19" w16cid:durableId="104229337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6F40"/>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4124"/>
    <w:rsid w:val="000357C4"/>
    <w:rsid w:val="00036082"/>
    <w:rsid w:val="000376EA"/>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B0F54"/>
    <w:rsid w:val="000B22FD"/>
    <w:rsid w:val="000B3032"/>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3D90"/>
    <w:rsid w:val="000E75B0"/>
    <w:rsid w:val="000E7B1E"/>
    <w:rsid w:val="000F210F"/>
    <w:rsid w:val="000F2169"/>
    <w:rsid w:val="000F3094"/>
    <w:rsid w:val="000F5A27"/>
    <w:rsid w:val="000F69EC"/>
    <w:rsid w:val="00100D39"/>
    <w:rsid w:val="001042EC"/>
    <w:rsid w:val="0010446A"/>
    <w:rsid w:val="0010792C"/>
    <w:rsid w:val="00110B13"/>
    <w:rsid w:val="001114C1"/>
    <w:rsid w:val="00112164"/>
    <w:rsid w:val="00112F75"/>
    <w:rsid w:val="001137DA"/>
    <w:rsid w:val="0011436A"/>
    <w:rsid w:val="001147B0"/>
    <w:rsid w:val="00114995"/>
    <w:rsid w:val="001150C9"/>
    <w:rsid w:val="00116DFF"/>
    <w:rsid w:val="001178F0"/>
    <w:rsid w:val="001179E4"/>
    <w:rsid w:val="00117F9C"/>
    <w:rsid w:val="00123745"/>
    <w:rsid w:val="001238F4"/>
    <w:rsid w:val="00124FF0"/>
    <w:rsid w:val="00126CE6"/>
    <w:rsid w:val="00131C14"/>
    <w:rsid w:val="00132BDD"/>
    <w:rsid w:val="001339FF"/>
    <w:rsid w:val="001378A7"/>
    <w:rsid w:val="001421DE"/>
    <w:rsid w:val="00142CF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77B2C"/>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5D76"/>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1875"/>
    <w:rsid w:val="002A1A42"/>
    <w:rsid w:val="002A2AB2"/>
    <w:rsid w:val="002A3C1E"/>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0693"/>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21C2"/>
    <w:rsid w:val="00332D69"/>
    <w:rsid w:val="003344C4"/>
    <w:rsid w:val="00334F04"/>
    <w:rsid w:val="00340A65"/>
    <w:rsid w:val="003434B3"/>
    <w:rsid w:val="003436AD"/>
    <w:rsid w:val="003442BC"/>
    <w:rsid w:val="00344B2B"/>
    <w:rsid w:val="0035204A"/>
    <w:rsid w:val="003564E9"/>
    <w:rsid w:val="0036038D"/>
    <w:rsid w:val="003607C5"/>
    <w:rsid w:val="003608E0"/>
    <w:rsid w:val="00361148"/>
    <w:rsid w:val="00361295"/>
    <w:rsid w:val="0036229F"/>
    <w:rsid w:val="003628A5"/>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4644"/>
    <w:rsid w:val="003750AC"/>
    <w:rsid w:val="00377106"/>
    <w:rsid w:val="003812CA"/>
    <w:rsid w:val="003838EA"/>
    <w:rsid w:val="00383939"/>
    <w:rsid w:val="00384B70"/>
    <w:rsid w:val="003857C3"/>
    <w:rsid w:val="0038590F"/>
    <w:rsid w:val="00385AA1"/>
    <w:rsid w:val="00386F8C"/>
    <w:rsid w:val="00392ACB"/>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36B"/>
    <w:rsid w:val="003C39A4"/>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78A5"/>
    <w:rsid w:val="004002C9"/>
    <w:rsid w:val="0040034D"/>
    <w:rsid w:val="004033E9"/>
    <w:rsid w:val="004034EE"/>
    <w:rsid w:val="00403CF6"/>
    <w:rsid w:val="00403EB7"/>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47C5"/>
    <w:rsid w:val="00445FD4"/>
    <w:rsid w:val="00446661"/>
    <w:rsid w:val="00450CCF"/>
    <w:rsid w:val="00451093"/>
    <w:rsid w:val="00452D55"/>
    <w:rsid w:val="00455988"/>
    <w:rsid w:val="00455FE3"/>
    <w:rsid w:val="00457EE8"/>
    <w:rsid w:val="00460804"/>
    <w:rsid w:val="004614C5"/>
    <w:rsid w:val="0046181B"/>
    <w:rsid w:val="0046280F"/>
    <w:rsid w:val="004641CE"/>
    <w:rsid w:val="004647FB"/>
    <w:rsid w:val="00465DA7"/>
    <w:rsid w:val="0046755F"/>
    <w:rsid w:val="00470182"/>
    <w:rsid w:val="00471925"/>
    <w:rsid w:val="00473048"/>
    <w:rsid w:val="00474149"/>
    <w:rsid w:val="004745B3"/>
    <w:rsid w:val="004753DC"/>
    <w:rsid w:val="00475466"/>
    <w:rsid w:val="00475793"/>
    <w:rsid w:val="00476E05"/>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10F85"/>
    <w:rsid w:val="00514970"/>
    <w:rsid w:val="0051545C"/>
    <w:rsid w:val="00516D9C"/>
    <w:rsid w:val="00517DEB"/>
    <w:rsid w:val="005208AB"/>
    <w:rsid w:val="00521C12"/>
    <w:rsid w:val="0052278C"/>
    <w:rsid w:val="005242EF"/>
    <w:rsid w:val="00524791"/>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B54"/>
    <w:rsid w:val="005964E4"/>
    <w:rsid w:val="005A04AB"/>
    <w:rsid w:val="005A0D8E"/>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E7F3B"/>
    <w:rsid w:val="005F054B"/>
    <w:rsid w:val="005F1B0E"/>
    <w:rsid w:val="005F1C51"/>
    <w:rsid w:val="005F2CC8"/>
    <w:rsid w:val="005F2E71"/>
    <w:rsid w:val="005F2EDB"/>
    <w:rsid w:val="005F37CF"/>
    <w:rsid w:val="0060326E"/>
    <w:rsid w:val="00604ED4"/>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2061"/>
    <w:rsid w:val="0063332F"/>
    <w:rsid w:val="00633773"/>
    <w:rsid w:val="0063395B"/>
    <w:rsid w:val="00635940"/>
    <w:rsid w:val="006366AD"/>
    <w:rsid w:val="00640E01"/>
    <w:rsid w:val="00641EC6"/>
    <w:rsid w:val="0064402A"/>
    <w:rsid w:val="00645237"/>
    <w:rsid w:val="006462CF"/>
    <w:rsid w:val="006466C9"/>
    <w:rsid w:val="00646AF8"/>
    <w:rsid w:val="00646DBF"/>
    <w:rsid w:val="00647AA9"/>
    <w:rsid w:val="00652F55"/>
    <w:rsid w:val="00654178"/>
    <w:rsid w:val="00654FD1"/>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508B"/>
    <w:rsid w:val="006B7575"/>
    <w:rsid w:val="006C049B"/>
    <w:rsid w:val="006C1445"/>
    <w:rsid w:val="006C36A2"/>
    <w:rsid w:val="006C388F"/>
    <w:rsid w:val="006C4E24"/>
    <w:rsid w:val="006C60BB"/>
    <w:rsid w:val="006C66BE"/>
    <w:rsid w:val="006C6ACE"/>
    <w:rsid w:val="006C74FF"/>
    <w:rsid w:val="006D29C0"/>
    <w:rsid w:val="006D3FD0"/>
    <w:rsid w:val="006D46B5"/>
    <w:rsid w:val="006D781C"/>
    <w:rsid w:val="006E1A7C"/>
    <w:rsid w:val="006E1D64"/>
    <w:rsid w:val="006E4F64"/>
    <w:rsid w:val="006E5BCE"/>
    <w:rsid w:val="006E6577"/>
    <w:rsid w:val="006E7182"/>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17F"/>
    <w:rsid w:val="00747693"/>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157"/>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15C"/>
    <w:rsid w:val="007E542F"/>
    <w:rsid w:val="007E6782"/>
    <w:rsid w:val="007E6D3C"/>
    <w:rsid w:val="007E74D3"/>
    <w:rsid w:val="007E75B3"/>
    <w:rsid w:val="007E7F0B"/>
    <w:rsid w:val="007F3AF5"/>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15EAD"/>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713"/>
    <w:rsid w:val="008919FA"/>
    <w:rsid w:val="00894205"/>
    <w:rsid w:val="008948CA"/>
    <w:rsid w:val="0089524F"/>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B7A9E"/>
    <w:rsid w:val="008C2395"/>
    <w:rsid w:val="008C291E"/>
    <w:rsid w:val="008C2C73"/>
    <w:rsid w:val="008C43E0"/>
    <w:rsid w:val="008C443F"/>
    <w:rsid w:val="008C52F2"/>
    <w:rsid w:val="008C77C6"/>
    <w:rsid w:val="008D0A86"/>
    <w:rsid w:val="008D2505"/>
    <w:rsid w:val="008D2D94"/>
    <w:rsid w:val="008D49FB"/>
    <w:rsid w:val="008D4DE2"/>
    <w:rsid w:val="008D552A"/>
    <w:rsid w:val="008D6DFF"/>
    <w:rsid w:val="008D6EF1"/>
    <w:rsid w:val="008D7189"/>
    <w:rsid w:val="008D797C"/>
    <w:rsid w:val="008D7BA0"/>
    <w:rsid w:val="008E061A"/>
    <w:rsid w:val="008E0FC4"/>
    <w:rsid w:val="008E1A2B"/>
    <w:rsid w:val="008E5CC2"/>
    <w:rsid w:val="008E790D"/>
    <w:rsid w:val="008F28BE"/>
    <w:rsid w:val="008F3E4A"/>
    <w:rsid w:val="008F46D8"/>
    <w:rsid w:val="008F4F09"/>
    <w:rsid w:val="008F543E"/>
    <w:rsid w:val="008F5836"/>
    <w:rsid w:val="008F6239"/>
    <w:rsid w:val="008F6BB4"/>
    <w:rsid w:val="00911FD9"/>
    <w:rsid w:val="00912CC8"/>
    <w:rsid w:val="00914141"/>
    <w:rsid w:val="00916784"/>
    <w:rsid w:val="00916934"/>
    <w:rsid w:val="009212E6"/>
    <w:rsid w:val="009225E0"/>
    <w:rsid w:val="009228BE"/>
    <w:rsid w:val="009237E0"/>
    <w:rsid w:val="009247D4"/>
    <w:rsid w:val="00926861"/>
    <w:rsid w:val="00930456"/>
    <w:rsid w:val="00931A88"/>
    <w:rsid w:val="0093237D"/>
    <w:rsid w:val="00933A16"/>
    <w:rsid w:val="00933C7C"/>
    <w:rsid w:val="00933CE4"/>
    <w:rsid w:val="00933F3F"/>
    <w:rsid w:val="0093416F"/>
    <w:rsid w:val="009344D5"/>
    <w:rsid w:val="009347AA"/>
    <w:rsid w:val="00935C3D"/>
    <w:rsid w:val="00936CFA"/>
    <w:rsid w:val="00936FA1"/>
    <w:rsid w:val="00937DE4"/>
    <w:rsid w:val="009420AE"/>
    <w:rsid w:val="00942148"/>
    <w:rsid w:val="00943082"/>
    <w:rsid w:val="009437F6"/>
    <w:rsid w:val="009447F9"/>
    <w:rsid w:val="00944D07"/>
    <w:rsid w:val="00944E1A"/>
    <w:rsid w:val="0094526C"/>
    <w:rsid w:val="009461CD"/>
    <w:rsid w:val="00946BBC"/>
    <w:rsid w:val="00950962"/>
    <w:rsid w:val="00950B79"/>
    <w:rsid w:val="00952B8A"/>
    <w:rsid w:val="0095468A"/>
    <w:rsid w:val="009546B7"/>
    <w:rsid w:val="0095562A"/>
    <w:rsid w:val="00962E59"/>
    <w:rsid w:val="00965D58"/>
    <w:rsid w:val="00966E9B"/>
    <w:rsid w:val="00970989"/>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7680"/>
    <w:rsid w:val="009A0AA0"/>
    <w:rsid w:val="009A1270"/>
    <w:rsid w:val="009A4CC9"/>
    <w:rsid w:val="009A712A"/>
    <w:rsid w:val="009B0845"/>
    <w:rsid w:val="009B0E8D"/>
    <w:rsid w:val="009B1044"/>
    <w:rsid w:val="009B1BF8"/>
    <w:rsid w:val="009B5E2B"/>
    <w:rsid w:val="009B79A3"/>
    <w:rsid w:val="009C0CB9"/>
    <w:rsid w:val="009C2950"/>
    <w:rsid w:val="009C2B07"/>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56A9"/>
    <w:rsid w:val="009E6538"/>
    <w:rsid w:val="009E7AB5"/>
    <w:rsid w:val="009F0573"/>
    <w:rsid w:val="009F0831"/>
    <w:rsid w:val="009F0941"/>
    <w:rsid w:val="009F116B"/>
    <w:rsid w:val="009F1522"/>
    <w:rsid w:val="009F1E5D"/>
    <w:rsid w:val="009F31B9"/>
    <w:rsid w:val="009F4C6C"/>
    <w:rsid w:val="009F71B3"/>
    <w:rsid w:val="00A01054"/>
    <w:rsid w:val="00A02E39"/>
    <w:rsid w:val="00A03421"/>
    <w:rsid w:val="00A04379"/>
    <w:rsid w:val="00A04558"/>
    <w:rsid w:val="00A04F9C"/>
    <w:rsid w:val="00A0759F"/>
    <w:rsid w:val="00A130E4"/>
    <w:rsid w:val="00A14783"/>
    <w:rsid w:val="00A14EBC"/>
    <w:rsid w:val="00A15983"/>
    <w:rsid w:val="00A1726A"/>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2F9"/>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64D8"/>
    <w:rsid w:val="00B277E9"/>
    <w:rsid w:val="00B27923"/>
    <w:rsid w:val="00B3072F"/>
    <w:rsid w:val="00B30F45"/>
    <w:rsid w:val="00B319AF"/>
    <w:rsid w:val="00B31F06"/>
    <w:rsid w:val="00B32A3F"/>
    <w:rsid w:val="00B337D5"/>
    <w:rsid w:val="00B35629"/>
    <w:rsid w:val="00B37562"/>
    <w:rsid w:val="00B37C19"/>
    <w:rsid w:val="00B408D6"/>
    <w:rsid w:val="00B413A7"/>
    <w:rsid w:val="00B41448"/>
    <w:rsid w:val="00B42131"/>
    <w:rsid w:val="00B42D4E"/>
    <w:rsid w:val="00B46F52"/>
    <w:rsid w:val="00B50A51"/>
    <w:rsid w:val="00B521D2"/>
    <w:rsid w:val="00B5478C"/>
    <w:rsid w:val="00B548F0"/>
    <w:rsid w:val="00B57132"/>
    <w:rsid w:val="00B57FE5"/>
    <w:rsid w:val="00B60110"/>
    <w:rsid w:val="00B60FF5"/>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4705"/>
    <w:rsid w:val="00BF68B4"/>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4071"/>
    <w:rsid w:val="00C45B5A"/>
    <w:rsid w:val="00C47016"/>
    <w:rsid w:val="00C478DD"/>
    <w:rsid w:val="00C51169"/>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681"/>
    <w:rsid w:val="00C91897"/>
    <w:rsid w:val="00C93E5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CF658E"/>
    <w:rsid w:val="00CF6B64"/>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2A5F"/>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CA2"/>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1E40"/>
    <w:rsid w:val="00E42128"/>
    <w:rsid w:val="00E44B1E"/>
    <w:rsid w:val="00E44F15"/>
    <w:rsid w:val="00E45333"/>
    <w:rsid w:val="00E45AA7"/>
    <w:rsid w:val="00E47A22"/>
    <w:rsid w:val="00E47C33"/>
    <w:rsid w:val="00E50120"/>
    <w:rsid w:val="00E507E4"/>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A71"/>
    <w:rsid w:val="00EC6FA3"/>
    <w:rsid w:val="00EC7882"/>
    <w:rsid w:val="00ED533B"/>
    <w:rsid w:val="00ED5892"/>
    <w:rsid w:val="00EE0AC3"/>
    <w:rsid w:val="00EE17A9"/>
    <w:rsid w:val="00EE17D7"/>
    <w:rsid w:val="00EE1D21"/>
    <w:rsid w:val="00EE217D"/>
    <w:rsid w:val="00EE33CE"/>
    <w:rsid w:val="00EE3B99"/>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5CC"/>
    <w:rsid w:val="00F54C48"/>
    <w:rsid w:val="00F55D83"/>
    <w:rsid w:val="00F56AA6"/>
    <w:rsid w:val="00F611E0"/>
    <w:rsid w:val="00F619BC"/>
    <w:rsid w:val="00F62C3E"/>
    <w:rsid w:val="00F63AE7"/>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3EBE"/>
    <w:rsid w:val="00FD64B7"/>
    <w:rsid w:val="00FD6C8C"/>
    <w:rsid w:val="00FE11C6"/>
    <w:rsid w:val="00FE1287"/>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F3B"/>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styleId="ListBullet">
    <w:name w:val="List Bullet"/>
    <w:basedOn w:val="Normal"/>
    <w:uiPriority w:val="78"/>
    <w:qFormat/>
    <w:rsid w:val="004C24CB"/>
    <w:pPr>
      <w:numPr>
        <w:numId w:val="5"/>
      </w:numPr>
      <w:spacing w:after="120" w:line="271" w:lineRule="auto"/>
    </w:pPr>
    <w:rPr>
      <w:rFonts w:eastAsia="Arial" w:cs="Arial Unicode MS"/>
      <w:sz w:val="20"/>
      <w:szCs w:val="20"/>
      <w:lang w:eastAsia="en-US"/>
    </w:rPr>
  </w:style>
  <w:style w:type="paragraph" w:styleId="ListBullet2">
    <w:name w:val="List Bullet 2"/>
    <w:basedOn w:val="ListBullet"/>
    <w:uiPriority w:val="78"/>
    <w:qFormat/>
    <w:rsid w:val="004C24CB"/>
    <w:pPr>
      <w:numPr>
        <w:ilvl w:val="1"/>
      </w:numPr>
    </w:pPr>
  </w:style>
  <w:style w:type="paragraph" w:styleId="ListBullet3">
    <w:name w:val="List Bullet 3"/>
    <w:basedOn w:val="ListBullet2"/>
    <w:uiPriority w:val="78"/>
    <w:semiHidden/>
    <w:unhideWhenUsed/>
    <w:rsid w:val="004C24CB"/>
    <w:pPr>
      <w:numPr>
        <w:ilvl w:val="2"/>
      </w:numPr>
    </w:pPr>
  </w:style>
  <w:style w:type="paragraph" w:styleId="ListBullet4">
    <w:name w:val="List Bullet 4"/>
    <w:basedOn w:val="ListBullet3"/>
    <w:uiPriority w:val="78"/>
    <w:semiHidden/>
    <w:unhideWhenUsed/>
    <w:rsid w:val="004C24CB"/>
    <w:pPr>
      <w:numPr>
        <w:ilvl w:val="3"/>
      </w:numPr>
    </w:pPr>
  </w:style>
  <w:style w:type="paragraph" w:styleId="ListBullet5">
    <w:name w:val="List Bullet 5"/>
    <w:basedOn w:val="ListBullet4"/>
    <w:uiPriority w:val="78"/>
    <w:semiHidden/>
    <w:unhideWhenUsed/>
    <w:rsid w:val="004C24CB"/>
    <w:pPr>
      <w:numPr>
        <w:ilvl w:val="4"/>
      </w:numPr>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212E6"/>
    <w:rPr>
      <w:rFonts w:asciiTheme="minorHAnsi" w:eastAsiaTheme="minorHAnsi" w:hAnsiTheme="minorHAnsi" w:cstheme="minorBidi"/>
      <w:lang w:eastAsia="en-US"/>
    </w:rPr>
  </w:style>
  <w:style w:type="paragraph" w:customStyle="1" w:styleId="B2">
    <w:name w:val="B2"/>
    <w:basedOn w:val="List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2">
    <w:name w:val="List 2"/>
    <w:basedOn w:val="Normal"/>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NoSpacing">
    <w:name w:val="No Spacing"/>
    <w:basedOn w:val="Normal"/>
    <w:link w:val="NoSpacingChar"/>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ridTable6Colorful-Accent5">
    <w:name w:val="Grid Table 6 Colorful Accent 5"/>
    <w:basedOn w:val="TableNormal"/>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3-Accent5">
    <w:name w:val="List Table 3 Accent 5"/>
    <w:basedOn w:val="TableNormal"/>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Table3-Accent1">
    <w:name w:val="List Table 3 Accent 1"/>
    <w:basedOn w:val="TableNormal"/>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NormalWeb">
    <w:name w:val="Normal (Web)"/>
    <w:basedOn w:val="Normal"/>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TableofFigures">
    <w:name w:val="table of figures"/>
    <w:basedOn w:val="Normal"/>
    <w:next w:val="Normal"/>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0634">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5546201">
      <w:bodyDiv w:val="1"/>
      <w:marLeft w:val="0"/>
      <w:marRight w:val="0"/>
      <w:marTop w:val="0"/>
      <w:marBottom w:val="0"/>
      <w:divBdr>
        <w:top w:val="none" w:sz="0" w:space="0" w:color="auto"/>
        <w:left w:val="none" w:sz="0" w:space="0" w:color="auto"/>
        <w:bottom w:val="none" w:sz="0" w:space="0" w:color="auto"/>
        <w:right w:val="none" w:sz="0" w:space="0" w:color="auto"/>
      </w:divBdr>
      <w:divsChild>
        <w:div w:id="1921867337">
          <w:marLeft w:val="547"/>
          <w:marRight w:val="0"/>
          <w:marTop w:val="77"/>
          <w:marBottom w:val="0"/>
          <w:divBdr>
            <w:top w:val="none" w:sz="0" w:space="0" w:color="auto"/>
            <w:left w:val="none" w:sz="0" w:space="0" w:color="auto"/>
            <w:bottom w:val="none" w:sz="0" w:space="0" w:color="auto"/>
            <w:right w:val="none" w:sz="0" w:space="0" w:color="auto"/>
          </w:divBdr>
        </w:div>
        <w:div w:id="1037243958">
          <w:marLeft w:val="1166"/>
          <w:marRight w:val="0"/>
          <w:marTop w:val="77"/>
          <w:marBottom w:val="0"/>
          <w:divBdr>
            <w:top w:val="none" w:sz="0" w:space="0" w:color="auto"/>
            <w:left w:val="none" w:sz="0" w:space="0" w:color="auto"/>
            <w:bottom w:val="none" w:sz="0" w:space="0" w:color="auto"/>
            <w:right w:val="none" w:sz="0" w:space="0" w:color="auto"/>
          </w:divBdr>
        </w:div>
        <w:div w:id="198250834">
          <w:marLeft w:val="1800"/>
          <w:marRight w:val="0"/>
          <w:marTop w:val="67"/>
          <w:marBottom w:val="0"/>
          <w:divBdr>
            <w:top w:val="none" w:sz="0" w:space="0" w:color="auto"/>
            <w:left w:val="none" w:sz="0" w:space="0" w:color="auto"/>
            <w:bottom w:val="none" w:sz="0" w:space="0" w:color="auto"/>
            <w:right w:val="none" w:sz="0" w:space="0" w:color="auto"/>
          </w:divBdr>
        </w:div>
        <w:div w:id="1250114618">
          <w:marLeft w:val="1800"/>
          <w:marRight w:val="0"/>
          <w:marTop w:val="67"/>
          <w:marBottom w:val="0"/>
          <w:divBdr>
            <w:top w:val="none" w:sz="0" w:space="0" w:color="auto"/>
            <w:left w:val="none" w:sz="0" w:space="0" w:color="auto"/>
            <w:bottom w:val="none" w:sz="0" w:space="0" w:color="auto"/>
            <w:right w:val="none" w:sz="0" w:space="0" w:color="auto"/>
          </w:divBdr>
        </w:div>
      </w:divsChild>
    </w:div>
    <w:div w:id="646856265">
      <w:bodyDiv w:val="1"/>
      <w:marLeft w:val="0"/>
      <w:marRight w:val="0"/>
      <w:marTop w:val="0"/>
      <w:marBottom w:val="0"/>
      <w:divBdr>
        <w:top w:val="none" w:sz="0" w:space="0" w:color="auto"/>
        <w:left w:val="none" w:sz="0" w:space="0" w:color="auto"/>
        <w:bottom w:val="none" w:sz="0" w:space="0" w:color="auto"/>
        <w:right w:val="none" w:sz="0" w:space="0" w:color="auto"/>
      </w:divBdr>
    </w:div>
    <w:div w:id="674234483">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188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DCAE2-FB79-4506-8E54-623D4922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604</Words>
  <Characters>3806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R&amp;S</cp:lastModifiedBy>
  <cp:revision>12</cp:revision>
  <cp:lastPrinted>2018-08-10T06:24:00Z</cp:lastPrinted>
  <dcterms:created xsi:type="dcterms:W3CDTF">2024-08-05T09:58:00Z</dcterms:created>
  <dcterms:modified xsi:type="dcterms:W3CDTF">2024-08-08T13:38:00Z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