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D86108" w14:textId="0BE78DC5" w:rsidR="00E310D5" w:rsidRPr="00157D3F" w:rsidRDefault="004552DD">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val="en-CN" w:eastAsia="zh-CN"/>
        </w:rPr>
      </w:pPr>
      <w:bookmarkStart w:id="0" w:name="OLE_LINK138"/>
      <w:bookmarkStart w:id="1" w:name="OLE_LINK137"/>
      <w:r>
        <w:rPr>
          <w:rFonts w:eastAsia="Times New Roman" w:cs="Arial"/>
          <w:sz w:val="24"/>
          <w:szCs w:val="28"/>
          <w:lang w:eastAsia="zh-CN"/>
        </w:rPr>
        <w:t>3GPP TSG-RAN WG</w:t>
      </w:r>
      <w:r w:rsidR="00B11653">
        <w:rPr>
          <w:rFonts w:eastAsia="Times New Roman" w:cs="Arial"/>
          <w:sz w:val="24"/>
          <w:szCs w:val="28"/>
          <w:lang w:eastAsia="zh-CN"/>
        </w:rPr>
        <w:t>4</w:t>
      </w:r>
      <w:r>
        <w:rPr>
          <w:rFonts w:eastAsia="Times New Roman" w:cs="Arial"/>
          <w:sz w:val="24"/>
          <w:szCs w:val="28"/>
          <w:lang w:eastAsia="zh-CN"/>
        </w:rPr>
        <w:t xml:space="preserve"> Meeting #1</w:t>
      </w:r>
      <w:r w:rsidR="00B11653">
        <w:rPr>
          <w:rFonts w:eastAsia="Times New Roman" w:cs="Arial"/>
          <w:sz w:val="24"/>
          <w:szCs w:val="28"/>
          <w:lang w:eastAsia="zh-CN"/>
        </w:rPr>
        <w:t>12</w:t>
      </w:r>
      <w:r>
        <w:rPr>
          <w:rFonts w:eastAsia="Times New Roman" w:cs="Arial"/>
          <w:sz w:val="24"/>
          <w:szCs w:val="28"/>
          <w:lang w:eastAsia="zh-CN"/>
        </w:rPr>
        <w:tab/>
      </w:r>
      <w:r>
        <w:rPr>
          <w:rFonts w:eastAsia="Times New Roman" w:cs="Arial"/>
          <w:sz w:val="24"/>
          <w:szCs w:val="28"/>
          <w:lang w:eastAsia="zh-CN"/>
        </w:rPr>
        <w:tab/>
      </w:r>
      <w:r w:rsidR="00157D3F" w:rsidRPr="00157D3F">
        <w:rPr>
          <w:rFonts w:eastAsia="Times New Roman" w:cs="Arial"/>
          <w:sz w:val="24"/>
          <w:szCs w:val="28"/>
          <w:lang w:val="en-CN" w:eastAsia="zh-CN"/>
        </w:rPr>
        <w:t>R4-2411429</w:t>
      </w:r>
    </w:p>
    <w:p w14:paraId="660F664A" w14:textId="2950A404" w:rsidR="00E310D5" w:rsidRDefault="00FC08BD">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r>
        <w:rPr>
          <w:rFonts w:eastAsia="Times New Roman" w:cs="Arial"/>
          <w:sz w:val="24"/>
          <w:szCs w:val="28"/>
          <w:lang w:eastAsia="zh-CN"/>
        </w:rPr>
        <w:t>Maastricht</w:t>
      </w:r>
      <w:r w:rsidR="004552DD">
        <w:rPr>
          <w:rFonts w:eastAsia="Times New Roman" w:cs="Arial"/>
          <w:sz w:val="24"/>
          <w:szCs w:val="28"/>
          <w:lang w:eastAsia="zh-CN"/>
        </w:rPr>
        <w:t xml:space="preserve">, </w:t>
      </w:r>
      <w:r>
        <w:rPr>
          <w:rFonts w:eastAsia="Times New Roman" w:cs="Arial"/>
          <w:sz w:val="24"/>
          <w:szCs w:val="28"/>
          <w:lang w:eastAsia="zh-CN"/>
        </w:rPr>
        <w:t>Netherlands,</w:t>
      </w:r>
      <w:r w:rsidR="004552DD">
        <w:rPr>
          <w:rFonts w:eastAsia="Times New Roman" w:cs="Arial"/>
          <w:sz w:val="24"/>
          <w:szCs w:val="28"/>
          <w:lang w:eastAsia="zh-CN"/>
        </w:rPr>
        <w:t xml:space="preserve"> </w:t>
      </w:r>
      <w:r>
        <w:rPr>
          <w:rFonts w:eastAsia="Times New Roman" w:cs="Arial"/>
          <w:sz w:val="24"/>
          <w:szCs w:val="28"/>
          <w:lang w:eastAsia="zh-CN"/>
        </w:rPr>
        <w:t>19</w:t>
      </w:r>
      <w:r w:rsidR="004552DD">
        <w:rPr>
          <w:rFonts w:eastAsia="Times New Roman" w:cs="Arial"/>
          <w:sz w:val="24"/>
          <w:szCs w:val="28"/>
          <w:lang w:eastAsia="zh-CN"/>
        </w:rPr>
        <w:t xml:space="preserve"> – </w:t>
      </w:r>
      <w:r>
        <w:rPr>
          <w:rFonts w:eastAsia="Times New Roman" w:cs="Arial"/>
          <w:sz w:val="24"/>
          <w:szCs w:val="28"/>
          <w:lang w:eastAsia="zh-CN"/>
        </w:rPr>
        <w:t>23</w:t>
      </w:r>
      <w:r w:rsidR="004552DD">
        <w:rPr>
          <w:rFonts w:eastAsia="Times New Roman" w:cs="Arial"/>
          <w:sz w:val="24"/>
          <w:szCs w:val="28"/>
          <w:lang w:eastAsia="zh-CN"/>
        </w:rPr>
        <w:t>, 2024</w:t>
      </w:r>
      <w:r w:rsidR="004552DD">
        <w:rPr>
          <w:rFonts w:cs="Arial"/>
          <w:szCs w:val="24"/>
          <w:lang w:eastAsia="zh-CN"/>
        </w:rPr>
        <w:tab/>
      </w:r>
    </w:p>
    <w:p w14:paraId="77D424C8" w14:textId="77777777" w:rsidR="00E310D5" w:rsidRDefault="00E310D5">
      <w:pPr>
        <w:pStyle w:val="3GPPHeader"/>
        <w:rPr>
          <w:rFonts w:ascii="Arial" w:hAnsi="Arial" w:cs="Arial"/>
          <w:color w:val="FF0000"/>
          <w:szCs w:val="24"/>
          <w:lang w:eastAsia="zh-TW"/>
        </w:rPr>
      </w:pPr>
    </w:p>
    <w:p w14:paraId="20940F2F" w14:textId="71B7180E" w:rsidR="00E310D5" w:rsidRDefault="004552DD">
      <w:pPr>
        <w:pStyle w:val="3GPPHeader"/>
        <w:rPr>
          <w:rFonts w:ascii="Arial" w:hAnsi="Arial" w:cs="Arial"/>
          <w:szCs w:val="24"/>
          <w:lang w:eastAsia="zh-TW"/>
        </w:rPr>
      </w:pPr>
      <w:r>
        <w:rPr>
          <w:rFonts w:ascii="Arial" w:hAnsi="Arial" w:cs="Arial"/>
          <w:szCs w:val="24"/>
        </w:rPr>
        <w:t>Agenda Item:</w:t>
      </w:r>
      <w:r>
        <w:rPr>
          <w:rFonts w:ascii="Arial" w:hAnsi="Arial" w:cs="Arial"/>
          <w:szCs w:val="24"/>
        </w:rPr>
        <w:tab/>
      </w:r>
      <w:r w:rsidR="00730026">
        <w:rPr>
          <w:rFonts w:ascii="Arial" w:hAnsi="Arial" w:cs="Arial"/>
          <w:szCs w:val="24"/>
        </w:rPr>
        <w:t>5</w:t>
      </w:r>
      <w:r w:rsidR="00635DE7">
        <w:rPr>
          <w:rFonts w:ascii="Arial" w:hAnsi="Arial" w:cs="Arial"/>
          <w:szCs w:val="24"/>
        </w:rPr>
        <w:t>.</w:t>
      </w:r>
      <w:r w:rsidR="00730026">
        <w:rPr>
          <w:rFonts w:ascii="Arial" w:hAnsi="Arial" w:cs="Arial"/>
          <w:szCs w:val="24"/>
        </w:rPr>
        <w:t>15</w:t>
      </w:r>
      <w:r w:rsidR="00635DE7">
        <w:rPr>
          <w:rFonts w:ascii="Arial" w:hAnsi="Arial" w:cs="Arial"/>
          <w:szCs w:val="24"/>
        </w:rPr>
        <w:t>.1</w:t>
      </w:r>
    </w:p>
    <w:p w14:paraId="6B1741BB" w14:textId="5EFA0B03" w:rsidR="00E310D5" w:rsidRDefault="004552DD">
      <w:pPr>
        <w:pStyle w:val="3GPPHeader"/>
        <w:rPr>
          <w:rFonts w:ascii="Arial" w:hAnsi="Arial" w:cs="Arial"/>
          <w:szCs w:val="24"/>
        </w:rPr>
      </w:pPr>
      <w:r>
        <w:rPr>
          <w:rFonts w:ascii="Arial" w:hAnsi="Arial" w:cs="Arial"/>
          <w:szCs w:val="24"/>
        </w:rPr>
        <w:t xml:space="preserve">Source: </w:t>
      </w:r>
      <w:r>
        <w:rPr>
          <w:rFonts w:ascii="Arial" w:hAnsi="Arial" w:cs="Arial"/>
          <w:szCs w:val="24"/>
        </w:rPr>
        <w:tab/>
        <w:t>Apple</w:t>
      </w:r>
    </w:p>
    <w:p w14:paraId="7641A3F5" w14:textId="7A8D8BA9" w:rsidR="00E310D5" w:rsidRPr="00FB1686" w:rsidRDefault="004552DD" w:rsidP="00FB1686">
      <w:pPr>
        <w:pStyle w:val="3GPPHeaderArial"/>
        <w:tabs>
          <w:tab w:val="left" w:pos="1701"/>
        </w:tabs>
        <w:ind w:left="1701" w:hanging="1701"/>
        <w:rPr>
          <w:b/>
          <w:sz w:val="24"/>
          <w:lang w:val="en-CN"/>
        </w:rPr>
      </w:pPr>
      <w:r>
        <w:rPr>
          <w:b/>
          <w:sz w:val="24"/>
          <w:lang w:val="en-GB"/>
        </w:rPr>
        <w:t>Title:</w:t>
      </w:r>
      <w:r>
        <w:rPr>
          <w:b/>
          <w:sz w:val="24"/>
          <w:lang w:val="en-GB"/>
        </w:rPr>
        <w:tab/>
      </w:r>
      <w:r w:rsidR="00FB1686" w:rsidRPr="00FB1686">
        <w:rPr>
          <w:b/>
          <w:sz w:val="24"/>
          <w:lang w:val="en-CN"/>
        </w:rPr>
        <w:t>Discussion of R18 gap core requirements maintenance</w:t>
      </w:r>
    </w:p>
    <w:p w14:paraId="4F3BE61D" w14:textId="77777777" w:rsidR="00E310D5" w:rsidRDefault="00E310D5">
      <w:pPr>
        <w:pStyle w:val="3GPPHeaderArial"/>
        <w:tabs>
          <w:tab w:val="left" w:pos="1701"/>
        </w:tabs>
        <w:rPr>
          <w:b/>
          <w:sz w:val="24"/>
          <w:lang w:val="en-GB" w:eastAsia="zh-TW"/>
        </w:rPr>
      </w:pPr>
    </w:p>
    <w:p w14:paraId="47F7C6F8" w14:textId="5C8E7F9E" w:rsidR="00E310D5" w:rsidRDefault="004552DD">
      <w:pPr>
        <w:pStyle w:val="3GPPHeader"/>
        <w:rPr>
          <w:rFonts w:ascii="Arial" w:hAnsi="Arial" w:cs="Arial"/>
          <w:szCs w:val="24"/>
        </w:rPr>
      </w:pPr>
      <w:r>
        <w:rPr>
          <w:rFonts w:ascii="Arial" w:hAnsi="Arial" w:cs="Arial"/>
          <w:szCs w:val="24"/>
        </w:rPr>
        <w:t>Document for:</w:t>
      </w:r>
      <w:r w:rsidR="00B125DE">
        <w:rPr>
          <w:rFonts w:ascii="Arial" w:hAnsi="Arial" w:cs="Arial"/>
          <w:szCs w:val="24"/>
        </w:rPr>
        <w:tab/>
        <w:t xml:space="preserve">Approval </w:t>
      </w:r>
    </w:p>
    <w:p w14:paraId="0798E92C" w14:textId="77777777" w:rsidR="00E310D5" w:rsidRDefault="004552DD">
      <w:pPr>
        <w:pStyle w:val="Heading1"/>
        <w:overflowPunct w:val="0"/>
        <w:autoSpaceDE w:val="0"/>
        <w:autoSpaceDN w:val="0"/>
        <w:adjustRightInd w:val="0"/>
        <w:rPr>
          <w:rFonts w:eastAsia="PMingLiU" w:cs="Arial"/>
        </w:rPr>
      </w:pPr>
      <w:r>
        <w:rPr>
          <w:rFonts w:eastAsia="PMingLiU" w:cs="Arial"/>
        </w:rPr>
        <w:t>Introduction</w:t>
      </w:r>
      <w:bookmarkStart w:id="2" w:name="OLE_LINK39"/>
      <w:bookmarkStart w:id="3" w:name="OLE_LINK37"/>
      <w:bookmarkStart w:id="4" w:name="OLE_LINK38"/>
    </w:p>
    <w:bookmarkEnd w:id="2"/>
    <w:bookmarkEnd w:id="3"/>
    <w:bookmarkEnd w:id="4"/>
    <w:p w14:paraId="00F52927" w14:textId="77777777" w:rsidR="00373FBE" w:rsidRPr="00373FBE" w:rsidRDefault="00373FBE" w:rsidP="00373FBE">
      <w:pPr>
        <w:spacing w:before="120" w:after="120"/>
        <w:jc w:val="both"/>
        <w:rPr>
          <w:lang w:val="en-GB"/>
        </w:rPr>
      </w:pPr>
      <w:r w:rsidRPr="00373FBE">
        <w:rPr>
          <w:lang w:val="en-GB"/>
        </w:rPr>
        <w:t xml:space="preserve">Core part of joint configuration of </w:t>
      </w:r>
      <w:r w:rsidRPr="00373FBE">
        <w:rPr>
          <w:bCs/>
          <w:lang w:val="en-CN"/>
        </w:rPr>
        <w:t>pre-configured MGs, multiple concurrent MGs and NCSG</w:t>
      </w:r>
      <w:r w:rsidRPr="00373FBE">
        <w:rPr>
          <w:lang w:val="en-GB"/>
        </w:rPr>
        <w:t xml:space="preserve"> has been finalized. However, there are still some remaining issues based on the maintenance discussion in previous RAN4 meeting. The last agreements can be found in [1]. </w:t>
      </w:r>
    </w:p>
    <w:p w14:paraId="7205A8FB" w14:textId="0431391E" w:rsidR="00E310D5" w:rsidRPr="00373FBE" w:rsidRDefault="00373FBE">
      <w:pPr>
        <w:spacing w:before="120" w:after="120"/>
        <w:jc w:val="both"/>
        <w:rPr>
          <w:lang w:val="en-GB"/>
        </w:rPr>
      </w:pPr>
      <w:r w:rsidRPr="00373FBE">
        <w:rPr>
          <w:lang w:val="en-GB"/>
        </w:rPr>
        <w:t>In this contribution, we continue discussing the open issues.</w:t>
      </w:r>
    </w:p>
    <w:p w14:paraId="4D0B89A1" w14:textId="77777777" w:rsidR="00DF3439" w:rsidRDefault="00DF3439">
      <w:pPr>
        <w:spacing w:before="120" w:after="120"/>
        <w:jc w:val="both"/>
        <w:rPr>
          <w:rFonts w:ascii="Arial" w:eastAsiaTheme="minorEastAsia" w:hAnsi="Arial" w:cs="Arial"/>
          <w:b/>
          <w:bCs/>
          <w:lang w:val="en-GB"/>
        </w:rPr>
      </w:pPr>
    </w:p>
    <w:p w14:paraId="3E25962B" w14:textId="74C3BD48" w:rsidR="00E310D5" w:rsidRDefault="00B14301">
      <w:pPr>
        <w:pStyle w:val="Heading1"/>
        <w:overflowPunct w:val="0"/>
        <w:autoSpaceDE w:val="0"/>
        <w:autoSpaceDN w:val="0"/>
        <w:adjustRightInd w:val="0"/>
        <w:spacing w:before="0" w:after="120"/>
        <w:rPr>
          <w:rFonts w:eastAsia="PMingLiU" w:cs="Arial"/>
        </w:rPr>
      </w:pPr>
      <w:r>
        <w:rPr>
          <w:rFonts w:eastAsia="PMingLiU" w:cs="Arial"/>
        </w:rPr>
        <w:t>Discussion</w:t>
      </w:r>
    </w:p>
    <w:p w14:paraId="2829FE2E" w14:textId="3F6E314C" w:rsidR="00E36CD0" w:rsidRPr="00161DC4" w:rsidRDefault="00A63AF1" w:rsidP="00E36CD0">
      <w:pPr>
        <w:pStyle w:val="Caption"/>
        <w:rPr>
          <w:b w:val="0"/>
          <w:bCs/>
        </w:rPr>
      </w:pPr>
      <w:r>
        <w:rPr>
          <w:b w:val="0"/>
          <w:bCs/>
        </w:rPr>
        <w:t xml:space="preserve">The only remaining issue is about the </w:t>
      </w:r>
      <w:r w:rsidRPr="00A63AF1">
        <w:rPr>
          <w:b w:val="0"/>
          <w:bCs/>
          <w:lang w:val="en-US"/>
        </w:rPr>
        <w:t>UE behavior for deactivated SCell measurements with NCSG</w:t>
      </w:r>
      <w:r>
        <w:rPr>
          <w:b w:val="0"/>
          <w:bCs/>
          <w:lang w:val="en-US"/>
        </w:rPr>
        <w:t>:</w:t>
      </w:r>
    </w:p>
    <w:p w14:paraId="717CB7F7" w14:textId="77777777" w:rsidR="00A63AF1" w:rsidRDefault="00A63AF1" w:rsidP="00A63AF1">
      <w:pPr>
        <w:pStyle w:val="Heading3"/>
      </w:pPr>
      <w:r>
        <w:t>Sub-topic 3-2: Rel-18 UE behavior for deactivated SCell measurements with NCSG</w:t>
      </w:r>
    </w:p>
    <w:p w14:paraId="58AA6023" w14:textId="77777777" w:rsidR="00A63AF1" w:rsidRDefault="00A63AF1" w:rsidP="00A63AF1">
      <w:pPr>
        <w:rPr>
          <w:b/>
          <w:color w:val="0070C0"/>
          <w:u w:val="single"/>
          <w:lang w:eastAsia="ko-KR"/>
        </w:rPr>
      </w:pPr>
      <w:bookmarkStart w:id="5" w:name="OLE_LINK1"/>
      <w:bookmarkStart w:id="6" w:name="OLE_LINK2"/>
      <w:r>
        <w:rPr>
          <w:b/>
          <w:color w:val="0070C0"/>
          <w:u w:val="single"/>
          <w:lang w:eastAsia="ko-KR"/>
        </w:rPr>
        <w:t>Issue 3-2-1: [Case 2] When the UE is configured with Concurrent gaps with NCSG, what is the potential changes to UE behaviour for NCSG upon SCell activation (in Rel-18)</w:t>
      </w:r>
    </w:p>
    <w:p w14:paraId="1B36FDA7" w14:textId="77777777" w:rsidR="00A63AF1" w:rsidRDefault="00A63AF1" w:rsidP="00A63AF1">
      <w:pPr>
        <w:spacing w:after="120"/>
        <w:rPr>
          <w:rFonts w:eastAsia="DengXian"/>
          <w:szCs w:val="24"/>
          <w:highlight w:val="green"/>
          <w:lang w:eastAsia="zh-CN"/>
        </w:rPr>
      </w:pPr>
      <w:r>
        <w:rPr>
          <w:rFonts w:eastAsia="DengXian"/>
          <w:szCs w:val="24"/>
          <w:highlight w:val="green"/>
          <w:lang w:eastAsia="zh-CN"/>
        </w:rPr>
        <w:t>Agreement from online session:</w:t>
      </w:r>
    </w:p>
    <w:p w14:paraId="27ADA877" w14:textId="77777777" w:rsidR="00A63AF1" w:rsidRPr="000648D5" w:rsidRDefault="00A63AF1" w:rsidP="00A63AF1">
      <w:pPr>
        <w:pStyle w:val="ListParagraph"/>
        <w:numPr>
          <w:ilvl w:val="0"/>
          <w:numId w:val="29"/>
        </w:numPr>
        <w:spacing w:after="120"/>
        <w:contextualSpacing w:val="0"/>
        <w:textAlignment w:val="auto"/>
        <w:rPr>
          <w:rFonts w:eastAsia="PMingLiU"/>
          <w:szCs w:val="24"/>
          <w:lang w:eastAsia="zh-TW"/>
        </w:rPr>
      </w:pPr>
      <w:r w:rsidRPr="000648D5">
        <w:rPr>
          <w:rFonts w:eastAsia="PMingLiU"/>
          <w:lang w:eastAsia="zh-TW"/>
        </w:rPr>
        <w:t>For UE configured with one NCSG and one Type 1/2 MG: All deactivated SCells are measured within NCSG, regardless of the reported UE capabilities [and gap association].</w:t>
      </w:r>
    </w:p>
    <w:p w14:paraId="4C24AAEE" w14:textId="77777777" w:rsidR="00A63AF1" w:rsidRPr="004805A5" w:rsidRDefault="00A63AF1" w:rsidP="00A63AF1">
      <w:pPr>
        <w:pStyle w:val="ListParagraph"/>
        <w:numPr>
          <w:ilvl w:val="1"/>
          <w:numId w:val="29"/>
        </w:numPr>
        <w:spacing w:after="120"/>
        <w:contextualSpacing w:val="0"/>
        <w:textAlignment w:val="auto"/>
        <w:rPr>
          <w:rFonts w:eastAsia="PMingLiU"/>
          <w:lang w:eastAsia="zh-TW"/>
        </w:rPr>
      </w:pPr>
      <w:r w:rsidRPr="004805A5">
        <w:rPr>
          <w:rFonts w:eastAsia="DengXian"/>
        </w:rPr>
        <w:t>Further details on the processing delay between NCSG and Type 1/2 MG can be further discussed.</w:t>
      </w:r>
    </w:p>
    <w:p w14:paraId="35BE542A" w14:textId="77777777" w:rsidR="00A63AF1" w:rsidRPr="000648D5" w:rsidRDefault="00A63AF1" w:rsidP="00A63AF1">
      <w:pPr>
        <w:pStyle w:val="ListParagraph"/>
        <w:numPr>
          <w:ilvl w:val="0"/>
          <w:numId w:val="29"/>
        </w:numPr>
        <w:spacing w:after="120"/>
        <w:contextualSpacing w:val="0"/>
        <w:textAlignment w:val="auto"/>
        <w:rPr>
          <w:rFonts w:eastAsia="PMingLiU"/>
          <w:lang w:eastAsia="zh-TW"/>
        </w:rPr>
      </w:pPr>
      <w:r w:rsidRPr="000648D5">
        <w:rPr>
          <w:rFonts w:eastAsia="PMingLiU"/>
          <w:lang w:eastAsia="zh-TW"/>
        </w:rPr>
        <w:t>For UE configured with 2 NCSG, deactivated SCells are measured with NCSG</w:t>
      </w:r>
    </w:p>
    <w:p w14:paraId="61AF91B8" w14:textId="77777777" w:rsidR="00A63AF1" w:rsidRPr="000648D5" w:rsidRDefault="00A63AF1" w:rsidP="00A63AF1">
      <w:pPr>
        <w:pStyle w:val="ListParagraph"/>
        <w:numPr>
          <w:ilvl w:val="1"/>
          <w:numId w:val="29"/>
        </w:numPr>
        <w:spacing w:after="120"/>
        <w:contextualSpacing w:val="0"/>
        <w:textAlignment w:val="auto"/>
        <w:rPr>
          <w:rFonts w:eastAsia="PMingLiU"/>
          <w:lang w:eastAsia="zh-TW"/>
        </w:rPr>
      </w:pPr>
      <w:r w:rsidRPr="000648D5">
        <w:rPr>
          <w:rFonts w:eastAsia="PMingLiU"/>
          <w:lang w:eastAsia="zh-TW"/>
        </w:rPr>
        <w:t>If the association is provided, deactivated SCells are measured with NCSG according to gap association.</w:t>
      </w:r>
    </w:p>
    <w:p w14:paraId="27761E1B" w14:textId="77777777" w:rsidR="00A63AF1" w:rsidRPr="00DE7955" w:rsidRDefault="00A63AF1" w:rsidP="00A63AF1">
      <w:pPr>
        <w:pStyle w:val="ListParagraph"/>
        <w:numPr>
          <w:ilvl w:val="1"/>
          <w:numId w:val="29"/>
        </w:numPr>
        <w:spacing w:after="120"/>
        <w:contextualSpacing w:val="0"/>
        <w:textAlignment w:val="auto"/>
        <w:rPr>
          <w:rFonts w:eastAsia="PMingLiU"/>
          <w:u w:val="single"/>
          <w:lang w:eastAsia="zh-TW"/>
        </w:rPr>
      </w:pPr>
      <w:r w:rsidRPr="000648D5">
        <w:rPr>
          <w:rFonts w:eastAsia="PMingLiU"/>
          <w:lang w:eastAsia="zh-TW"/>
        </w:rPr>
        <w:t xml:space="preserve">If the association is not provided, </w:t>
      </w:r>
      <w:r w:rsidRPr="0093373D">
        <w:rPr>
          <w:rFonts w:eastAsia="PMingLiU"/>
          <w:lang w:eastAsia="zh-TW"/>
        </w:rPr>
        <w:t>UE is not expected to cause interruption outside the VIL due to measurement on any of the deactivated SCells, and the existing measurement delay requirement does not apply to this case.</w:t>
      </w:r>
    </w:p>
    <w:bookmarkEnd w:id="5"/>
    <w:bookmarkEnd w:id="6"/>
    <w:p w14:paraId="7AE059D6" w14:textId="77777777" w:rsidR="00617D10" w:rsidRDefault="00617D10" w:rsidP="00617D10">
      <w:pPr>
        <w:rPr>
          <w:bCs/>
          <w:lang w:val="en-GB" w:eastAsia="en-US"/>
        </w:rPr>
      </w:pPr>
    </w:p>
    <w:p w14:paraId="6845A88B" w14:textId="226B1D16" w:rsidR="00BC2A7D" w:rsidRPr="00BC2A7D" w:rsidRDefault="00DF2B0E" w:rsidP="00BC2A7D">
      <w:pPr>
        <w:spacing w:before="120" w:after="120"/>
        <w:jc w:val="both"/>
        <w:rPr>
          <w:lang w:val="en-GB"/>
        </w:rPr>
      </w:pPr>
      <w:r w:rsidRPr="00BC2A7D">
        <w:rPr>
          <w:lang w:val="en-GB"/>
        </w:rPr>
        <w:t xml:space="preserve">According to the above agreement, </w:t>
      </w:r>
      <w:r w:rsidR="00BC2A7D" w:rsidRPr="00BC2A7D">
        <w:rPr>
          <w:lang w:val="en-GB"/>
        </w:rPr>
        <w:t xml:space="preserve">measurement type of MO on the SCC may change upon SCell </w:t>
      </w:r>
      <w:r w:rsidR="008F7AB6">
        <w:rPr>
          <w:lang w:val="en-GB"/>
        </w:rPr>
        <w:t>activation/</w:t>
      </w:r>
      <w:r w:rsidR="00BC2A7D" w:rsidRPr="00BC2A7D">
        <w:rPr>
          <w:lang w:val="en-GB"/>
        </w:rPr>
        <w:t>deactivation. Following are the possible transitions in R18:</w:t>
      </w:r>
    </w:p>
    <w:p w14:paraId="221F8130" w14:textId="0BD4830E" w:rsidR="008F7AB6" w:rsidRDefault="008F7AB6" w:rsidP="008F7AB6">
      <w:pPr>
        <w:pStyle w:val="ListParagraph"/>
        <w:numPr>
          <w:ilvl w:val="0"/>
          <w:numId w:val="31"/>
        </w:numPr>
        <w:spacing w:before="120" w:after="120"/>
        <w:jc w:val="both"/>
      </w:pPr>
      <w:r>
        <w:t xml:space="preserve">Intra-frequency measurement without gap -&gt; intra-frequency measurement with </w:t>
      </w:r>
      <w:r w:rsidR="00384BDA">
        <w:t>gap</w:t>
      </w:r>
    </w:p>
    <w:p w14:paraId="2DABC30A" w14:textId="7B404F79" w:rsidR="008F7AB6" w:rsidRDefault="008F7AB6" w:rsidP="008F7AB6">
      <w:pPr>
        <w:pStyle w:val="ListParagraph"/>
        <w:numPr>
          <w:ilvl w:val="0"/>
          <w:numId w:val="31"/>
        </w:numPr>
        <w:spacing w:before="120" w:after="120"/>
        <w:jc w:val="both"/>
      </w:pPr>
      <w:r>
        <w:t xml:space="preserve">Intra-frequency measurement with </w:t>
      </w:r>
      <w:r w:rsidR="00384BDA">
        <w:t>gap</w:t>
      </w:r>
      <w:r>
        <w:t xml:space="preserve"> -&gt; intra-frequency measurement without gap</w:t>
      </w:r>
    </w:p>
    <w:p w14:paraId="3E58D8AA" w14:textId="5E75334F" w:rsidR="00A63AF1" w:rsidRDefault="00BC2A7D" w:rsidP="00BC2A7D">
      <w:pPr>
        <w:pStyle w:val="ListParagraph"/>
        <w:numPr>
          <w:ilvl w:val="0"/>
          <w:numId w:val="31"/>
        </w:numPr>
        <w:spacing w:before="120" w:after="120"/>
        <w:jc w:val="both"/>
      </w:pPr>
      <w:r>
        <w:t>Intra-frequency measurement without gap -&gt; intra-frequency measurement with NCSG</w:t>
      </w:r>
    </w:p>
    <w:p w14:paraId="4BF2DE73" w14:textId="5DC0544D" w:rsidR="00BC2A7D" w:rsidRDefault="00BC2A7D" w:rsidP="00BC2A7D">
      <w:pPr>
        <w:pStyle w:val="ListParagraph"/>
        <w:numPr>
          <w:ilvl w:val="0"/>
          <w:numId w:val="31"/>
        </w:numPr>
        <w:spacing w:before="120" w:after="120"/>
        <w:jc w:val="both"/>
      </w:pPr>
      <w:r>
        <w:t>Intra-frequency measurement with NCSG -&gt; intra-frequency measurement without gap</w:t>
      </w:r>
    </w:p>
    <w:p w14:paraId="366EF287" w14:textId="3E9EA0A2" w:rsidR="00BC2A7D" w:rsidRDefault="00BC2A7D" w:rsidP="00BC2A7D">
      <w:pPr>
        <w:pStyle w:val="ListParagraph"/>
        <w:numPr>
          <w:ilvl w:val="0"/>
          <w:numId w:val="31"/>
        </w:numPr>
        <w:spacing w:before="120" w:after="120"/>
        <w:jc w:val="both"/>
      </w:pPr>
      <w:r>
        <w:t>Intra-frequency measurement with Type 1/2 MG -&gt; intra-frequency measurement with NCSG</w:t>
      </w:r>
    </w:p>
    <w:p w14:paraId="78733D42" w14:textId="4178EAAC" w:rsidR="00ED50D4" w:rsidRDefault="00ED50D4" w:rsidP="00ED50D4">
      <w:pPr>
        <w:pStyle w:val="ListParagraph"/>
        <w:numPr>
          <w:ilvl w:val="0"/>
          <w:numId w:val="31"/>
        </w:numPr>
        <w:spacing w:before="120" w:after="120"/>
        <w:jc w:val="both"/>
      </w:pPr>
      <w:r>
        <w:t xml:space="preserve">Intra-frequency measurement with NCSG-&gt; intra-frequency measurement with </w:t>
      </w:r>
      <w:r w:rsidR="00AB0F43">
        <w:t>Type 1/2 MG</w:t>
      </w:r>
    </w:p>
    <w:p w14:paraId="6C6E301E" w14:textId="5A412917" w:rsidR="00BC2A7D" w:rsidRDefault="0047668A" w:rsidP="0047668A">
      <w:pPr>
        <w:spacing w:before="120" w:after="120"/>
        <w:jc w:val="both"/>
      </w:pPr>
      <w:r>
        <w:t>Scenario 1) and 2) are legacy scenarios, e.g. when SCell is active but the active BWP cannot cover target SSB, the MO needs to be measured within MG. while when the SCell becomes deactivated, it can be measured without gap with potential interruption.</w:t>
      </w:r>
      <w:r w:rsidR="00F30842">
        <w:t xml:space="preserve"> RAN4 already has requirement to cover the transition between measurement without gap and measurement with gap</w:t>
      </w:r>
      <w:r w:rsidR="00712C5F">
        <w:t>:</w:t>
      </w:r>
    </w:p>
    <w:tbl>
      <w:tblPr>
        <w:tblStyle w:val="TableGrid"/>
        <w:tblW w:w="0" w:type="auto"/>
        <w:tblLook w:val="04A0" w:firstRow="1" w:lastRow="0" w:firstColumn="1" w:lastColumn="0" w:noHBand="0" w:noVBand="1"/>
      </w:tblPr>
      <w:tblGrid>
        <w:gridCol w:w="9629"/>
      </w:tblGrid>
      <w:tr w:rsidR="002323B2" w14:paraId="4B7BDF7E" w14:textId="77777777" w:rsidTr="002323B2">
        <w:tc>
          <w:tcPr>
            <w:tcW w:w="9629" w:type="dxa"/>
          </w:tcPr>
          <w:p w14:paraId="05926652" w14:textId="77777777" w:rsidR="002323B2" w:rsidRPr="009C5807" w:rsidRDefault="002323B2" w:rsidP="002323B2">
            <w:pPr>
              <w:pStyle w:val="Heading3"/>
            </w:pPr>
            <w:r w:rsidRPr="009C5807">
              <w:lastRenderedPageBreak/>
              <w:t>9.1.6</w:t>
            </w:r>
            <w:r w:rsidRPr="009C5807">
              <w:tab/>
              <w:t>Minimum requirement at transitions</w:t>
            </w:r>
          </w:p>
          <w:p w14:paraId="5C6C1A79" w14:textId="77777777" w:rsidR="002323B2" w:rsidRPr="009C5807" w:rsidRDefault="002323B2" w:rsidP="002323B2">
            <w:pPr>
              <w:rPr>
                <w:lang w:eastAsia="ko-KR"/>
              </w:rPr>
            </w:pPr>
            <w:r w:rsidRPr="009C5807">
              <w:rPr>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3A40871F" w14:textId="77777777" w:rsidR="002323B2" w:rsidRPr="009C5807" w:rsidRDefault="002323B2" w:rsidP="002323B2">
            <w:pPr>
              <w:rPr>
                <w:lang w:eastAsia="ko-KR"/>
              </w:rPr>
            </w:pPr>
            <w:r w:rsidRPr="009C5807">
              <w:rPr>
                <w:lang w:eastAsia="ko-KR"/>
              </w:rPr>
              <w:t>The carrier-specific scaling factor specified in clause 9.1.5 that applies to the other impacted measurement objects will also apply based on the longer measurement or cell identification delay before or after the transition.</w:t>
            </w:r>
          </w:p>
          <w:p w14:paraId="588C9111" w14:textId="77777777" w:rsidR="002323B2" w:rsidRPr="009C5807" w:rsidRDefault="002323B2" w:rsidP="002323B2">
            <w:pPr>
              <w:rPr>
                <w:lang w:eastAsia="ko-KR"/>
              </w:rPr>
            </w:pPr>
            <w:r w:rsidRPr="009C5807">
              <w:t>When the UE transitions between DRX and non-DRX or when DRX cycle periodicity changes,</w:t>
            </w:r>
            <w:r w:rsidRPr="009C5807">
              <w:rPr>
                <w:lang w:eastAsia="ko-KR"/>
              </w:rPr>
              <w:t xml:space="preserve"> the cell identification and measurement period requirements apply based on the longer delay before or after the transition.</w:t>
            </w:r>
          </w:p>
          <w:p w14:paraId="23A62D18" w14:textId="77777777" w:rsidR="002323B2" w:rsidRDefault="002323B2" w:rsidP="002323B2">
            <w:pPr>
              <w:rPr>
                <w:lang w:eastAsia="ko-KR"/>
              </w:rPr>
            </w:pPr>
            <w:r w:rsidRPr="009C5807">
              <w:rPr>
                <w:lang w:eastAsia="ko-KR"/>
              </w:rPr>
              <w:t>Subsequent to this measurement period, the cell identification and measurement period requirements on each measurement object are corresponding to the second mode after transition.</w:t>
            </w:r>
          </w:p>
          <w:p w14:paraId="0F8A661B" w14:textId="77777777" w:rsidR="002323B2" w:rsidRDefault="002323B2" w:rsidP="0047668A">
            <w:pPr>
              <w:spacing w:before="120" w:after="120"/>
              <w:jc w:val="both"/>
            </w:pPr>
          </w:p>
        </w:tc>
      </w:tr>
    </w:tbl>
    <w:p w14:paraId="6A8DDEA5" w14:textId="4924BB87" w:rsidR="00712C5F" w:rsidRDefault="008674F7" w:rsidP="0047668A">
      <w:pPr>
        <w:spacing w:before="120" w:after="120"/>
        <w:jc w:val="both"/>
      </w:pPr>
      <w:r>
        <w:t xml:space="preserve">Scenario 3) and 4) actually are legacy R17 scenarios. </w:t>
      </w:r>
      <w:r w:rsidR="009C2339">
        <w:t>Note that this type of transition is not covered by current spec yet. Thus we’ve proposed a CR to introduce the missing requirements in R17.</w:t>
      </w:r>
    </w:p>
    <w:p w14:paraId="0E89DC3A" w14:textId="16E9C135" w:rsidR="002D087E" w:rsidRDefault="002D087E" w:rsidP="0047668A">
      <w:pPr>
        <w:spacing w:before="120" w:after="120"/>
        <w:jc w:val="both"/>
      </w:pPr>
      <w:r>
        <w:t>Scenario 5) and 6) are supported in R18. There is no transition requirement to cover that either. Therefore, we propose to add the missing part in this meeting.</w:t>
      </w:r>
    </w:p>
    <w:p w14:paraId="64FB7307" w14:textId="2A44E40A" w:rsidR="00326F88" w:rsidRDefault="00326F88" w:rsidP="00326F88">
      <w:pPr>
        <w:pStyle w:val="Caption"/>
      </w:pPr>
      <w:bookmarkStart w:id="7" w:name="_Ref173502819"/>
      <w:r>
        <w:t xml:space="preserve">Observation </w:t>
      </w:r>
      <w:r>
        <w:fldChar w:fldCharType="begin"/>
      </w:r>
      <w:r>
        <w:instrText xml:space="preserve"> SEQ Observation \* ARABIC </w:instrText>
      </w:r>
      <w:r>
        <w:fldChar w:fldCharType="separate"/>
      </w:r>
      <w:r>
        <w:rPr>
          <w:noProof/>
        </w:rPr>
        <w:t>1</w:t>
      </w:r>
      <w:r>
        <w:fldChar w:fldCharType="end"/>
      </w:r>
      <w:r>
        <w:t>: minimum requirements at transition between intra-frequency measurement with NCSG and intra-frequency measurement with gaps are still missing.</w:t>
      </w:r>
      <w:bookmarkEnd w:id="7"/>
    </w:p>
    <w:p w14:paraId="0AC4DD01" w14:textId="4B90292D" w:rsidR="00326F88" w:rsidRDefault="00326F88" w:rsidP="00326F88">
      <w:pPr>
        <w:pStyle w:val="Caption"/>
      </w:pPr>
      <w:bookmarkStart w:id="8" w:name="_Ref173502809"/>
      <w:r>
        <w:t xml:space="preserve">Proposal </w:t>
      </w:r>
      <w:r>
        <w:fldChar w:fldCharType="begin"/>
      </w:r>
      <w:r>
        <w:instrText xml:space="preserve"> SEQ Proposal \* ARABIC </w:instrText>
      </w:r>
      <w:r>
        <w:fldChar w:fldCharType="separate"/>
      </w:r>
      <w:r w:rsidR="006D3C2F">
        <w:rPr>
          <w:noProof/>
        </w:rPr>
        <w:t>1</w:t>
      </w:r>
      <w:r>
        <w:fldChar w:fldCharType="end"/>
      </w:r>
      <w:r>
        <w:t xml:space="preserve">: </w:t>
      </w:r>
      <w:r w:rsidR="00DC25C4">
        <w:t>introduce the missing requirements at transition between intra-frequency measurement with NCSG and intra-frequency measurement with gaps.</w:t>
      </w:r>
      <w:bookmarkEnd w:id="8"/>
    </w:p>
    <w:p w14:paraId="365FDBC0" w14:textId="77777777" w:rsidR="00D144CD" w:rsidRDefault="00D144CD" w:rsidP="00D144CD">
      <w:pPr>
        <w:rPr>
          <w:lang w:val="en-GB" w:eastAsia="en-US"/>
        </w:rPr>
      </w:pPr>
    </w:p>
    <w:p w14:paraId="01C868CA" w14:textId="1A661963" w:rsidR="00D144CD" w:rsidRDefault="0017282A" w:rsidP="006D3C2F">
      <w:pPr>
        <w:spacing w:before="120" w:after="120"/>
        <w:jc w:val="both"/>
        <w:rPr>
          <w:lang w:val="en-GB"/>
        </w:rPr>
      </w:pPr>
      <w:r>
        <w:rPr>
          <w:lang w:val="en-GB"/>
        </w:rPr>
        <w:t xml:space="preserve">Regarding the processing </w:t>
      </w:r>
      <w:r w:rsidR="006D1492">
        <w:rPr>
          <w:lang w:val="en-GB"/>
        </w:rPr>
        <w:t xml:space="preserve">delay upon transition, </w:t>
      </w:r>
      <w:r w:rsidR="009376F6">
        <w:rPr>
          <w:lang w:val="en-GB"/>
        </w:rPr>
        <w:t xml:space="preserve">UE needs to </w:t>
      </w:r>
      <w:r w:rsidR="008964AB">
        <w:rPr>
          <w:lang w:val="en-GB"/>
        </w:rPr>
        <w:t xml:space="preserve">refresh the measurement scheme for all the configured measurement objects. </w:t>
      </w:r>
      <w:r w:rsidR="003A1A14">
        <w:rPr>
          <w:lang w:val="en-GB"/>
        </w:rPr>
        <w:t xml:space="preserve">Because the CSSF for MO groups associated to MG and NCSGs are changed. Which carrier to measure within </w:t>
      </w:r>
      <w:r w:rsidR="009728F9">
        <w:rPr>
          <w:lang w:val="en-GB"/>
        </w:rPr>
        <w:t xml:space="preserve">each </w:t>
      </w:r>
      <w:r w:rsidR="003A1A14">
        <w:rPr>
          <w:lang w:val="en-GB"/>
        </w:rPr>
        <w:t xml:space="preserve">NCSG and MG </w:t>
      </w:r>
      <w:r w:rsidR="009728F9">
        <w:rPr>
          <w:lang w:val="en-GB"/>
        </w:rPr>
        <w:t xml:space="preserve">occasion </w:t>
      </w:r>
      <w:r w:rsidR="003A1A14">
        <w:rPr>
          <w:lang w:val="en-GB"/>
        </w:rPr>
        <w:t>needs to be updated by the UE.</w:t>
      </w:r>
      <w:r w:rsidR="00AD2959">
        <w:rPr>
          <w:lang w:val="en-GB"/>
        </w:rPr>
        <w:t xml:space="preserve"> This is very similar to Pre-MG activation/deactivation, wherein 5ms processing delay is assumed.</w:t>
      </w:r>
      <w:r w:rsidR="00D14858">
        <w:rPr>
          <w:lang w:val="en-GB"/>
        </w:rPr>
        <w:t xml:space="preserve"> Here we propose to also consider 5ms processing delay upon SCell deactivation. </w:t>
      </w:r>
    </w:p>
    <w:p w14:paraId="3595A4B8" w14:textId="33461C1A" w:rsidR="006D3C2F" w:rsidRDefault="006D3C2F" w:rsidP="006D3C2F">
      <w:pPr>
        <w:pStyle w:val="Caption"/>
      </w:pPr>
      <w:bookmarkStart w:id="9" w:name="_Ref173502812"/>
      <w:r>
        <w:t xml:space="preserve">Proposal </w:t>
      </w:r>
      <w:r>
        <w:fldChar w:fldCharType="begin"/>
      </w:r>
      <w:r>
        <w:instrText xml:space="preserve"> SEQ Proposal \* ARABIC </w:instrText>
      </w:r>
      <w:r>
        <w:fldChar w:fldCharType="separate"/>
      </w:r>
      <w:r>
        <w:rPr>
          <w:noProof/>
        </w:rPr>
        <w:t>2</w:t>
      </w:r>
      <w:r>
        <w:fldChar w:fldCharType="end"/>
      </w:r>
      <w:r>
        <w:t>: similar to Pre-MG deactivation/activation, 5ms processing delay can be considered for measurement type transition between intra-frequency measurement with NCSG and intra-frequency measurement with Type 1/2 MG upon SCell deactivation.</w:t>
      </w:r>
      <w:bookmarkEnd w:id="9"/>
    </w:p>
    <w:p w14:paraId="51B5A9EE" w14:textId="4073F025" w:rsidR="006D3C2F" w:rsidRPr="006D3C2F" w:rsidRDefault="006D3C2F" w:rsidP="006D3C2F">
      <w:pPr>
        <w:rPr>
          <w:lang w:val="en-GB" w:eastAsia="en-US"/>
        </w:rPr>
      </w:pPr>
      <w:r>
        <w:rPr>
          <w:lang w:val="en-GB" w:eastAsia="en-US"/>
        </w:rPr>
        <w:t>We are open to discuss how to capture this 5ms.</w:t>
      </w:r>
    </w:p>
    <w:p w14:paraId="2280EE20" w14:textId="77777777" w:rsidR="00AD2959" w:rsidRPr="00D144CD" w:rsidRDefault="00AD2959" w:rsidP="006D3C2F">
      <w:pPr>
        <w:spacing w:before="120" w:after="120"/>
        <w:jc w:val="both"/>
        <w:rPr>
          <w:lang w:val="en-GB"/>
        </w:rPr>
      </w:pPr>
    </w:p>
    <w:p w14:paraId="0A6EA1B9" w14:textId="43AE072E" w:rsidR="0046727C" w:rsidRDefault="00C12A3F" w:rsidP="006D3C2F">
      <w:pPr>
        <w:spacing w:before="120" w:after="120"/>
        <w:jc w:val="both"/>
        <w:rPr>
          <w:lang w:val="en-GB"/>
        </w:rPr>
      </w:pPr>
      <w:r>
        <w:rPr>
          <w:lang w:val="en-GB"/>
        </w:rPr>
        <w:t xml:space="preserve">As for the case that UE is configured with two NCSG without any association to the measurement on SCC, </w:t>
      </w:r>
      <w:r w:rsidR="00A52FCF">
        <w:rPr>
          <w:lang w:val="en-GB"/>
        </w:rPr>
        <w:t xml:space="preserve">some company mentioned that this might also be a valid case, e.g. active BWP of the SCell can cover target SSB to measure thus no need to provide associated NCSG. </w:t>
      </w:r>
      <w:r w:rsidR="00384419">
        <w:rPr>
          <w:lang w:val="en-GB"/>
        </w:rPr>
        <w:t xml:space="preserve">Although this could be a valid case, we still encourage NW to provide association. Following agreement in previous meeting, RAN4 </w:t>
      </w:r>
      <w:r w:rsidR="009335C8">
        <w:rPr>
          <w:lang w:val="en-GB"/>
        </w:rPr>
        <w:t xml:space="preserve">measurement delay </w:t>
      </w:r>
      <w:r w:rsidR="00384419">
        <w:rPr>
          <w:lang w:val="en-GB"/>
        </w:rPr>
        <w:t xml:space="preserve">requirement would not apply if the MO has to be measured within NCSG while there is no association. </w:t>
      </w:r>
      <w:r w:rsidR="000C43D0">
        <w:rPr>
          <w:lang w:val="en-GB"/>
        </w:rPr>
        <w:t xml:space="preserve">The agreement also said that </w:t>
      </w:r>
      <w:r w:rsidR="000C43D0" w:rsidRPr="0093373D">
        <w:rPr>
          <w:rFonts w:eastAsia="PMingLiU"/>
        </w:rPr>
        <w:t>UE is not expected to cause interruption outside the VIL due to measurement on any of the deactivated SCells</w:t>
      </w:r>
      <w:r w:rsidR="000C43D0">
        <w:rPr>
          <w:rFonts w:eastAsia="PMingLiU"/>
        </w:rPr>
        <w:t xml:space="preserve">. We believe this is enough. From UE point of view, UE has the flexibility to decide which NCSG to use for the measurement, e.g. </w:t>
      </w:r>
      <w:r w:rsidR="00D53259">
        <w:rPr>
          <w:rFonts w:eastAsia="PMingLiU"/>
        </w:rPr>
        <w:t>use the one with smaller CSSF, or the one not being used for SpCell measurement, or use the one in the same CG and etc. This is up to UE, as long as UE won’t cause unexpected interruption.</w:t>
      </w:r>
    </w:p>
    <w:p w14:paraId="5245DE60" w14:textId="77777777" w:rsidR="00A52FCF" w:rsidRPr="006D3C2F" w:rsidRDefault="00A52FCF" w:rsidP="006D3C2F">
      <w:pPr>
        <w:spacing w:before="120" w:after="120"/>
        <w:jc w:val="both"/>
        <w:rPr>
          <w:lang w:val="en-GB"/>
        </w:rPr>
      </w:pPr>
    </w:p>
    <w:p w14:paraId="05563966" w14:textId="77777777" w:rsidR="00E310D5" w:rsidRPr="00A200D6" w:rsidRDefault="00E310D5" w:rsidP="006D3C2F">
      <w:pPr>
        <w:spacing w:before="120" w:after="120"/>
        <w:jc w:val="both"/>
        <w:rPr>
          <w:lang w:val="en-GB"/>
        </w:rPr>
      </w:pPr>
    </w:p>
    <w:p w14:paraId="57E4C35D"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rPr>
        <w:t>Conclusion</w:t>
      </w:r>
    </w:p>
    <w:bookmarkEnd w:id="0"/>
    <w:bookmarkEnd w:id="1"/>
    <w:p w14:paraId="6F04A5F5" w14:textId="77777777" w:rsidR="0080742C" w:rsidRPr="00234395" w:rsidRDefault="0080742C" w:rsidP="00234395">
      <w:pPr>
        <w:spacing w:before="120" w:after="120"/>
        <w:jc w:val="both"/>
        <w:rPr>
          <w:lang w:val="en-GB"/>
        </w:rPr>
      </w:pPr>
      <w:r w:rsidRPr="00234395">
        <w:rPr>
          <w:lang w:val="en-GB"/>
        </w:rPr>
        <w:t>In this contribution, we provide discussion on core maintenance for pre-configured MGs, multiple concurrent MGs and NCSG. After discussion, the following conclusions are provided:</w:t>
      </w:r>
    </w:p>
    <w:p w14:paraId="4567F713" w14:textId="220F4258" w:rsidR="00234395" w:rsidRPr="00234395" w:rsidRDefault="00234395" w:rsidP="00234395">
      <w:pPr>
        <w:spacing w:before="120" w:after="120"/>
        <w:jc w:val="both"/>
        <w:rPr>
          <w:b/>
          <w:bCs/>
          <w:lang w:val="en-GB"/>
        </w:rPr>
      </w:pPr>
      <w:r w:rsidRPr="00234395">
        <w:rPr>
          <w:b/>
          <w:bCs/>
          <w:lang w:val="en-GB"/>
        </w:rPr>
        <w:fldChar w:fldCharType="begin"/>
      </w:r>
      <w:r w:rsidRPr="00234395">
        <w:rPr>
          <w:b/>
          <w:bCs/>
          <w:lang w:val="en-GB"/>
        </w:rPr>
        <w:instrText xml:space="preserve"> REF _Ref173502819 \h </w:instrText>
      </w:r>
      <w:r>
        <w:rPr>
          <w:b/>
          <w:bCs/>
          <w:lang w:val="en-GB"/>
        </w:rPr>
        <w:instrText xml:space="preserve"> \* MERGEFORMAT </w:instrText>
      </w:r>
      <w:r w:rsidRPr="00234395">
        <w:rPr>
          <w:b/>
          <w:bCs/>
          <w:lang w:val="en-GB"/>
        </w:rPr>
      </w:r>
      <w:r w:rsidRPr="00234395">
        <w:rPr>
          <w:b/>
          <w:bCs/>
          <w:lang w:val="en-GB"/>
        </w:rPr>
        <w:fldChar w:fldCharType="separate"/>
      </w:r>
      <w:r w:rsidRPr="00234395">
        <w:rPr>
          <w:b/>
          <w:bCs/>
        </w:rPr>
        <w:t xml:space="preserve">Observation </w:t>
      </w:r>
      <w:r w:rsidRPr="00234395">
        <w:rPr>
          <w:b/>
          <w:bCs/>
          <w:noProof/>
        </w:rPr>
        <w:t>1</w:t>
      </w:r>
      <w:r w:rsidRPr="00234395">
        <w:rPr>
          <w:b/>
          <w:bCs/>
        </w:rPr>
        <w:t>: minimum requirements at transition between intra-frequency measurement with NCSG and intra-frequency measurement with gaps are still missing.</w:t>
      </w:r>
      <w:r w:rsidRPr="00234395">
        <w:rPr>
          <w:b/>
          <w:bCs/>
          <w:lang w:val="en-GB"/>
        </w:rPr>
        <w:fldChar w:fldCharType="end"/>
      </w:r>
    </w:p>
    <w:p w14:paraId="0764ED4E" w14:textId="3E70FE43" w:rsidR="002966B9" w:rsidRPr="00234395" w:rsidRDefault="00234395" w:rsidP="00234395">
      <w:pPr>
        <w:spacing w:before="120" w:after="120"/>
        <w:jc w:val="both"/>
        <w:rPr>
          <w:b/>
          <w:bCs/>
          <w:lang w:val="en-GB"/>
        </w:rPr>
      </w:pPr>
      <w:r w:rsidRPr="00234395">
        <w:rPr>
          <w:b/>
          <w:bCs/>
          <w:lang w:val="en-GB"/>
        </w:rPr>
        <w:lastRenderedPageBreak/>
        <w:fldChar w:fldCharType="begin"/>
      </w:r>
      <w:r w:rsidRPr="00234395">
        <w:rPr>
          <w:b/>
          <w:bCs/>
          <w:lang w:val="en-GB"/>
        </w:rPr>
        <w:instrText xml:space="preserve"> REF _Ref173502809 \h </w:instrText>
      </w:r>
      <w:r>
        <w:rPr>
          <w:b/>
          <w:bCs/>
          <w:lang w:val="en-GB"/>
        </w:rPr>
        <w:instrText xml:space="preserve"> \* MERGEFORMAT </w:instrText>
      </w:r>
      <w:r w:rsidRPr="00234395">
        <w:rPr>
          <w:b/>
          <w:bCs/>
          <w:lang w:val="en-GB"/>
        </w:rPr>
      </w:r>
      <w:r w:rsidRPr="00234395">
        <w:rPr>
          <w:b/>
          <w:bCs/>
          <w:lang w:val="en-GB"/>
        </w:rPr>
        <w:fldChar w:fldCharType="separate"/>
      </w:r>
      <w:r w:rsidRPr="00234395">
        <w:rPr>
          <w:b/>
          <w:bCs/>
        </w:rPr>
        <w:t xml:space="preserve">Proposal </w:t>
      </w:r>
      <w:r w:rsidRPr="00234395">
        <w:rPr>
          <w:b/>
          <w:bCs/>
          <w:noProof/>
        </w:rPr>
        <w:t>1</w:t>
      </w:r>
      <w:r w:rsidRPr="00234395">
        <w:rPr>
          <w:b/>
          <w:bCs/>
        </w:rPr>
        <w:t>: introduce the missing requirements at transition between intra-frequency measurement with NCSG and intra-frequency measurement with gaps.</w:t>
      </w:r>
      <w:r w:rsidRPr="00234395">
        <w:rPr>
          <w:b/>
          <w:bCs/>
          <w:lang w:val="en-GB"/>
        </w:rPr>
        <w:fldChar w:fldCharType="end"/>
      </w:r>
    </w:p>
    <w:p w14:paraId="6322F5D4" w14:textId="0FD73772" w:rsidR="00234395" w:rsidRPr="00234395" w:rsidRDefault="00234395" w:rsidP="00234395">
      <w:pPr>
        <w:spacing w:before="120" w:after="120"/>
        <w:jc w:val="both"/>
        <w:rPr>
          <w:b/>
          <w:bCs/>
          <w:lang w:val="en-GB"/>
        </w:rPr>
      </w:pPr>
      <w:r w:rsidRPr="00234395">
        <w:rPr>
          <w:b/>
          <w:bCs/>
          <w:lang w:val="en-GB"/>
        </w:rPr>
        <w:fldChar w:fldCharType="begin"/>
      </w:r>
      <w:r w:rsidRPr="00234395">
        <w:rPr>
          <w:b/>
          <w:bCs/>
          <w:lang w:val="en-GB"/>
        </w:rPr>
        <w:instrText xml:space="preserve"> REF _Ref173502812 \h </w:instrText>
      </w:r>
      <w:r>
        <w:rPr>
          <w:b/>
          <w:bCs/>
          <w:lang w:val="en-GB"/>
        </w:rPr>
        <w:instrText xml:space="preserve"> \* MERGEFORMAT </w:instrText>
      </w:r>
      <w:r w:rsidRPr="00234395">
        <w:rPr>
          <w:b/>
          <w:bCs/>
          <w:lang w:val="en-GB"/>
        </w:rPr>
      </w:r>
      <w:r w:rsidRPr="00234395">
        <w:rPr>
          <w:b/>
          <w:bCs/>
          <w:lang w:val="en-GB"/>
        </w:rPr>
        <w:fldChar w:fldCharType="separate"/>
      </w:r>
      <w:r w:rsidRPr="00234395">
        <w:rPr>
          <w:b/>
          <w:bCs/>
        </w:rPr>
        <w:t xml:space="preserve">Proposal </w:t>
      </w:r>
      <w:r w:rsidRPr="00234395">
        <w:rPr>
          <w:b/>
          <w:bCs/>
          <w:noProof/>
        </w:rPr>
        <w:t>2</w:t>
      </w:r>
      <w:r w:rsidRPr="00234395">
        <w:rPr>
          <w:b/>
          <w:bCs/>
        </w:rPr>
        <w:t>: similar to Pre-MG deactivation/activation, 5ms processing delay can be considered for measurement type transition between intra-frequency measurement with NCSG and intra-frequency measurement with Type 1/2 MG upon SCell deactivation.</w:t>
      </w:r>
      <w:r w:rsidRPr="00234395">
        <w:rPr>
          <w:b/>
          <w:bCs/>
          <w:lang w:val="en-GB"/>
        </w:rPr>
        <w:fldChar w:fldCharType="end"/>
      </w:r>
    </w:p>
    <w:p w14:paraId="58437DF0" w14:textId="116652B5" w:rsidR="002966B9" w:rsidRPr="00234395" w:rsidRDefault="002966B9" w:rsidP="00234395">
      <w:pPr>
        <w:spacing w:before="120" w:after="120"/>
        <w:jc w:val="both"/>
        <w:rPr>
          <w:lang w:val="en-GB"/>
        </w:rPr>
      </w:pPr>
    </w:p>
    <w:p w14:paraId="6C3B88CA" w14:textId="77777777" w:rsidR="002966B9" w:rsidRPr="00234395" w:rsidRDefault="002966B9" w:rsidP="00234395">
      <w:pPr>
        <w:spacing w:before="120" w:after="120"/>
        <w:jc w:val="both"/>
        <w:rPr>
          <w:lang w:val="en-GB"/>
        </w:rPr>
      </w:pPr>
    </w:p>
    <w:p w14:paraId="32B7C684" w14:textId="77777777" w:rsidR="005C6854" w:rsidRDefault="005C6854" w:rsidP="00653A7D">
      <w:pPr>
        <w:rPr>
          <w:b/>
          <w:bCs/>
          <w:lang w:eastAsia="en-US"/>
        </w:rPr>
      </w:pPr>
    </w:p>
    <w:p w14:paraId="5163CAA2"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lang w:eastAsia="zh-TW"/>
        </w:rPr>
        <w:t>R</w:t>
      </w:r>
      <w:r>
        <w:rPr>
          <w:rFonts w:eastAsia="PMingLiU" w:cs="Arial"/>
        </w:rPr>
        <w:t>eference</w:t>
      </w:r>
    </w:p>
    <w:p w14:paraId="7136FA46" w14:textId="09E1DC2A" w:rsidR="00F95EBC" w:rsidRPr="00470024" w:rsidRDefault="00470024" w:rsidP="00F95EBC">
      <w:pPr>
        <w:pStyle w:val="ListParagraph"/>
        <w:numPr>
          <w:ilvl w:val="0"/>
          <w:numId w:val="21"/>
        </w:numPr>
        <w:spacing w:after="120"/>
      </w:pPr>
      <w:r w:rsidRPr="00470024">
        <w:rPr>
          <w:lang w:val="de-DE"/>
        </w:rPr>
        <w:t xml:space="preserve">R4-2410376, </w:t>
      </w:r>
      <w:r w:rsidRPr="00470024">
        <w:rPr>
          <w:lang w:val="en-US"/>
        </w:rPr>
        <w:t xml:space="preserve">WF on NR_MG_enh2_part1, </w:t>
      </w:r>
      <w:r w:rsidRPr="00F95EBC">
        <w:t>MediaTek inc.</w:t>
      </w:r>
    </w:p>
    <w:p w14:paraId="69C28131" w14:textId="1BA3AD2B" w:rsidR="00F95EBC" w:rsidRPr="00F95EBC" w:rsidRDefault="00F95EBC" w:rsidP="00F95EBC">
      <w:pPr>
        <w:pStyle w:val="ListParagraph"/>
        <w:numPr>
          <w:ilvl w:val="0"/>
          <w:numId w:val="21"/>
        </w:numPr>
        <w:spacing w:after="120"/>
        <w:rPr>
          <w:bCs/>
        </w:rPr>
      </w:pPr>
      <w:r w:rsidRPr="00F95EBC">
        <w:rPr>
          <w:bCs/>
          <w:lang w:val="de-DE"/>
        </w:rPr>
        <w:t xml:space="preserve">R4-2406439, </w:t>
      </w:r>
      <w:r w:rsidRPr="00F95EBC">
        <w:rPr>
          <w:bCs/>
        </w:rPr>
        <w:t>WF on NR_MG_enh2_part1, MediaTek</w:t>
      </w:r>
    </w:p>
    <w:p w14:paraId="65E32BEF" w14:textId="77777777" w:rsidR="00F95EBC" w:rsidRPr="00F95EBC" w:rsidRDefault="00F95EBC" w:rsidP="00F95EBC">
      <w:pPr>
        <w:pStyle w:val="ListParagraph"/>
        <w:numPr>
          <w:ilvl w:val="0"/>
          <w:numId w:val="21"/>
        </w:numPr>
        <w:spacing w:after="120"/>
      </w:pPr>
      <w:r w:rsidRPr="00F95EBC">
        <w:rPr>
          <w:lang w:val="de-DE"/>
        </w:rPr>
        <w:t xml:space="preserve">R4-2403542, </w:t>
      </w:r>
      <w:r w:rsidRPr="00F95EBC">
        <w:t>WF on NR_MG_enh2_part1, MediaTek inc.</w:t>
      </w:r>
    </w:p>
    <w:p w14:paraId="571968AF" w14:textId="77777777" w:rsidR="00F95EBC" w:rsidRPr="00F95EBC" w:rsidRDefault="00F95EBC" w:rsidP="00F95EBC">
      <w:pPr>
        <w:pStyle w:val="ListParagraph"/>
        <w:numPr>
          <w:ilvl w:val="0"/>
          <w:numId w:val="21"/>
        </w:numPr>
        <w:spacing w:after="120"/>
      </w:pPr>
      <w:r w:rsidRPr="00F95EBC">
        <w:t>R4-2402880, Big CR to TS 38.133 on Further enhancements on NR and MR-DC measurement gaps and measurements without gaps, MediaTek inc., Intel Corporation</w:t>
      </w:r>
    </w:p>
    <w:p w14:paraId="04D1DAE5" w14:textId="77777777" w:rsidR="00F95EBC" w:rsidRPr="00F95EBC" w:rsidRDefault="00F95EBC" w:rsidP="00F95EBC">
      <w:pPr>
        <w:pStyle w:val="ListParagraph"/>
        <w:numPr>
          <w:ilvl w:val="0"/>
          <w:numId w:val="21"/>
        </w:numPr>
        <w:spacing w:after="120"/>
        <w:rPr>
          <w:bCs/>
        </w:rPr>
      </w:pPr>
      <w:r w:rsidRPr="00F95EBC">
        <w:rPr>
          <w:lang w:val="de-DE"/>
        </w:rPr>
        <w:t xml:space="preserve">R4-2321640, </w:t>
      </w:r>
      <w:r w:rsidRPr="00F95EBC">
        <w:t>WF for NR_MGE-2_part1</w:t>
      </w:r>
      <w:r w:rsidRPr="00F95EBC">
        <w:rPr>
          <w:bCs/>
        </w:rPr>
        <w:t>, MediaTek inc.</w:t>
      </w:r>
    </w:p>
    <w:p w14:paraId="01C72417" w14:textId="77777777" w:rsidR="00F95EBC" w:rsidRPr="00F95EBC" w:rsidRDefault="00F95EBC" w:rsidP="00F95EBC">
      <w:pPr>
        <w:pStyle w:val="ListParagraph"/>
        <w:numPr>
          <w:ilvl w:val="0"/>
          <w:numId w:val="21"/>
        </w:numPr>
        <w:spacing w:after="120"/>
        <w:rPr>
          <w:bCs/>
        </w:rPr>
      </w:pPr>
      <w:r w:rsidRPr="00F95EBC">
        <w:rPr>
          <w:bCs/>
          <w:lang w:val="de-DE"/>
        </w:rPr>
        <w:t xml:space="preserve">R4-2317305, </w:t>
      </w:r>
      <w:r w:rsidRPr="00F95EBC">
        <w:rPr>
          <w:bCs/>
        </w:rPr>
        <w:t>WF on NR_MG_enh2_part1, MediaTek inc.</w:t>
      </w:r>
    </w:p>
    <w:p w14:paraId="4FC02FDD" w14:textId="77777777" w:rsidR="00F95EBC" w:rsidRPr="00F95EBC" w:rsidRDefault="00F95EBC" w:rsidP="00F95EBC">
      <w:pPr>
        <w:pStyle w:val="ListParagraph"/>
        <w:numPr>
          <w:ilvl w:val="0"/>
          <w:numId w:val="21"/>
        </w:numPr>
        <w:spacing w:after="120"/>
      </w:pPr>
      <w:r w:rsidRPr="00F95EBC">
        <w:rPr>
          <w:lang w:val="de-DE"/>
        </w:rPr>
        <w:t xml:space="preserve">R4-2314323, </w:t>
      </w:r>
      <w:r w:rsidRPr="00F95EBC">
        <w:t>WF on NR MG enhancements (Part 1), MediaTek inc.</w:t>
      </w:r>
    </w:p>
    <w:p w14:paraId="1AF92342" w14:textId="77777777" w:rsidR="00F95EBC" w:rsidRPr="00F95EBC" w:rsidRDefault="00F95EBC" w:rsidP="00F95EBC">
      <w:pPr>
        <w:pStyle w:val="ListParagraph"/>
        <w:numPr>
          <w:ilvl w:val="0"/>
          <w:numId w:val="21"/>
        </w:numPr>
        <w:spacing w:after="120"/>
        <w:rPr>
          <w:bCs/>
        </w:rPr>
      </w:pPr>
      <w:r w:rsidRPr="00F95EBC">
        <w:rPr>
          <w:bCs/>
        </w:rPr>
        <w:t>R4-2310175, WF on NR MG enhancements, MediaTek inc.</w:t>
      </w:r>
    </w:p>
    <w:p w14:paraId="62CA49A8" w14:textId="77777777" w:rsidR="00F95EBC" w:rsidRPr="00F95EBC" w:rsidRDefault="00F95EBC" w:rsidP="00F95EBC">
      <w:pPr>
        <w:pStyle w:val="ListParagraph"/>
        <w:numPr>
          <w:ilvl w:val="0"/>
          <w:numId w:val="21"/>
        </w:numPr>
        <w:spacing w:after="120"/>
        <w:rPr>
          <w:bCs/>
          <w:lang w:val="en-CN"/>
        </w:rPr>
      </w:pPr>
      <w:r w:rsidRPr="00F95EBC">
        <w:rPr>
          <w:bCs/>
        </w:rPr>
        <w:t>R4-2306330, WF on Rel-18 NR MG enhancements, MediaTek inc.</w:t>
      </w:r>
    </w:p>
    <w:p w14:paraId="05789218" w14:textId="77777777" w:rsidR="00F95EBC" w:rsidRPr="00F95EBC" w:rsidRDefault="00F95EBC" w:rsidP="00F95EBC">
      <w:pPr>
        <w:pStyle w:val="ListParagraph"/>
        <w:numPr>
          <w:ilvl w:val="0"/>
          <w:numId w:val="21"/>
        </w:numPr>
        <w:spacing w:after="120"/>
        <w:rPr>
          <w:lang w:val="en-CN"/>
        </w:rPr>
      </w:pPr>
      <w:r w:rsidRPr="00F95EBC">
        <w:rPr>
          <w:lang w:val="en-CN"/>
        </w:rPr>
        <w:t>R4-</w:t>
      </w:r>
      <w:r w:rsidRPr="00F95EBC">
        <w:t>2220359, WF on NR_MG_enh2 Part 1, MediaTek inc.</w:t>
      </w:r>
    </w:p>
    <w:p w14:paraId="7D8950F2" w14:textId="77777777" w:rsidR="00F95EBC" w:rsidRPr="00F95EBC" w:rsidRDefault="00F95EBC" w:rsidP="00F95EBC">
      <w:pPr>
        <w:pStyle w:val="ListParagraph"/>
        <w:numPr>
          <w:ilvl w:val="0"/>
          <w:numId w:val="21"/>
        </w:numPr>
        <w:spacing w:after="120"/>
        <w:rPr>
          <w:lang w:val="en-CN"/>
        </w:rPr>
      </w:pPr>
      <w:r w:rsidRPr="00F95EBC">
        <w:t>R4-2217251, WF on further enhancements on measurement gaps and measurements without gaps, MediaTek inc.</w:t>
      </w:r>
    </w:p>
    <w:p w14:paraId="17F356E4" w14:textId="77777777" w:rsidR="00F95EBC" w:rsidRPr="00F95EBC" w:rsidRDefault="00F95EBC" w:rsidP="00F95EBC">
      <w:pPr>
        <w:pStyle w:val="ListParagraph"/>
        <w:numPr>
          <w:ilvl w:val="0"/>
          <w:numId w:val="21"/>
        </w:numPr>
        <w:spacing w:after="120"/>
        <w:rPr>
          <w:lang w:val="en-CN"/>
        </w:rPr>
      </w:pPr>
      <w:r w:rsidRPr="00F95EBC">
        <w:rPr>
          <w:lang w:val="en-CN"/>
        </w:rPr>
        <w:t>R4-2202604</w:t>
      </w:r>
      <w:r w:rsidRPr="00F95EBC">
        <w:t xml:space="preserve">, </w:t>
      </w:r>
      <w:r w:rsidRPr="00F95EBC">
        <w:rPr>
          <w:bCs/>
        </w:rPr>
        <w:t xml:space="preserve">Further reply LS on R17 NR MG enhancements – Concurrent MG, </w:t>
      </w:r>
      <w:r w:rsidRPr="00F95EBC">
        <w:t>MediaTek inc.</w:t>
      </w:r>
    </w:p>
    <w:p w14:paraId="7C618396" w14:textId="613A7B93" w:rsidR="00E310D5" w:rsidRPr="00F95EBC" w:rsidRDefault="00F95EBC" w:rsidP="00F95EBC">
      <w:pPr>
        <w:pStyle w:val="ListParagraph"/>
        <w:numPr>
          <w:ilvl w:val="0"/>
          <w:numId w:val="21"/>
        </w:numPr>
        <w:spacing w:after="120"/>
        <w:rPr>
          <w:bCs/>
          <w:lang w:val="en-CN"/>
        </w:rPr>
      </w:pPr>
      <w:r w:rsidRPr="00F95EBC">
        <w:rPr>
          <w:bCs/>
        </w:rPr>
        <w:t>RP-230755, New WID: Further Enhancements on NR and MR-DC Measurement Gaps and Measurements without Gaps, MediaTek Inc, Intel Corporation</w:t>
      </w:r>
    </w:p>
    <w:sectPr w:rsidR="00E310D5" w:rsidRPr="00F95EBC" w:rsidSect="00751933">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5602F6" w14:textId="77777777" w:rsidR="00461CB8" w:rsidRDefault="00461CB8">
      <w:r>
        <w:separator/>
      </w:r>
    </w:p>
  </w:endnote>
  <w:endnote w:type="continuationSeparator" w:id="0">
    <w:p w14:paraId="02E06303" w14:textId="77777777" w:rsidR="00461CB8" w:rsidRDefault="00461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916696" w14:textId="77777777" w:rsidR="00461CB8" w:rsidRDefault="00461CB8">
      <w:r>
        <w:separator/>
      </w:r>
    </w:p>
  </w:footnote>
  <w:footnote w:type="continuationSeparator" w:id="0">
    <w:p w14:paraId="43F4798D" w14:textId="77777777" w:rsidR="00461CB8" w:rsidRDefault="00461C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8"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3"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9"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C45E0F"/>
    <w:multiLevelType w:val="hybridMultilevel"/>
    <w:tmpl w:val="57B8C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28"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616F2F"/>
    <w:multiLevelType w:val="hybridMultilevel"/>
    <w:tmpl w:val="FB78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5449154">
    <w:abstractNumId w:val="18"/>
  </w:num>
  <w:num w:numId="2" w16cid:durableId="1073162039">
    <w:abstractNumId w:val="12"/>
  </w:num>
  <w:num w:numId="3" w16cid:durableId="881670819">
    <w:abstractNumId w:val="29"/>
  </w:num>
  <w:num w:numId="4" w16cid:durableId="303782287">
    <w:abstractNumId w:val="27"/>
  </w:num>
  <w:num w:numId="5" w16cid:durableId="2120685336">
    <w:abstractNumId w:val="4"/>
  </w:num>
  <w:num w:numId="6" w16cid:durableId="84543986">
    <w:abstractNumId w:val="6"/>
  </w:num>
  <w:num w:numId="7" w16cid:durableId="1945187406">
    <w:abstractNumId w:val="22"/>
  </w:num>
  <w:num w:numId="8" w16cid:durableId="735593510">
    <w:abstractNumId w:val="1"/>
  </w:num>
  <w:num w:numId="9" w16cid:durableId="638069988">
    <w:abstractNumId w:val="15"/>
  </w:num>
  <w:num w:numId="10" w16cid:durableId="1396661914">
    <w:abstractNumId w:val="24"/>
  </w:num>
  <w:num w:numId="11" w16cid:durableId="1800757120">
    <w:abstractNumId w:val="25"/>
  </w:num>
  <w:num w:numId="12" w16cid:durableId="2041008354">
    <w:abstractNumId w:val="8"/>
  </w:num>
  <w:num w:numId="13" w16cid:durableId="1250429690">
    <w:abstractNumId w:val="2"/>
  </w:num>
  <w:num w:numId="14" w16cid:durableId="1771386659">
    <w:abstractNumId w:val="9"/>
  </w:num>
  <w:num w:numId="15" w16cid:durableId="1590507970">
    <w:abstractNumId w:val="10"/>
  </w:num>
  <w:num w:numId="16" w16cid:durableId="595597386">
    <w:abstractNumId w:val="19"/>
  </w:num>
  <w:num w:numId="17" w16cid:durableId="562645621">
    <w:abstractNumId w:val="0"/>
  </w:num>
  <w:num w:numId="18" w16cid:durableId="204997492">
    <w:abstractNumId w:val="13"/>
  </w:num>
  <w:num w:numId="19" w16cid:durableId="993946193">
    <w:abstractNumId w:val="28"/>
  </w:num>
  <w:num w:numId="20" w16cid:durableId="2129546323">
    <w:abstractNumId w:val="16"/>
  </w:num>
  <w:num w:numId="21" w16cid:durableId="59064430">
    <w:abstractNumId w:val="5"/>
  </w:num>
  <w:num w:numId="22" w16cid:durableId="545794119">
    <w:abstractNumId w:val="11"/>
  </w:num>
  <w:num w:numId="23" w16cid:durableId="1081871988">
    <w:abstractNumId w:val="3"/>
  </w:num>
  <w:num w:numId="24" w16cid:durableId="753160996">
    <w:abstractNumId w:val="26"/>
  </w:num>
  <w:num w:numId="25" w16cid:durableId="1316371440">
    <w:abstractNumId w:val="21"/>
  </w:num>
  <w:num w:numId="26" w16cid:durableId="853571246">
    <w:abstractNumId w:val="17"/>
  </w:num>
  <w:num w:numId="27" w16cid:durableId="1848057231">
    <w:abstractNumId w:val="23"/>
  </w:num>
  <w:num w:numId="28" w16cid:durableId="1175027039">
    <w:abstractNumId w:val="14"/>
  </w:num>
  <w:num w:numId="29" w16cid:durableId="431121809">
    <w:abstractNumId w:val="7"/>
  </w:num>
  <w:num w:numId="30" w16cid:durableId="1026834126">
    <w:abstractNumId w:val="20"/>
  </w:num>
  <w:num w:numId="31" w16cid:durableId="195817282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1"/>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991"/>
    <w:rsid w:val="00000DF3"/>
    <w:rsid w:val="0000176B"/>
    <w:rsid w:val="00001783"/>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ED"/>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4FA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9A2"/>
    <w:rsid w:val="000C3A73"/>
    <w:rsid w:val="000C3A74"/>
    <w:rsid w:val="000C3B9D"/>
    <w:rsid w:val="000C4287"/>
    <w:rsid w:val="000C43D0"/>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C03"/>
    <w:rsid w:val="000F6EE5"/>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1D09"/>
    <w:rsid w:val="0015207B"/>
    <w:rsid w:val="001523B5"/>
    <w:rsid w:val="001524C9"/>
    <w:rsid w:val="0015333F"/>
    <w:rsid w:val="00153FE5"/>
    <w:rsid w:val="0015419B"/>
    <w:rsid w:val="001549C6"/>
    <w:rsid w:val="001549CE"/>
    <w:rsid w:val="00154E20"/>
    <w:rsid w:val="00154F60"/>
    <w:rsid w:val="00155976"/>
    <w:rsid w:val="00155FCB"/>
    <w:rsid w:val="0015646B"/>
    <w:rsid w:val="00156604"/>
    <w:rsid w:val="001566D5"/>
    <w:rsid w:val="00156CDD"/>
    <w:rsid w:val="0015728E"/>
    <w:rsid w:val="0015750D"/>
    <w:rsid w:val="001576E1"/>
    <w:rsid w:val="00157D3F"/>
    <w:rsid w:val="001605DE"/>
    <w:rsid w:val="00161C87"/>
    <w:rsid w:val="00161CD6"/>
    <w:rsid w:val="00161DC4"/>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2A"/>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9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B7C78"/>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55"/>
    <w:rsid w:val="001F3360"/>
    <w:rsid w:val="001F34A0"/>
    <w:rsid w:val="001F38C0"/>
    <w:rsid w:val="001F39ED"/>
    <w:rsid w:val="001F3A6A"/>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2B8"/>
    <w:rsid w:val="00234395"/>
    <w:rsid w:val="00234770"/>
    <w:rsid w:val="00234899"/>
    <w:rsid w:val="00234E48"/>
    <w:rsid w:val="00234F18"/>
    <w:rsid w:val="00235044"/>
    <w:rsid w:val="002354AA"/>
    <w:rsid w:val="00235A0D"/>
    <w:rsid w:val="00236F8F"/>
    <w:rsid w:val="00237760"/>
    <w:rsid w:val="0023789B"/>
    <w:rsid w:val="002378AE"/>
    <w:rsid w:val="00240463"/>
    <w:rsid w:val="00240552"/>
    <w:rsid w:val="002407FF"/>
    <w:rsid w:val="002409F5"/>
    <w:rsid w:val="00240FA7"/>
    <w:rsid w:val="00240FC8"/>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3AD"/>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B16"/>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6B9"/>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880"/>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87E"/>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856"/>
    <w:rsid w:val="00353A44"/>
    <w:rsid w:val="003546F0"/>
    <w:rsid w:val="00354897"/>
    <w:rsid w:val="00354999"/>
    <w:rsid w:val="00354D00"/>
    <w:rsid w:val="003568B9"/>
    <w:rsid w:val="00356C0B"/>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3FBE"/>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1CB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27C"/>
    <w:rsid w:val="00467305"/>
    <w:rsid w:val="00467630"/>
    <w:rsid w:val="004676E0"/>
    <w:rsid w:val="00467B68"/>
    <w:rsid w:val="00467BC2"/>
    <w:rsid w:val="00467F82"/>
    <w:rsid w:val="00470024"/>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D9B"/>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AB2"/>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53"/>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4D59"/>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17D10"/>
    <w:rsid w:val="00620053"/>
    <w:rsid w:val="006202D1"/>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27E"/>
    <w:rsid w:val="006315CA"/>
    <w:rsid w:val="0063169B"/>
    <w:rsid w:val="00631907"/>
    <w:rsid w:val="006325C9"/>
    <w:rsid w:val="0063301F"/>
    <w:rsid w:val="00633653"/>
    <w:rsid w:val="00633745"/>
    <w:rsid w:val="00633AD4"/>
    <w:rsid w:val="00634071"/>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759"/>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EEC"/>
    <w:rsid w:val="006C6259"/>
    <w:rsid w:val="006C6379"/>
    <w:rsid w:val="006C651A"/>
    <w:rsid w:val="006C685A"/>
    <w:rsid w:val="006C6D79"/>
    <w:rsid w:val="006C6E4D"/>
    <w:rsid w:val="006C6F23"/>
    <w:rsid w:val="006C741A"/>
    <w:rsid w:val="006C7607"/>
    <w:rsid w:val="006C76D7"/>
    <w:rsid w:val="006C7DCB"/>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C2F"/>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AC7"/>
    <w:rsid w:val="00711E36"/>
    <w:rsid w:val="007122B9"/>
    <w:rsid w:val="007123C6"/>
    <w:rsid w:val="0071273E"/>
    <w:rsid w:val="00712C5F"/>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26"/>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1E8"/>
    <w:rsid w:val="0077231D"/>
    <w:rsid w:val="0077270C"/>
    <w:rsid w:val="00772A52"/>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3DE"/>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7F7F23"/>
    <w:rsid w:val="007F7FFE"/>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507D"/>
    <w:rsid w:val="008550EB"/>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1B8"/>
    <w:rsid w:val="0087769A"/>
    <w:rsid w:val="008779DF"/>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17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70E9"/>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77B"/>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403"/>
    <w:rsid w:val="008B163E"/>
    <w:rsid w:val="008B1A8E"/>
    <w:rsid w:val="008B1A9D"/>
    <w:rsid w:val="008B1B9B"/>
    <w:rsid w:val="008B1E4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2D"/>
    <w:rsid w:val="008C2131"/>
    <w:rsid w:val="008C274F"/>
    <w:rsid w:val="008C29A5"/>
    <w:rsid w:val="008C29C2"/>
    <w:rsid w:val="008C3010"/>
    <w:rsid w:val="008C3B66"/>
    <w:rsid w:val="008C3CBC"/>
    <w:rsid w:val="008C42E9"/>
    <w:rsid w:val="008C45BD"/>
    <w:rsid w:val="008C4707"/>
    <w:rsid w:val="008C4B7D"/>
    <w:rsid w:val="008C5633"/>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388"/>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B45"/>
    <w:rsid w:val="008F6CC6"/>
    <w:rsid w:val="008F7AB3"/>
    <w:rsid w:val="008F7AB6"/>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40"/>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5C8"/>
    <w:rsid w:val="00933710"/>
    <w:rsid w:val="0093373D"/>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94"/>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B3D"/>
    <w:rsid w:val="009C7C5D"/>
    <w:rsid w:val="009D0BB8"/>
    <w:rsid w:val="009D14E5"/>
    <w:rsid w:val="009D14E8"/>
    <w:rsid w:val="009D1617"/>
    <w:rsid w:val="009D1692"/>
    <w:rsid w:val="009D188D"/>
    <w:rsid w:val="009D1954"/>
    <w:rsid w:val="009D1D77"/>
    <w:rsid w:val="009D22E5"/>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0D6"/>
    <w:rsid w:val="00A204CB"/>
    <w:rsid w:val="00A20DAE"/>
    <w:rsid w:val="00A212E5"/>
    <w:rsid w:val="00A215E3"/>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2FCF"/>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2B9A"/>
    <w:rsid w:val="00A63000"/>
    <w:rsid w:val="00A63238"/>
    <w:rsid w:val="00A634B5"/>
    <w:rsid w:val="00A63819"/>
    <w:rsid w:val="00A63AF1"/>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54A"/>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9791E"/>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B20"/>
    <w:rsid w:val="00B40C01"/>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6F4"/>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B3F"/>
    <w:rsid w:val="00BF3C0A"/>
    <w:rsid w:val="00BF3D04"/>
    <w:rsid w:val="00BF4213"/>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A3F"/>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69A7"/>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78B"/>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1AF1"/>
    <w:rsid w:val="00D53259"/>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C8"/>
    <w:rsid w:val="00DC13B4"/>
    <w:rsid w:val="00DC1A3C"/>
    <w:rsid w:val="00DC1DE9"/>
    <w:rsid w:val="00DC1F2B"/>
    <w:rsid w:val="00DC21E8"/>
    <w:rsid w:val="00DC25C4"/>
    <w:rsid w:val="00DC26A9"/>
    <w:rsid w:val="00DC2845"/>
    <w:rsid w:val="00DC2993"/>
    <w:rsid w:val="00DC2BBF"/>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3F61"/>
    <w:rsid w:val="00DE4232"/>
    <w:rsid w:val="00DE44EB"/>
    <w:rsid w:val="00DE4690"/>
    <w:rsid w:val="00DE50C7"/>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851"/>
    <w:rsid w:val="00E27AF8"/>
    <w:rsid w:val="00E30F4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026"/>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5C9"/>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D35"/>
    <w:rsid w:val="00E773AD"/>
    <w:rsid w:val="00E779FB"/>
    <w:rsid w:val="00E77DBE"/>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1EBA"/>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CD7"/>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23C"/>
    <w:rsid w:val="00EC7436"/>
    <w:rsid w:val="00EC7F93"/>
    <w:rsid w:val="00ED074C"/>
    <w:rsid w:val="00ED09F5"/>
    <w:rsid w:val="00ED0AEA"/>
    <w:rsid w:val="00ED0B74"/>
    <w:rsid w:val="00ED0CEF"/>
    <w:rsid w:val="00ED0EAA"/>
    <w:rsid w:val="00ED0FC2"/>
    <w:rsid w:val="00ED0FEB"/>
    <w:rsid w:val="00ED1886"/>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6BA"/>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C50"/>
    <w:rsid w:val="00F31D33"/>
    <w:rsid w:val="00F32680"/>
    <w:rsid w:val="00F32E32"/>
    <w:rsid w:val="00F335B3"/>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2FD2"/>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08"/>
    <w:rsid w:val="00F6776B"/>
    <w:rsid w:val="00F67A37"/>
    <w:rsid w:val="00F67A60"/>
    <w:rsid w:val="00F70030"/>
    <w:rsid w:val="00F70EE2"/>
    <w:rsid w:val="00F70FEA"/>
    <w:rsid w:val="00F71303"/>
    <w:rsid w:val="00F7149C"/>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EBC"/>
    <w:rsid w:val="00F95F49"/>
    <w:rsid w:val="00F95F97"/>
    <w:rsid w:val="00F96093"/>
    <w:rsid w:val="00F97296"/>
    <w:rsid w:val="00F97A08"/>
    <w:rsid w:val="00FA0002"/>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025"/>
    <w:rsid w:val="00FC0213"/>
    <w:rsid w:val="00FC0360"/>
    <w:rsid w:val="00FC04F3"/>
    <w:rsid w:val="00FC08BD"/>
    <w:rsid w:val="00FC1093"/>
    <w:rsid w:val="00FC11A2"/>
    <w:rsid w:val="00FC1419"/>
    <w:rsid w:val="00FC14B5"/>
    <w:rsid w:val="00FC22ED"/>
    <w:rsid w:val="00FC28CB"/>
    <w:rsid w:val="00FC2DCE"/>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5053"/>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rPr>
      <w:rFonts w:eastAsia="MS Mincho"/>
      <w:lang w:val="en-GB" w:eastAsia="en-US" w:bidi="ar-SA"/>
    </w:rPr>
  </w:style>
  <w:style w:type="character" w:customStyle="1" w:styleId="B1Char">
    <w:name w:val="B1 Char"/>
    <w:link w:val="B1"/>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locked/>
    <w:rPr>
      <w:rFonts w:ascii="Arial" w:hAnsi="Arial"/>
      <w:b/>
      <w:sz w:val="18"/>
      <w:lang w:val="en-GB" w:eastAsia="en-US"/>
    </w:rPr>
  </w:style>
  <w:style w:type="character" w:customStyle="1" w:styleId="TACChar">
    <w:name w:val="TAC Char"/>
    <w:link w:val="TAC"/>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3</Pages>
  <Words>1174</Words>
  <Characters>6695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148</cp:revision>
  <cp:lastPrinted>2007-12-21T12:58:00Z</cp:lastPrinted>
  <dcterms:created xsi:type="dcterms:W3CDTF">2024-07-29T05:21:00Z</dcterms:created>
  <dcterms:modified xsi:type="dcterms:W3CDTF">2024-08-08T15:03:00Z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