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C2A2328" w:rsidR="006B0412" w:rsidRPr="00DB3907" w:rsidRDefault="006B0412" w:rsidP="006B0412">
      <w:pPr>
        <w:pStyle w:val="Intestazione"/>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t>R4-</w:t>
      </w:r>
      <w:r>
        <w:rPr>
          <w:rFonts w:cs="Arial"/>
          <w:sz w:val="24"/>
          <w:szCs w:val="24"/>
          <w:lang w:val="de-DE"/>
        </w:rPr>
        <w:t>2</w:t>
      </w:r>
      <w:r w:rsidR="007E424D">
        <w:rPr>
          <w:rFonts w:cs="Arial"/>
          <w:sz w:val="24"/>
          <w:szCs w:val="24"/>
          <w:lang w:val="de-DE"/>
        </w:rPr>
        <w:t>4</w:t>
      </w:r>
      <w:r w:rsidR="00774BF4">
        <w:rPr>
          <w:rFonts w:cs="Arial"/>
          <w:sz w:val="24"/>
          <w:szCs w:val="24"/>
          <w:lang w:val="de-DE"/>
        </w:rPr>
        <w:t>11032</w:t>
      </w:r>
    </w:p>
    <w:p w14:paraId="7C5F9A1F" w14:textId="7E4AAC39" w:rsidR="006E440C" w:rsidRPr="00DB3907" w:rsidRDefault="007E424D" w:rsidP="006E440C">
      <w:pPr>
        <w:pStyle w:val="Intestazione"/>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19</w:t>
      </w:r>
      <w:r w:rsidR="006E440C">
        <w:rPr>
          <w:rFonts w:cs="Arial"/>
          <w:sz w:val="24"/>
          <w:szCs w:val="24"/>
          <w:vertAlign w:val="superscript"/>
        </w:rPr>
        <w:t>th</w:t>
      </w:r>
      <w:r w:rsidR="006E440C">
        <w:rPr>
          <w:rFonts w:cs="Arial"/>
          <w:sz w:val="24"/>
          <w:szCs w:val="24"/>
        </w:rPr>
        <w:t xml:space="preserve"> ‒ </w:t>
      </w:r>
      <w:r>
        <w:rPr>
          <w:rFonts w:cs="Arial"/>
          <w:sz w:val="24"/>
          <w:szCs w:val="24"/>
        </w:rPr>
        <w:t>2</w:t>
      </w:r>
      <w:r w:rsidR="00EE4326">
        <w:rPr>
          <w:rFonts w:cs="Arial"/>
          <w:sz w:val="24"/>
          <w:szCs w:val="24"/>
        </w:rPr>
        <w:t>3</w:t>
      </w:r>
      <w:r w:rsidR="00EE4326" w:rsidRPr="00EE4326">
        <w:rPr>
          <w:rFonts w:cs="Arial"/>
          <w:sz w:val="24"/>
          <w:szCs w:val="24"/>
          <w:vertAlign w:val="superscript"/>
        </w:rPr>
        <w:t>rd</w:t>
      </w:r>
      <w:r w:rsidR="006E440C">
        <w:rPr>
          <w:rFonts w:cs="Arial"/>
          <w:sz w:val="24"/>
          <w:szCs w:val="24"/>
        </w:rPr>
        <w:t>, 202</w:t>
      </w:r>
      <w:r>
        <w:rPr>
          <w:rFonts w:cs="Arial"/>
          <w:sz w:val="24"/>
          <w:szCs w:val="24"/>
        </w:rPr>
        <w:t>4</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456B3D3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10F7D">
        <w:rPr>
          <w:rFonts w:ascii="Arial" w:hAnsi="Arial"/>
          <w:sz w:val="24"/>
          <w:lang w:val="en-US"/>
        </w:rPr>
        <w:t>7.14.1</w:t>
      </w:r>
    </w:p>
    <w:p w14:paraId="1E1C2FD0" w14:textId="1688796E"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 xml:space="preserve">Novamint, </w:t>
      </w:r>
      <w:r w:rsidR="00EE28CF">
        <w:rPr>
          <w:rFonts w:ascii="Arial" w:hAnsi="Arial"/>
          <w:sz w:val="24"/>
          <w:lang w:val="en-US"/>
        </w:rPr>
        <w:t>Ubiik</w:t>
      </w:r>
      <w:r w:rsidR="00CF3E16">
        <w:rPr>
          <w:rFonts w:ascii="Arial" w:hAnsi="Arial"/>
          <w:sz w:val="24"/>
          <w:lang w:val="en-US"/>
        </w:rPr>
        <w:t>, Semtech</w:t>
      </w:r>
      <w:r w:rsidR="00A02068">
        <w:rPr>
          <w:rFonts w:ascii="Arial" w:hAnsi="Arial"/>
          <w:sz w:val="24"/>
          <w:lang w:val="en-US"/>
        </w:rPr>
        <w:t>, Telit</w:t>
      </w:r>
      <w:r w:rsidR="009322E4">
        <w:rPr>
          <w:rFonts w:ascii="Arial" w:hAnsi="Arial"/>
          <w:sz w:val="24"/>
          <w:lang w:val="en-US"/>
        </w:rPr>
        <w:t xml:space="preserve">, </w:t>
      </w:r>
      <w:r w:rsidR="009322E4" w:rsidRPr="000C19BB">
        <w:rPr>
          <w:rFonts w:ascii="Arial" w:hAnsi="Arial"/>
          <w:sz w:val="24"/>
          <w:lang w:val="en-US"/>
        </w:rPr>
        <w:t>Sequans Communications</w:t>
      </w:r>
    </w:p>
    <w:p w14:paraId="3A62F436" w14:textId="3390961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8419EA">
        <w:rPr>
          <w:rFonts w:ascii="Arial" w:hAnsi="Arial"/>
          <w:sz w:val="24"/>
          <w:lang w:val="en-US"/>
        </w:rPr>
        <w:t>Regulation</w:t>
      </w:r>
      <w:r w:rsidR="002639CD">
        <w:rPr>
          <w:rFonts w:ascii="Arial" w:hAnsi="Arial"/>
          <w:sz w:val="24"/>
          <w:lang w:val="en-US"/>
        </w:rPr>
        <w:t xml:space="preserve"> for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590E33D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11C5F">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Titolo1"/>
        <w:tabs>
          <w:tab w:val="clear" w:pos="432"/>
          <w:tab w:val="num" w:pos="522"/>
        </w:tabs>
        <w:ind w:left="522" w:hanging="522"/>
        <w:rPr>
          <w:lang w:val="en-US"/>
        </w:rPr>
      </w:pPr>
      <w:r>
        <w:rPr>
          <w:lang w:val="en-US"/>
        </w:rPr>
        <w:t>Introduction</w:t>
      </w:r>
    </w:p>
    <w:p w14:paraId="6E886ED2" w14:textId="38E2C2E5" w:rsidR="007D54C6" w:rsidRDefault="007D54C6" w:rsidP="009011AF">
      <w:r>
        <w:t xml:space="preserve">A </w:t>
      </w:r>
      <w:r w:rsidR="00F70941">
        <w:t xml:space="preserve">spectrum-related </w:t>
      </w:r>
      <w:r>
        <w:t xml:space="preserve">work item [1] was agreed to specify a new LTE band in the </w:t>
      </w:r>
      <w:r w:rsidR="007E424D">
        <w:t>1800-1830</w:t>
      </w:r>
      <w:r>
        <w:t xml:space="preserve"> MHz frequency range.</w:t>
      </w:r>
      <w:r w:rsidR="006465BB">
        <w:t xml:space="preserve">  This contribution provides </w:t>
      </w:r>
      <w:r w:rsidR="008419EA">
        <w:t xml:space="preserve">the background on the technical regulation as published in </w:t>
      </w:r>
      <w:hyperlink r:id="rId8" w:history="1">
        <w:r w:rsidR="008419EA" w:rsidRPr="00D04390">
          <w:rPr>
            <w:rStyle w:val="Collegamentoipertestuale"/>
          </w:rPr>
          <w:t>https://ised-isde.canada.ca/site/spectrum-management-telecommunications/en/devices-and-equipment/standard-radio-system-plans-srsp/srsp-3017-technical-requirements-fixed-radio-systems-operating-bands-1700-1710-mhz-and-1780-1850-mhz</w:t>
        </w:r>
      </w:hyperlink>
      <w:r w:rsidR="006465BB">
        <w:t>.</w:t>
      </w:r>
      <w:r w:rsidR="008419EA">
        <w:t xml:space="preserve"> </w:t>
      </w:r>
    </w:p>
    <w:p w14:paraId="6E5BA3FB" w14:textId="515085E1" w:rsidR="008419EA" w:rsidRDefault="008419EA" w:rsidP="009011AF">
      <w:r>
        <w:t>Moreover, a clarification letter from the Canadian Regulator (ISED) is attached.</w:t>
      </w:r>
    </w:p>
    <w:p w14:paraId="10F6602E" w14:textId="3D79168F" w:rsidR="007E1E78" w:rsidRDefault="008419EA" w:rsidP="0099327E">
      <w:pPr>
        <w:pStyle w:val="Titolo1"/>
        <w:tabs>
          <w:tab w:val="clear" w:pos="432"/>
          <w:tab w:val="num" w:pos="522"/>
        </w:tabs>
        <w:ind w:left="522" w:hanging="522"/>
        <w:rPr>
          <w:lang w:val="en-US"/>
        </w:rPr>
      </w:pPr>
      <w:r>
        <w:rPr>
          <w:lang w:val="en-US"/>
        </w:rPr>
        <w:t>Current regulation</w:t>
      </w:r>
    </w:p>
    <w:p w14:paraId="13FAAD13" w14:textId="5114DC78" w:rsidR="006465BB" w:rsidRDefault="008419EA" w:rsidP="006465BB">
      <w:r>
        <w:rPr>
          <w:lang w:val="en-US"/>
        </w:rPr>
        <w:t xml:space="preserve">The following text is a cut and paste from the link </w:t>
      </w:r>
      <w:hyperlink r:id="rId9" w:history="1">
        <w:r w:rsidRPr="00D04390">
          <w:rPr>
            <w:rStyle w:val="Collegamentoipertestuale"/>
          </w:rPr>
          <w:t>https://ised-isde.canada.ca/site/spectrum-management-telecommunications/en/devices-and-equipment/standard-radio-system-plans-srsp/srsp-3017-technical-requirements-fixed-radio-systems-operating-bands-1700-1710-mhz-and-1780-1850-mhz</w:t>
        </w:r>
      </w:hyperlink>
      <w:r>
        <w:t>.</w:t>
      </w:r>
      <w:r w:rsidR="00EC1AE4">
        <w:t xml:space="preserve"> The text highlighted in yellow is particularly relevant to </w:t>
      </w:r>
      <w:r w:rsidR="00BE30A9">
        <w:t>specification of the new</w:t>
      </w:r>
      <w:r w:rsidR="00EC1AE4">
        <w:t xml:space="preserve"> band 1800-1830 MHz.</w:t>
      </w:r>
    </w:p>
    <w:p w14:paraId="2CD2973F" w14:textId="77777777" w:rsidR="008419EA" w:rsidRPr="008419EA" w:rsidRDefault="008419EA" w:rsidP="008419EA">
      <w:pPr>
        <w:rPr>
          <w:b/>
          <w:bCs/>
          <w:sz w:val="28"/>
          <w:szCs w:val="28"/>
        </w:rPr>
      </w:pPr>
      <w:r w:rsidRPr="008419EA">
        <w:rPr>
          <w:b/>
          <w:bCs/>
          <w:sz w:val="28"/>
          <w:szCs w:val="28"/>
        </w:rPr>
        <w:t>SRSP-301.7 — Technical Requirements for Fixed Radio Systems Operating in the Bands 1700-1710 MHz and 1780-1850 MHz</w:t>
      </w:r>
    </w:p>
    <w:p w14:paraId="260108BB" w14:textId="7D60F6C7" w:rsidR="008419EA" w:rsidRDefault="008419EA" w:rsidP="008419EA">
      <w:r>
        <w:t>Issue 4</w:t>
      </w:r>
      <w:r>
        <w:br/>
        <w:t>January 17, 2022</w:t>
      </w:r>
    </w:p>
    <w:p w14:paraId="5393D55B" w14:textId="77777777" w:rsidR="008419EA" w:rsidRPr="008419EA" w:rsidRDefault="008419EA" w:rsidP="008419EA">
      <w:pPr>
        <w:autoSpaceDE w:val="0"/>
        <w:autoSpaceDN w:val="0"/>
        <w:adjustRightInd w:val="0"/>
        <w:spacing w:after="0"/>
        <w:rPr>
          <w:color w:val="000000"/>
        </w:rPr>
      </w:pPr>
      <w:r w:rsidRPr="008419EA">
        <w:rPr>
          <w:b/>
          <w:bCs/>
          <w:color w:val="000000"/>
        </w:rPr>
        <w:t>Contents</w:t>
      </w:r>
    </w:p>
    <w:p w14:paraId="696CEAA2" w14:textId="77777777" w:rsidR="008419EA" w:rsidRPr="008419EA" w:rsidRDefault="008419EA" w:rsidP="008419EA">
      <w:pPr>
        <w:autoSpaceDE w:val="0"/>
        <w:autoSpaceDN w:val="0"/>
        <w:adjustRightInd w:val="0"/>
        <w:spacing w:after="0"/>
        <w:rPr>
          <w:color w:val="000000"/>
        </w:rPr>
      </w:pPr>
      <w:r w:rsidRPr="008419EA">
        <w:rPr>
          <w:color w:val="000000"/>
        </w:rPr>
        <w:t>Preface</w:t>
      </w:r>
    </w:p>
    <w:p w14:paraId="12723C3F" w14:textId="77777777" w:rsidR="008419EA" w:rsidRPr="008419EA" w:rsidRDefault="008419EA" w:rsidP="008419EA">
      <w:pPr>
        <w:autoSpaceDE w:val="0"/>
        <w:autoSpaceDN w:val="0"/>
        <w:adjustRightInd w:val="0"/>
        <w:spacing w:after="0"/>
        <w:rPr>
          <w:color w:val="000000"/>
        </w:rPr>
      </w:pPr>
      <w:r w:rsidRPr="008419EA">
        <w:rPr>
          <w:color w:val="000000"/>
        </w:rPr>
        <w:t>1. Intent</w:t>
      </w:r>
    </w:p>
    <w:p w14:paraId="437DE5DF" w14:textId="77777777" w:rsidR="008419EA" w:rsidRPr="008419EA" w:rsidRDefault="008419EA" w:rsidP="008419EA">
      <w:pPr>
        <w:autoSpaceDE w:val="0"/>
        <w:autoSpaceDN w:val="0"/>
        <w:adjustRightInd w:val="0"/>
        <w:spacing w:after="0"/>
        <w:rPr>
          <w:color w:val="000000"/>
        </w:rPr>
      </w:pPr>
      <w:r w:rsidRPr="008419EA">
        <w:rPr>
          <w:color w:val="000000"/>
        </w:rPr>
        <w:t>2. General</w:t>
      </w:r>
    </w:p>
    <w:p w14:paraId="4FE88390" w14:textId="77777777" w:rsidR="008419EA" w:rsidRPr="008419EA" w:rsidRDefault="008419EA" w:rsidP="008419EA">
      <w:pPr>
        <w:autoSpaceDE w:val="0"/>
        <w:autoSpaceDN w:val="0"/>
        <w:adjustRightInd w:val="0"/>
        <w:spacing w:after="0"/>
        <w:rPr>
          <w:color w:val="000000"/>
        </w:rPr>
      </w:pPr>
      <w:r w:rsidRPr="008419EA">
        <w:rPr>
          <w:color w:val="000000"/>
        </w:rPr>
        <w:t>3. Related documents</w:t>
      </w:r>
    </w:p>
    <w:p w14:paraId="260C0634" w14:textId="77777777" w:rsidR="008419EA" w:rsidRPr="008419EA" w:rsidRDefault="008419EA" w:rsidP="008419EA">
      <w:pPr>
        <w:autoSpaceDE w:val="0"/>
        <w:autoSpaceDN w:val="0"/>
        <w:adjustRightInd w:val="0"/>
        <w:spacing w:after="0"/>
        <w:rPr>
          <w:color w:val="000000"/>
        </w:rPr>
      </w:pPr>
      <w:r w:rsidRPr="008419EA">
        <w:rPr>
          <w:color w:val="000000"/>
        </w:rPr>
        <w:t>4. Radio frequency channel arrangement description</w:t>
      </w:r>
    </w:p>
    <w:p w14:paraId="3656B908" w14:textId="77777777" w:rsidR="008419EA" w:rsidRPr="008419EA" w:rsidRDefault="008419EA" w:rsidP="008419EA">
      <w:pPr>
        <w:autoSpaceDE w:val="0"/>
        <w:autoSpaceDN w:val="0"/>
        <w:adjustRightInd w:val="0"/>
        <w:spacing w:after="0"/>
        <w:rPr>
          <w:color w:val="000000"/>
        </w:rPr>
      </w:pPr>
      <w:r w:rsidRPr="008419EA">
        <w:rPr>
          <w:color w:val="000000"/>
        </w:rPr>
        <w:t>5. Transmitter characteristics</w:t>
      </w:r>
    </w:p>
    <w:p w14:paraId="38052DF7" w14:textId="77777777" w:rsidR="008419EA" w:rsidRPr="008419EA" w:rsidRDefault="008419EA" w:rsidP="008419EA">
      <w:pPr>
        <w:autoSpaceDE w:val="0"/>
        <w:autoSpaceDN w:val="0"/>
        <w:adjustRightInd w:val="0"/>
        <w:spacing w:after="0"/>
        <w:rPr>
          <w:color w:val="000000"/>
        </w:rPr>
      </w:pPr>
      <w:r w:rsidRPr="008419EA">
        <w:rPr>
          <w:color w:val="000000"/>
        </w:rPr>
        <w:t>6. Antenna characteristics</w:t>
      </w:r>
    </w:p>
    <w:p w14:paraId="39C13034" w14:textId="77777777" w:rsidR="008419EA" w:rsidRPr="008419EA" w:rsidRDefault="008419EA" w:rsidP="008419EA">
      <w:pPr>
        <w:autoSpaceDE w:val="0"/>
        <w:autoSpaceDN w:val="0"/>
        <w:adjustRightInd w:val="0"/>
        <w:spacing w:after="0"/>
        <w:rPr>
          <w:color w:val="000000"/>
        </w:rPr>
      </w:pPr>
      <w:r w:rsidRPr="008419EA">
        <w:rPr>
          <w:color w:val="000000"/>
        </w:rPr>
        <w:t>7. Maximum equivalent isotropically radiated power</w:t>
      </w:r>
    </w:p>
    <w:p w14:paraId="4362FBB4" w14:textId="77777777" w:rsidR="008419EA" w:rsidRPr="008419EA" w:rsidRDefault="008419EA" w:rsidP="008419EA">
      <w:pPr>
        <w:autoSpaceDE w:val="0"/>
        <w:autoSpaceDN w:val="0"/>
        <w:adjustRightInd w:val="0"/>
        <w:spacing w:after="0"/>
        <w:rPr>
          <w:color w:val="000000"/>
        </w:rPr>
      </w:pPr>
      <w:r w:rsidRPr="008419EA">
        <w:rPr>
          <w:color w:val="000000"/>
        </w:rPr>
        <w:t>8. Avoidance of the geostationary satellite orbit</w:t>
      </w:r>
    </w:p>
    <w:p w14:paraId="475F06CD" w14:textId="77777777" w:rsidR="008419EA" w:rsidRPr="008419EA" w:rsidRDefault="008419EA" w:rsidP="008419EA">
      <w:pPr>
        <w:autoSpaceDE w:val="0"/>
        <w:autoSpaceDN w:val="0"/>
        <w:adjustRightInd w:val="0"/>
        <w:spacing w:after="0"/>
        <w:rPr>
          <w:color w:val="000000"/>
        </w:rPr>
      </w:pPr>
      <w:r w:rsidRPr="008419EA">
        <w:rPr>
          <w:color w:val="000000"/>
        </w:rPr>
        <w:t>9. Enhanced technical requirements for moderately congested and highly congested areas</w:t>
      </w:r>
    </w:p>
    <w:p w14:paraId="2394BB38" w14:textId="77777777" w:rsidR="008419EA" w:rsidRPr="008419EA" w:rsidRDefault="008419EA" w:rsidP="008419EA">
      <w:pPr>
        <w:autoSpaceDE w:val="0"/>
        <w:autoSpaceDN w:val="0"/>
        <w:adjustRightInd w:val="0"/>
        <w:spacing w:after="0"/>
        <w:rPr>
          <w:color w:val="000000"/>
        </w:rPr>
      </w:pPr>
      <w:r w:rsidRPr="008419EA">
        <w:rPr>
          <w:color w:val="000000"/>
        </w:rPr>
        <w:t>10. International coordination</w:t>
      </w:r>
    </w:p>
    <w:p w14:paraId="0BE822A3" w14:textId="5B700B3E" w:rsidR="008419EA" w:rsidRDefault="008419EA" w:rsidP="008419EA"/>
    <w:p w14:paraId="746C3B56" w14:textId="2765D640" w:rsidR="008419EA" w:rsidRPr="004823C7" w:rsidRDefault="008A3CBF" w:rsidP="008A3CBF">
      <w:r w:rsidRPr="004823C7">
        <w:rPr>
          <w:b/>
          <w:bCs/>
          <w:color w:val="000000"/>
        </w:rPr>
        <w:t>Preface</w:t>
      </w:r>
    </w:p>
    <w:p w14:paraId="6B47CBA0" w14:textId="1273AD4D" w:rsidR="008A3CBF" w:rsidRPr="008A3CBF" w:rsidRDefault="008A3CBF" w:rsidP="008A3CBF">
      <w:pPr>
        <w:autoSpaceDE w:val="0"/>
        <w:autoSpaceDN w:val="0"/>
        <w:adjustRightInd w:val="0"/>
        <w:spacing w:after="0"/>
        <w:rPr>
          <w:color w:val="000000"/>
        </w:rPr>
      </w:pPr>
      <w:r w:rsidRPr="008A3CBF">
        <w:rPr>
          <w:color w:val="000000"/>
        </w:rPr>
        <w:t>This Standard Radio System Plan (SRSP) replaces SRSP-301.7, issue 3.</w:t>
      </w:r>
      <w:r w:rsidR="004823C7" w:rsidRPr="004823C7">
        <w:rPr>
          <w:color w:val="000000"/>
        </w:rPr>
        <w:t xml:space="preserve"> </w:t>
      </w:r>
      <w:r w:rsidRPr="008A3CBF">
        <w:rPr>
          <w:color w:val="000000"/>
        </w:rPr>
        <w:t>Issue 4 of SRSP-301.7 has been released to amend the antenna</w:t>
      </w:r>
      <w:r w:rsidR="004823C7" w:rsidRPr="004823C7">
        <w:rPr>
          <w:color w:val="000000"/>
        </w:rPr>
        <w:t xml:space="preserve"> </w:t>
      </w:r>
      <w:r w:rsidRPr="008A3CBF">
        <w:rPr>
          <w:color w:val="000000"/>
        </w:rPr>
        <w:t>characteristics for fixed radio systems used for the management of</w:t>
      </w:r>
      <w:r w:rsidR="004823C7" w:rsidRPr="004823C7">
        <w:rPr>
          <w:color w:val="000000"/>
        </w:rPr>
        <w:t xml:space="preserve"> </w:t>
      </w:r>
      <w:r w:rsidRPr="008A3CBF">
        <w:rPr>
          <w:color w:val="000000"/>
        </w:rPr>
        <w:t>the electricity supply.</w:t>
      </w:r>
    </w:p>
    <w:p w14:paraId="3C5BB01D" w14:textId="77777777" w:rsidR="008A3CBF" w:rsidRPr="008A3CBF" w:rsidRDefault="008A3CBF" w:rsidP="008A3CBF">
      <w:pPr>
        <w:autoSpaceDE w:val="0"/>
        <w:autoSpaceDN w:val="0"/>
        <w:adjustRightInd w:val="0"/>
        <w:spacing w:after="0"/>
        <w:rPr>
          <w:color w:val="000000"/>
        </w:rPr>
      </w:pPr>
      <w:r w:rsidRPr="008A3CBF">
        <w:rPr>
          <w:color w:val="000000"/>
        </w:rPr>
        <w:t xml:space="preserve">The following are the main changes: </w:t>
      </w:r>
    </w:p>
    <w:p w14:paraId="24800D19" w14:textId="6209C11F" w:rsidR="008A3CBF" w:rsidRPr="004823C7" w:rsidRDefault="008A3CBF" w:rsidP="00560AC9">
      <w:pPr>
        <w:pStyle w:val="Paragrafoelenco"/>
        <w:numPr>
          <w:ilvl w:val="0"/>
          <w:numId w:val="13"/>
        </w:numPr>
        <w:spacing w:after="0"/>
        <w:rPr>
          <w:color w:val="000000"/>
        </w:rPr>
      </w:pPr>
      <w:r w:rsidRPr="004823C7">
        <w:rPr>
          <w:color w:val="000000"/>
        </w:rPr>
        <w:t>The section on the antenna characteristics for fixed radio systems</w:t>
      </w:r>
      <w:r w:rsidR="004823C7" w:rsidRPr="004823C7">
        <w:rPr>
          <w:color w:val="000000"/>
        </w:rPr>
        <w:t xml:space="preserve"> </w:t>
      </w:r>
      <w:r w:rsidRPr="004823C7">
        <w:rPr>
          <w:color w:val="000000"/>
        </w:rPr>
        <w:t>used for the management of the electricity supply has been</w:t>
      </w:r>
      <w:r w:rsidR="004823C7" w:rsidRPr="004823C7">
        <w:rPr>
          <w:color w:val="000000"/>
        </w:rPr>
        <w:t xml:space="preserve"> </w:t>
      </w:r>
      <w:r w:rsidRPr="004823C7">
        <w:rPr>
          <w:color w:val="000000"/>
        </w:rPr>
        <w:t>modified to allow smaller omnidirectional antennas for terminal</w:t>
      </w:r>
      <w:r w:rsidR="004823C7" w:rsidRPr="004823C7">
        <w:rPr>
          <w:color w:val="000000"/>
        </w:rPr>
        <w:t xml:space="preserve"> </w:t>
      </w:r>
      <w:r w:rsidRPr="004823C7">
        <w:rPr>
          <w:color w:val="000000"/>
        </w:rPr>
        <w:t xml:space="preserve">stations. </w:t>
      </w:r>
    </w:p>
    <w:p w14:paraId="5F833346" w14:textId="1413197F" w:rsidR="008A3CBF" w:rsidRPr="004823C7" w:rsidRDefault="008A3CBF" w:rsidP="00560AC9">
      <w:pPr>
        <w:pStyle w:val="Paragrafoelenco"/>
        <w:numPr>
          <w:ilvl w:val="0"/>
          <w:numId w:val="13"/>
        </w:numPr>
        <w:spacing w:after="0"/>
        <w:rPr>
          <w:color w:val="000000"/>
        </w:rPr>
      </w:pPr>
      <w:r w:rsidRPr="004823C7">
        <w:rPr>
          <w:color w:val="000000"/>
        </w:rPr>
        <w:t>References to low-capacity and very low capacity radio systems</w:t>
      </w:r>
      <w:r w:rsidR="004823C7" w:rsidRPr="004823C7">
        <w:rPr>
          <w:color w:val="000000"/>
        </w:rPr>
        <w:t xml:space="preserve"> </w:t>
      </w:r>
      <w:r w:rsidRPr="004823C7">
        <w:rPr>
          <w:color w:val="000000"/>
        </w:rPr>
        <w:t>have been removed, based on policy decisions in SMSE-022-14,</w:t>
      </w:r>
      <w:r w:rsidR="004823C7" w:rsidRPr="004823C7">
        <w:rPr>
          <w:color w:val="000000"/>
        </w:rPr>
        <w:t xml:space="preserve"> </w:t>
      </w:r>
      <w:hyperlink r:id="rId10" w:history="1">
        <w:r w:rsidRPr="003B48D8">
          <w:rPr>
            <w:rStyle w:val="Collegamentoipertestuale"/>
          </w:rPr>
          <w:t>Decisions on Spectrum Utilization Policies and Technical</w:t>
        </w:r>
        <w:r w:rsidR="004823C7" w:rsidRPr="003B48D8">
          <w:rPr>
            <w:rStyle w:val="Collegamentoipertestuale"/>
          </w:rPr>
          <w:t xml:space="preserve"> </w:t>
        </w:r>
        <w:r w:rsidRPr="003B48D8">
          <w:rPr>
            <w:rStyle w:val="Collegamentoipertestuale"/>
          </w:rPr>
          <w:t>Requirements Related to Backhaul</w:t>
        </w:r>
      </w:hyperlink>
      <w:r w:rsidRPr="004823C7">
        <w:rPr>
          <w:color w:val="000000"/>
        </w:rPr>
        <w:t xml:space="preserve">. </w:t>
      </w:r>
    </w:p>
    <w:p w14:paraId="4752F14D" w14:textId="77777777" w:rsidR="008A3CBF" w:rsidRPr="004823C7" w:rsidRDefault="008A3CBF" w:rsidP="00560AC9">
      <w:pPr>
        <w:pStyle w:val="Paragrafoelenco"/>
        <w:numPr>
          <w:ilvl w:val="0"/>
          <w:numId w:val="13"/>
        </w:numPr>
        <w:spacing w:after="0"/>
        <w:rPr>
          <w:color w:val="000000"/>
        </w:rPr>
      </w:pPr>
      <w:r w:rsidRPr="004823C7">
        <w:rPr>
          <w:color w:val="000000"/>
        </w:rPr>
        <w:t xml:space="preserve">References to minimum hop lengths have been removed. </w:t>
      </w:r>
    </w:p>
    <w:p w14:paraId="53FFEDE3" w14:textId="5996E255" w:rsidR="008A3CBF" w:rsidRPr="004823C7" w:rsidRDefault="008A3CBF" w:rsidP="00560AC9">
      <w:pPr>
        <w:pStyle w:val="Paragrafoelenco"/>
        <w:numPr>
          <w:ilvl w:val="0"/>
          <w:numId w:val="13"/>
        </w:numPr>
        <w:spacing w:after="0"/>
        <w:rPr>
          <w:color w:val="000000"/>
        </w:rPr>
      </w:pPr>
      <w:r w:rsidRPr="004823C7">
        <w:rPr>
          <w:color w:val="000000"/>
        </w:rPr>
        <w:lastRenderedPageBreak/>
        <w:t>Other editorial updates and improvements have been made</w:t>
      </w:r>
      <w:r w:rsidR="004823C7" w:rsidRPr="004823C7">
        <w:rPr>
          <w:color w:val="000000"/>
        </w:rPr>
        <w:t xml:space="preserve"> </w:t>
      </w:r>
      <w:r w:rsidRPr="004823C7">
        <w:rPr>
          <w:color w:val="000000"/>
        </w:rPr>
        <w:t>throughout the document.</w:t>
      </w:r>
    </w:p>
    <w:p w14:paraId="2694825B" w14:textId="51FC45C0" w:rsidR="008419EA" w:rsidRPr="003B48D8" w:rsidRDefault="003B48D8" w:rsidP="00560AC9">
      <w:pPr>
        <w:pStyle w:val="Paragrafoelenco"/>
        <w:numPr>
          <w:ilvl w:val="0"/>
          <w:numId w:val="15"/>
        </w:numPr>
        <w:rPr>
          <w:b/>
          <w:bCs/>
          <w:color w:val="000000"/>
        </w:rPr>
      </w:pPr>
      <w:r w:rsidRPr="003B48D8">
        <w:rPr>
          <w:b/>
          <w:bCs/>
          <w:color w:val="000000"/>
        </w:rPr>
        <w:t>Intent</w:t>
      </w:r>
    </w:p>
    <w:p w14:paraId="2D2D5BEF" w14:textId="77777777" w:rsidR="003B48D8" w:rsidRPr="003B48D8" w:rsidRDefault="003B48D8" w:rsidP="003B48D8">
      <w:pPr>
        <w:pStyle w:val="mrgn-tp-md"/>
        <w:shd w:val="clear" w:color="auto" w:fill="FFFFFF"/>
        <w:spacing w:before="225" w:beforeAutospacing="0" w:after="173" w:afterAutospacing="0"/>
        <w:rPr>
          <w:color w:val="333333"/>
          <w:sz w:val="20"/>
          <w:szCs w:val="20"/>
        </w:rPr>
      </w:pPr>
      <w:r w:rsidRPr="003B48D8">
        <w:rPr>
          <w:color w:val="333333"/>
          <w:sz w:val="20"/>
          <w:szCs w:val="20"/>
        </w:rPr>
        <w:t>This Standard Radio System Plan (SRSP) states the minimum technical requirements for the efficient use of the frequency bands 1700-1710 MHz and 1780-1850 MHz by radio systems in the fixed service, namely:</w:t>
      </w:r>
    </w:p>
    <w:p w14:paraId="402CBB3D" w14:textId="77777777" w:rsidR="003B48D8" w:rsidRPr="003B48D8" w:rsidRDefault="003B48D8" w:rsidP="00560AC9">
      <w:pPr>
        <w:numPr>
          <w:ilvl w:val="0"/>
          <w:numId w:val="14"/>
        </w:numPr>
        <w:shd w:val="clear" w:color="auto" w:fill="FFFFFF"/>
        <w:spacing w:before="100" w:beforeAutospacing="1" w:after="150"/>
        <w:rPr>
          <w:color w:val="333333"/>
        </w:rPr>
      </w:pPr>
      <w:r w:rsidRPr="003B48D8">
        <w:rPr>
          <w:color w:val="333333"/>
        </w:rPr>
        <w:t>fixed point-to-point line-of-sight digital radio systems in the frequency bands 1700-1710 MHz, </w:t>
      </w:r>
      <w:r w:rsidRPr="003B48D8">
        <w:rPr>
          <w:rStyle w:val="nowrap"/>
          <w:color w:val="333333"/>
        </w:rPr>
        <w:t>1780-1800 MHz</w:t>
      </w:r>
      <w:r w:rsidRPr="003B48D8">
        <w:rPr>
          <w:color w:val="333333"/>
        </w:rPr>
        <w:t> and </w:t>
      </w:r>
      <w:r w:rsidRPr="003B48D8">
        <w:rPr>
          <w:rStyle w:val="nowrap"/>
          <w:color w:val="333333"/>
        </w:rPr>
        <w:t>1830-1850 MHz</w:t>
      </w:r>
      <w:r w:rsidRPr="003B48D8">
        <w:rPr>
          <w:color w:val="333333"/>
        </w:rPr>
        <w:t>;</w:t>
      </w:r>
    </w:p>
    <w:p w14:paraId="0F17DDB8" w14:textId="77777777" w:rsidR="003B48D8" w:rsidRPr="003B48D8" w:rsidRDefault="003B48D8" w:rsidP="00560AC9">
      <w:pPr>
        <w:numPr>
          <w:ilvl w:val="0"/>
          <w:numId w:val="14"/>
        </w:numPr>
        <w:shd w:val="clear" w:color="auto" w:fill="FFFFFF"/>
        <w:spacing w:before="100" w:beforeAutospacing="1" w:after="150"/>
        <w:rPr>
          <w:color w:val="333333"/>
        </w:rPr>
      </w:pPr>
      <w:r w:rsidRPr="003B48D8">
        <w:rPr>
          <w:color w:val="333333"/>
        </w:rPr>
        <w:t>analog and digital radio systems, in the frequency band 1700-1710 MHz, used for aural broadcasting studio-to-transmitter link (STL) services; and</w:t>
      </w:r>
    </w:p>
    <w:p w14:paraId="21A1850E" w14:textId="77777777" w:rsidR="003B48D8" w:rsidRPr="00C63DC6" w:rsidRDefault="003B48D8" w:rsidP="00560AC9">
      <w:pPr>
        <w:numPr>
          <w:ilvl w:val="0"/>
          <w:numId w:val="14"/>
        </w:numPr>
        <w:shd w:val="clear" w:color="auto" w:fill="FFFFFF"/>
        <w:spacing w:before="100" w:beforeAutospacing="1" w:after="150"/>
        <w:rPr>
          <w:color w:val="333333"/>
          <w:highlight w:val="yellow"/>
        </w:rPr>
      </w:pPr>
      <w:r w:rsidRPr="00C63DC6">
        <w:rPr>
          <w:color w:val="333333"/>
          <w:highlight w:val="yellow"/>
        </w:rPr>
        <w:t>fixed point-to-point and point-to-multipoint digital radio systems, in the frequency band </w:t>
      </w:r>
      <w:r w:rsidRPr="00C63DC6">
        <w:rPr>
          <w:rStyle w:val="nowrap"/>
          <w:color w:val="333333"/>
          <w:highlight w:val="yellow"/>
        </w:rPr>
        <w:t>1800-1830 MHz</w:t>
      </w:r>
      <w:r w:rsidRPr="00C63DC6">
        <w:rPr>
          <w:color w:val="333333"/>
          <w:highlight w:val="yellow"/>
        </w:rPr>
        <w:t>, used for the management of the electricity supply.</w:t>
      </w:r>
    </w:p>
    <w:p w14:paraId="4C7A402E"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In this standard, the phrase “fixed radio systems used for the management of the electricity supply” refers to radio systems carrying traffic solely for the management, operation and maintenance of the electricity supply.</w:t>
      </w:r>
    </w:p>
    <w:p w14:paraId="08FCF33D"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This SRSP is intended to be used in the design and specification of radio systems and equipment, as well as in the technical evaluation of applications for new radio facilities or for modifications to radio systems submitted in accordance with the current issue of Radio Standards Procedure </w:t>
      </w:r>
      <w:r w:rsidRPr="003B48D8">
        <w:rPr>
          <w:rStyle w:val="nowrap"/>
          <w:color w:val="333333"/>
          <w:sz w:val="20"/>
          <w:szCs w:val="20"/>
        </w:rPr>
        <w:t>RSP-113</w:t>
      </w:r>
      <w:r w:rsidRPr="003B48D8">
        <w:rPr>
          <w:color w:val="333333"/>
          <w:sz w:val="20"/>
          <w:szCs w:val="20"/>
        </w:rPr>
        <w:t>, </w:t>
      </w:r>
      <w:hyperlink r:id="rId11" w:tooltip="RSP-113 &amp;#8212; Application Procedures for Planned Radio Stations Above 960 MHz in the Fixed Service" w:history="1">
        <w:r w:rsidRPr="003B48D8">
          <w:rPr>
            <w:rStyle w:val="Collegamentoipertestuale"/>
            <w:i/>
            <w:iCs/>
            <w:color w:val="284162"/>
            <w:sz w:val="20"/>
            <w:szCs w:val="20"/>
          </w:rPr>
          <w:t>Application Procedures for Planned Radio Stations Above 960 MHz in the Fixed Service</w:t>
        </w:r>
      </w:hyperlink>
      <w:r w:rsidRPr="003B48D8">
        <w:rPr>
          <w:color w:val="333333"/>
          <w:sz w:val="20"/>
          <w:szCs w:val="20"/>
        </w:rPr>
        <w:t>.</w:t>
      </w:r>
    </w:p>
    <w:p w14:paraId="6B0C2C6C"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This SRSP specifies system characteristics related to efficient spectrum usage only and is not to be regarded as a comprehensive specification for equipment design </w:t>
      </w:r>
      <w:r w:rsidRPr="003B48D8">
        <w:rPr>
          <w:rStyle w:val="nowrap"/>
          <w:color w:val="333333"/>
          <w:sz w:val="20"/>
          <w:szCs w:val="20"/>
        </w:rPr>
        <w:t>and/or</w:t>
      </w:r>
      <w:r w:rsidRPr="003B48D8">
        <w:rPr>
          <w:color w:val="333333"/>
          <w:sz w:val="20"/>
          <w:szCs w:val="20"/>
        </w:rPr>
        <w:t> selection.</w:t>
      </w:r>
    </w:p>
    <w:p w14:paraId="242BC698" w14:textId="53A9E011" w:rsidR="003B48D8" w:rsidRPr="003B48D8" w:rsidRDefault="003B48D8" w:rsidP="00560AC9">
      <w:pPr>
        <w:pStyle w:val="Paragrafoelenco"/>
        <w:numPr>
          <w:ilvl w:val="0"/>
          <w:numId w:val="15"/>
        </w:numPr>
        <w:rPr>
          <w:b/>
          <w:bCs/>
          <w:color w:val="000000"/>
        </w:rPr>
      </w:pPr>
      <w:r w:rsidRPr="003B48D8">
        <w:rPr>
          <w:b/>
          <w:bCs/>
          <w:color w:val="000000"/>
        </w:rPr>
        <w:t>General</w:t>
      </w:r>
    </w:p>
    <w:p w14:paraId="181385F1" w14:textId="7957F08F" w:rsidR="003B48D8" w:rsidRPr="003B48D8" w:rsidRDefault="003B48D8" w:rsidP="008419EA">
      <w:r w:rsidRPr="003B48D8">
        <w:rPr>
          <w:color w:val="333333"/>
          <w:shd w:val="clear" w:color="auto" w:fill="FFFFFF"/>
        </w:rPr>
        <w:t>This section includes information on the general aspects of this SRSP, such as licensing, resolution of interference conflicts and spectrum sharing.</w:t>
      </w:r>
    </w:p>
    <w:p w14:paraId="054A34F7" w14:textId="77777777" w:rsidR="003B48D8" w:rsidRPr="003B48D8" w:rsidRDefault="003B48D8" w:rsidP="003B48D8">
      <w:pPr>
        <w:pStyle w:val="Titolo4"/>
        <w:shd w:val="clear" w:color="auto" w:fill="FFFFFF"/>
        <w:spacing w:before="390" w:after="173"/>
        <w:rPr>
          <w:rFonts w:ascii="Times New Roman" w:hAnsi="Times New Roman"/>
          <w:b/>
          <w:bCs/>
          <w:color w:val="333333"/>
          <w:sz w:val="20"/>
        </w:rPr>
      </w:pPr>
      <w:r w:rsidRPr="003B48D8">
        <w:rPr>
          <w:rFonts w:ascii="Times New Roman" w:hAnsi="Times New Roman"/>
          <w:b/>
          <w:bCs/>
          <w:color w:val="333333"/>
          <w:sz w:val="20"/>
        </w:rPr>
        <w:t>2.1 Licensing process</w:t>
      </w:r>
    </w:p>
    <w:p w14:paraId="0ADE9DE8" w14:textId="77777777" w:rsidR="003B48D8" w:rsidRPr="003B48D8" w:rsidRDefault="003B48D8" w:rsidP="003B48D8">
      <w:pPr>
        <w:pStyle w:val="mrgn-tp-md"/>
        <w:shd w:val="clear" w:color="auto" w:fill="FFFFFF"/>
        <w:spacing w:before="225" w:beforeAutospacing="0" w:after="173" w:afterAutospacing="0"/>
        <w:rPr>
          <w:color w:val="333333"/>
          <w:sz w:val="20"/>
          <w:szCs w:val="20"/>
        </w:rPr>
      </w:pPr>
      <w:r w:rsidRPr="003B48D8">
        <w:rPr>
          <w:color w:val="333333"/>
          <w:sz w:val="20"/>
          <w:szCs w:val="20"/>
        </w:rPr>
        <w:t>Existing radio systems operating in the frequency bands 1700-1710 MHz and 1780-1850 MHz that were licensed as standard prior to the issuance of this SRSP may continue to operate as standard. Requests to extend or expand these systems will be considered by Innovation, Science and Economic Development Canada (ISED) on a case-by-case basis. New systems deployed in the bands 1700-1710 MHz and 1780-1850 MHz shall conform to the requirements of this SRSP.</w:t>
      </w:r>
    </w:p>
    <w:p w14:paraId="195C8D46" w14:textId="77777777" w:rsidR="003B48D8" w:rsidRPr="003B48D8" w:rsidRDefault="003B48D8" w:rsidP="003B48D8">
      <w:pPr>
        <w:pStyle w:val="Titolo4"/>
        <w:shd w:val="clear" w:color="auto" w:fill="FFFFFF"/>
        <w:spacing w:before="390" w:after="173"/>
        <w:rPr>
          <w:rFonts w:ascii="Times New Roman" w:hAnsi="Times New Roman"/>
          <w:b/>
          <w:bCs/>
          <w:color w:val="333333"/>
          <w:sz w:val="20"/>
        </w:rPr>
      </w:pPr>
      <w:r w:rsidRPr="003B48D8">
        <w:rPr>
          <w:rFonts w:ascii="Times New Roman" w:hAnsi="Times New Roman"/>
          <w:b/>
          <w:bCs/>
          <w:color w:val="333333"/>
          <w:sz w:val="20"/>
        </w:rPr>
        <w:t>2.2 Compliance of radio systems</w:t>
      </w:r>
    </w:p>
    <w:p w14:paraId="0EA46E8E" w14:textId="77777777" w:rsidR="003B48D8" w:rsidRPr="003B48D8" w:rsidRDefault="003B48D8" w:rsidP="003B48D8">
      <w:pPr>
        <w:pStyle w:val="mrgn-tp-md"/>
        <w:shd w:val="clear" w:color="auto" w:fill="FFFFFF"/>
        <w:spacing w:before="225" w:beforeAutospacing="0" w:after="173" w:afterAutospacing="0"/>
        <w:rPr>
          <w:color w:val="333333"/>
          <w:sz w:val="20"/>
          <w:szCs w:val="20"/>
        </w:rPr>
      </w:pPr>
      <w:r w:rsidRPr="003B48D8">
        <w:rPr>
          <w:color w:val="333333"/>
          <w:sz w:val="20"/>
          <w:szCs w:val="20"/>
        </w:rPr>
        <w:t>Radio systems conforming to the technical requirements of this SRSP will be given priority in licensing over non-standard radio systems operating in the bands 1700-1710 MHz and 1780-1850 MHz.</w:t>
      </w:r>
    </w:p>
    <w:p w14:paraId="5531F2EF"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The arrangements for non-standard systems are outlined in Spectrum Utilization Policy SP Gen, </w:t>
      </w:r>
      <w:hyperlink r:id="rId12" w:tooltip="SP Gen &amp;#8212; General Information Related to Spectrum Utilization and Radio Systems Policies" w:history="1">
        <w:r w:rsidRPr="003B48D8">
          <w:rPr>
            <w:rStyle w:val="Collegamentoipertestuale"/>
            <w:i/>
            <w:iCs/>
            <w:color w:val="284162"/>
            <w:sz w:val="20"/>
            <w:szCs w:val="20"/>
          </w:rPr>
          <w:t>General Information Related to Spectrum Utilization and Radio System Policies</w:t>
        </w:r>
      </w:hyperlink>
      <w:r w:rsidRPr="003B48D8">
        <w:rPr>
          <w:color w:val="333333"/>
          <w:sz w:val="20"/>
          <w:szCs w:val="20"/>
        </w:rPr>
        <w:t>.</w:t>
      </w:r>
    </w:p>
    <w:p w14:paraId="7841A140"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The Geographical Differences Policy (GDP) guideline applies to radio systems in these bands. The GDP incorporates some technical requirements that are applied in areas having certain levels of congestion, which are further described in part B, section 1.6, of Spectrum Utilization Policy SP 1-20 GHz, </w:t>
      </w:r>
      <w:hyperlink r:id="rId13" w:anchor="t1.6" w:tooltip="SP 1-20 GHz — Revisions to Microwave Spectrum Utilization Policies in the Range of 1&amp;#8209;20 GHz (sf09086)" w:history="1">
        <w:r w:rsidRPr="003B48D8">
          <w:rPr>
            <w:rStyle w:val="Collegamentoipertestuale"/>
            <w:i/>
            <w:iCs/>
            <w:color w:val="284162"/>
            <w:sz w:val="20"/>
            <w:szCs w:val="20"/>
          </w:rPr>
          <w:t>Revisions to Microwave Spectrum Utilization Policies in the Range of </w:t>
        </w:r>
        <w:r w:rsidRPr="003B48D8">
          <w:rPr>
            <w:rStyle w:val="nowrap"/>
            <w:i/>
            <w:iCs/>
            <w:color w:val="284162"/>
            <w:sz w:val="20"/>
            <w:szCs w:val="20"/>
            <w:u w:val="single"/>
          </w:rPr>
          <w:t>1-20</w:t>
        </w:r>
        <w:r w:rsidRPr="003B48D8">
          <w:rPr>
            <w:rStyle w:val="Collegamentoipertestuale"/>
            <w:i/>
            <w:iCs/>
            <w:color w:val="284162"/>
            <w:sz w:val="20"/>
            <w:szCs w:val="20"/>
          </w:rPr>
          <w:t> GHz</w:t>
        </w:r>
      </w:hyperlink>
      <w:r w:rsidRPr="003B48D8">
        <w:rPr>
          <w:color w:val="333333"/>
          <w:sz w:val="20"/>
          <w:szCs w:val="20"/>
        </w:rPr>
        <w:t>.</w:t>
      </w:r>
    </w:p>
    <w:p w14:paraId="08D3F9B5"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Even though a radio system complies with the requirements of this SRSP, modifications may be required to that system whenever it causes harmful interference, as defined in the </w:t>
      </w:r>
      <w:hyperlink r:id="rId14" w:history="1">
        <w:r w:rsidRPr="003B48D8">
          <w:rPr>
            <w:rStyle w:val="Collegamentoipertestuale"/>
            <w:i/>
            <w:iCs/>
            <w:color w:val="284162"/>
            <w:sz w:val="20"/>
            <w:szCs w:val="20"/>
          </w:rPr>
          <w:t>Radiocommunication Act</w:t>
        </w:r>
      </w:hyperlink>
      <w:r w:rsidRPr="003B48D8">
        <w:rPr>
          <w:color w:val="333333"/>
          <w:sz w:val="20"/>
          <w:szCs w:val="20"/>
        </w:rPr>
        <w:t>.</w:t>
      </w:r>
    </w:p>
    <w:p w14:paraId="471F4622"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Analog and digital radio systems used for aural broadcasting STL services will be permitted in the band 1700-1710 MHz and, on a case-by-case basis, in the bands 1780-1800 MHz and 1830-1850 MHz. All STL systems shall conform to the applicable provisions for point-to-point digital radio systems in the bands 1700-1710 MHz, 1780-1800 MHz and 1830-1850 MHz in this SRSP.</w:t>
      </w:r>
    </w:p>
    <w:p w14:paraId="15D254BB" w14:textId="77777777" w:rsidR="003B48D8" w:rsidRPr="003B48D8" w:rsidRDefault="003B48D8" w:rsidP="003B48D8">
      <w:pPr>
        <w:pStyle w:val="Titolo4"/>
        <w:shd w:val="clear" w:color="auto" w:fill="FFFFFF"/>
        <w:spacing w:before="390" w:after="173"/>
        <w:rPr>
          <w:rFonts w:ascii="Times New Roman" w:hAnsi="Times New Roman"/>
          <w:b/>
          <w:bCs/>
          <w:color w:val="333333"/>
          <w:sz w:val="20"/>
        </w:rPr>
      </w:pPr>
      <w:r w:rsidRPr="003B48D8">
        <w:rPr>
          <w:rFonts w:ascii="Times New Roman" w:hAnsi="Times New Roman"/>
          <w:b/>
          <w:bCs/>
          <w:color w:val="333333"/>
          <w:sz w:val="20"/>
        </w:rPr>
        <w:lastRenderedPageBreak/>
        <w:t>2.3 Resolution of interference conflicts between radio systems</w:t>
      </w:r>
    </w:p>
    <w:p w14:paraId="41093D42" w14:textId="77777777" w:rsidR="003B48D8" w:rsidRPr="003B48D8" w:rsidRDefault="003B48D8" w:rsidP="003B48D8">
      <w:pPr>
        <w:pStyle w:val="mrgn-tp-md"/>
        <w:shd w:val="clear" w:color="auto" w:fill="FFFFFF"/>
        <w:spacing w:before="225" w:beforeAutospacing="0" w:after="173" w:afterAutospacing="0"/>
        <w:rPr>
          <w:color w:val="333333"/>
          <w:sz w:val="20"/>
          <w:szCs w:val="20"/>
        </w:rPr>
      </w:pPr>
      <w:r w:rsidRPr="003B48D8">
        <w:rPr>
          <w:color w:val="333333"/>
          <w:sz w:val="20"/>
          <w:szCs w:val="20"/>
        </w:rPr>
        <w:t>When potential interference between radio systems cannot be resolved by the parties concerned, ISED should be advised. After consultation with these parties, ISED will determine the necessary modifications and schedule of modifications to resolve the conflict. Among other potential mitigation measures, ISED may require licensees and/or applicants to use a receiver with improved selectivity characteristics.</w:t>
      </w:r>
    </w:p>
    <w:p w14:paraId="1A7FF714" w14:textId="77777777" w:rsidR="003B48D8" w:rsidRPr="003B48D8" w:rsidRDefault="003B48D8" w:rsidP="003B48D8">
      <w:pPr>
        <w:pStyle w:val="Titolo4"/>
        <w:shd w:val="clear" w:color="auto" w:fill="FFFFFF"/>
        <w:spacing w:before="390" w:after="173"/>
        <w:rPr>
          <w:rFonts w:ascii="Times New Roman" w:hAnsi="Times New Roman"/>
          <w:b/>
          <w:bCs/>
          <w:color w:val="333333"/>
          <w:sz w:val="20"/>
        </w:rPr>
      </w:pPr>
      <w:r w:rsidRPr="003B48D8">
        <w:rPr>
          <w:rFonts w:ascii="Times New Roman" w:hAnsi="Times New Roman"/>
          <w:b/>
          <w:bCs/>
          <w:color w:val="333333"/>
          <w:sz w:val="20"/>
        </w:rPr>
        <w:t>2.4 Spectrum sharing</w:t>
      </w:r>
    </w:p>
    <w:p w14:paraId="3A367589" w14:textId="77777777" w:rsidR="003B48D8" w:rsidRPr="003B48D8" w:rsidRDefault="003B48D8" w:rsidP="003B48D8">
      <w:pPr>
        <w:pStyle w:val="mrgn-tp-md"/>
        <w:shd w:val="clear" w:color="auto" w:fill="FFFFFF"/>
        <w:spacing w:before="225" w:beforeAutospacing="0" w:after="173" w:afterAutospacing="0"/>
        <w:rPr>
          <w:color w:val="333333"/>
          <w:sz w:val="20"/>
          <w:szCs w:val="20"/>
        </w:rPr>
      </w:pPr>
      <w:r w:rsidRPr="003B48D8">
        <w:rPr>
          <w:color w:val="333333"/>
          <w:sz w:val="20"/>
          <w:szCs w:val="20"/>
        </w:rPr>
        <w:t>It should be noted that the fixed service shares the bands 1700-1710 MHz and 1780-1850 MHz with other services in accordance with the </w:t>
      </w:r>
      <w:hyperlink r:id="rId15" w:tooltip="Canadian Table of Frequency Allocations" w:history="1">
        <w:r w:rsidRPr="003B48D8">
          <w:rPr>
            <w:rStyle w:val="Collegamentoipertestuale"/>
            <w:color w:val="284162"/>
            <w:sz w:val="20"/>
            <w:szCs w:val="20"/>
          </w:rPr>
          <w:t>Canadian Table of Frequency Allocations</w:t>
        </w:r>
      </w:hyperlink>
      <w:r w:rsidRPr="003B48D8">
        <w:rPr>
          <w:color w:val="333333"/>
          <w:sz w:val="20"/>
          <w:szCs w:val="20"/>
        </w:rPr>
        <w:t>. It may be necessary to coordinate with meteorological satellite (METSAT) earth stations operating in the band 1700-1710 MHz. For fixed systems operating near 1710 MHz and near 1850 MHz, coordination may be required with Advanced Wireless Services (AWS) and Personal Communications Services (PCS) systems, respectively, operating in the adjacent bands.</w:t>
      </w:r>
    </w:p>
    <w:p w14:paraId="5647D63F" w14:textId="77777777" w:rsidR="003B48D8" w:rsidRPr="003B48D8" w:rsidRDefault="003B48D8" w:rsidP="003B48D8">
      <w:pPr>
        <w:pStyle w:val="NormaleWeb"/>
        <w:shd w:val="clear" w:color="auto" w:fill="FFFFFF"/>
        <w:spacing w:before="0" w:beforeAutospacing="0" w:after="173" w:afterAutospacing="0"/>
        <w:rPr>
          <w:color w:val="333333"/>
          <w:sz w:val="20"/>
          <w:szCs w:val="20"/>
        </w:rPr>
      </w:pPr>
      <w:r w:rsidRPr="003B48D8">
        <w:rPr>
          <w:color w:val="333333"/>
          <w:sz w:val="20"/>
          <w:szCs w:val="20"/>
        </w:rPr>
        <w:t>ISED’s </w:t>
      </w:r>
      <w:hyperlink r:id="rId16" w:history="1">
        <w:r w:rsidRPr="003B48D8">
          <w:rPr>
            <w:rStyle w:val="Collegamentoipertestuale"/>
            <w:color w:val="284162"/>
            <w:sz w:val="20"/>
            <w:szCs w:val="20"/>
          </w:rPr>
          <w:t>Spectrum Management and Telecommunications</w:t>
        </w:r>
      </w:hyperlink>
      <w:r w:rsidRPr="003B48D8">
        <w:rPr>
          <w:color w:val="333333"/>
          <w:sz w:val="20"/>
          <w:szCs w:val="20"/>
        </w:rPr>
        <w:t> website provides information on the stations of other services operating in these bands.</w:t>
      </w:r>
    </w:p>
    <w:p w14:paraId="37B24D9C" w14:textId="69320D18" w:rsidR="0035031C" w:rsidRPr="0035031C" w:rsidRDefault="0035031C" w:rsidP="00560AC9">
      <w:pPr>
        <w:pStyle w:val="Paragrafoelenco"/>
        <w:numPr>
          <w:ilvl w:val="0"/>
          <w:numId w:val="15"/>
        </w:numPr>
        <w:rPr>
          <w:b/>
          <w:bCs/>
          <w:color w:val="000000"/>
        </w:rPr>
      </w:pPr>
      <w:r w:rsidRPr="0035031C">
        <w:rPr>
          <w:b/>
          <w:bCs/>
          <w:color w:val="000000"/>
        </w:rPr>
        <w:t>Related documents</w:t>
      </w:r>
    </w:p>
    <w:p w14:paraId="4E583934" w14:textId="77777777" w:rsidR="0035031C" w:rsidRPr="0035031C" w:rsidRDefault="0035031C" w:rsidP="0035031C">
      <w:pPr>
        <w:pStyle w:val="mrgn-tp-md"/>
        <w:spacing w:before="225" w:beforeAutospacing="0" w:after="173" w:afterAutospacing="0"/>
        <w:rPr>
          <w:sz w:val="20"/>
          <w:szCs w:val="20"/>
        </w:rPr>
      </w:pPr>
      <w:r w:rsidRPr="0035031C">
        <w:rPr>
          <w:sz w:val="20"/>
          <w:szCs w:val="20"/>
        </w:rPr>
        <w:t>The current issues of the following documents are applicable and available on ISED’s Spectrum Management and Telecommunications website, under </w:t>
      </w:r>
      <w:hyperlink r:id="rId17" w:tooltip="Official publications" w:history="1">
        <w:r w:rsidRPr="0035031C">
          <w:rPr>
            <w:rStyle w:val="Collegamentoipertestuale"/>
            <w:color w:val="284162"/>
            <w:sz w:val="20"/>
            <w:szCs w:val="20"/>
          </w:rPr>
          <w:t>Official publications</w:t>
        </w:r>
      </w:hyperlink>
      <w:r w:rsidRPr="0035031C">
        <w:rPr>
          <w:sz w:val="20"/>
          <w:szCs w:val="20"/>
        </w:rPr>
        <w:t>:</w:t>
      </w:r>
    </w:p>
    <w:p w14:paraId="31C1256C" w14:textId="46CFD6A3" w:rsidR="0035031C" w:rsidRPr="0035031C" w:rsidRDefault="0035031C" w:rsidP="0035031C">
      <w:r w:rsidRPr="0035031C">
        <w:t>Arrangement D</w:t>
      </w:r>
      <w:r>
        <w:t xml:space="preserve"> </w:t>
      </w:r>
      <w:hyperlink r:id="rId18" w:tooltip="Arrangement D" w:history="1">
        <w:r w:rsidRPr="0035031C">
          <w:rPr>
            <w:rStyle w:val="Collegamentoipertestuale"/>
            <w:color w:val="284162"/>
          </w:rPr>
          <w:t>Arrangement Between the Department of Transport and the Interdepartment Radio Advisory Committee for the Exchange of Frequency Assignment Information and Engineering Comments on Proposed Assignments Along the Canada-United States Borders in Certain Frequency Bands Above 30 – Mc/s</w:t>
        </w:r>
      </w:hyperlink>
    </w:p>
    <w:p w14:paraId="04B001B2" w14:textId="0C598EFE" w:rsidR="0035031C" w:rsidRPr="0035031C" w:rsidRDefault="0035031C" w:rsidP="0035031C">
      <w:r w:rsidRPr="0035031C">
        <w:t>CPC-2-0-03</w:t>
      </w:r>
      <w:r>
        <w:t xml:space="preserve"> </w:t>
      </w:r>
      <w:hyperlink r:id="rId19" w:tooltip="CPC-2-0-03 — Radiocommunication and Broadcasting Antenna Systems" w:history="1">
        <w:r w:rsidRPr="0035031C">
          <w:rPr>
            <w:rStyle w:val="Collegamentoipertestuale"/>
            <w:i/>
            <w:iCs/>
            <w:color w:val="284162"/>
          </w:rPr>
          <w:t>Radiocommunications and Broadcasting Antenna Systems</w:t>
        </w:r>
      </w:hyperlink>
    </w:p>
    <w:p w14:paraId="2D828BC7" w14:textId="6250BACE" w:rsidR="0035031C" w:rsidRPr="0035031C" w:rsidRDefault="0035031C" w:rsidP="0035031C">
      <w:r w:rsidRPr="0035031C">
        <w:t>CTFA</w:t>
      </w:r>
      <w:r>
        <w:t xml:space="preserve"> </w:t>
      </w:r>
      <w:hyperlink r:id="rId20" w:tooltip="Canadian Table of Frequency Allocations" w:history="1">
        <w:r w:rsidRPr="0035031C">
          <w:rPr>
            <w:rStyle w:val="Collegamentoipertestuale"/>
            <w:color w:val="284162"/>
          </w:rPr>
          <w:t>Canadian Table of Frequency Allocations</w:t>
        </w:r>
      </w:hyperlink>
    </w:p>
    <w:p w14:paraId="201BCA52" w14:textId="4E6C67F9" w:rsidR="0035031C" w:rsidRPr="0035031C" w:rsidRDefault="0035031C" w:rsidP="0035031C">
      <w:r w:rsidRPr="0035031C">
        <w:t>RSP-113</w:t>
      </w:r>
      <w:r>
        <w:t xml:space="preserve"> </w:t>
      </w:r>
      <w:hyperlink r:id="rId21" w:tooltip="RSP-113 &amp;#8212; Application Procedures for Planned Radio Stations Above 960 MHz in the Fixed Service" w:history="1">
        <w:r w:rsidRPr="0035031C">
          <w:rPr>
            <w:rStyle w:val="Collegamentoipertestuale"/>
            <w:i/>
            <w:iCs/>
            <w:color w:val="284162"/>
          </w:rPr>
          <w:t>Application Procedures for Planned Radio Stations Above 960 MHz in the Fixed Service</w:t>
        </w:r>
      </w:hyperlink>
    </w:p>
    <w:p w14:paraId="1908813D" w14:textId="1BF5EA3E" w:rsidR="0035031C" w:rsidRPr="0035031C" w:rsidRDefault="0035031C" w:rsidP="0035031C">
      <w:r w:rsidRPr="0035031C">
        <w:t>SP 1-20 GHz</w:t>
      </w:r>
      <w:r>
        <w:t xml:space="preserve"> </w:t>
      </w:r>
      <w:hyperlink r:id="rId22" w:tooltip="SP 1-20 GHz — Revisions to Microwave Spectrum Utilization Policies in the Range of 1-20 GHz" w:history="1">
        <w:r w:rsidRPr="0035031C">
          <w:rPr>
            <w:rStyle w:val="Collegamentoipertestuale"/>
            <w:i/>
            <w:iCs/>
            <w:color w:val="284162"/>
          </w:rPr>
          <w:t>Revisions to Microwave Spectrum Utilization Policies in the Range of 1-20 GHz</w:t>
        </w:r>
      </w:hyperlink>
    </w:p>
    <w:p w14:paraId="61133E6A" w14:textId="7490043F" w:rsidR="0035031C" w:rsidRPr="0035031C" w:rsidRDefault="0035031C" w:rsidP="0035031C">
      <w:r w:rsidRPr="0035031C">
        <w:t>SP 1-3 GHz</w:t>
      </w:r>
      <w:r>
        <w:t xml:space="preserve"> </w:t>
      </w:r>
      <w:hyperlink r:id="rId23" w:tooltip="SP 1-3 GHz — Amendments to the Microwave Spectrum Utilization Policies in the 1–3 GHz Frequency Range (sf09101)" w:history="1">
        <w:r w:rsidRPr="0035031C">
          <w:rPr>
            <w:rStyle w:val="Collegamentoipertestuale"/>
            <w:i/>
            <w:iCs/>
            <w:color w:val="284162"/>
          </w:rPr>
          <w:t>Amendments to the Microwave Spectrum Utilization Policies in the 1-3 GHz Frequency Range</w:t>
        </w:r>
      </w:hyperlink>
    </w:p>
    <w:p w14:paraId="6B5373F6" w14:textId="2C91E2D6" w:rsidR="0035031C" w:rsidRPr="0035031C" w:rsidRDefault="0035031C" w:rsidP="0035031C">
      <w:r w:rsidRPr="0035031C">
        <w:t>SP Gen</w:t>
      </w:r>
      <w:r>
        <w:t xml:space="preserve"> </w:t>
      </w:r>
      <w:hyperlink r:id="rId24" w:tooltip="SP Gen &amp;#8212; General Information Related to Spectrum Utilization and Radio Systems Policies" w:history="1">
        <w:r w:rsidRPr="0035031C">
          <w:rPr>
            <w:rStyle w:val="Collegamentoipertestuale"/>
            <w:i/>
            <w:iCs/>
            <w:color w:val="284162"/>
          </w:rPr>
          <w:t>General Information Related to Spectrum Utilization and Radio Systems Policies</w:t>
        </w:r>
      </w:hyperlink>
    </w:p>
    <w:p w14:paraId="0F04979A" w14:textId="5B8D97D3" w:rsidR="0035031C" w:rsidRPr="0035031C" w:rsidRDefault="0035031C" w:rsidP="0035031C">
      <w:r w:rsidRPr="0035031C">
        <w:t>TRC-43</w:t>
      </w:r>
      <w:r>
        <w:t xml:space="preserve"> </w:t>
      </w:r>
      <w:hyperlink r:id="rId25" w:tooltip="TRC-43 — Designation of Emissions, Class of Station and Nature of Service" w:history="1">
        <w:r w:rsidRPr="0035031C">
          <w:rPr>
            <w:rStyle w:val="Collegamentoipertestuale"/>
            <w:i/>
            <w:iCs/>
            <w:color w:val="284162"/>
          </w:rPr>
          <w:t>Designation of Emissions, Class of Station and Nature of Service</w:t>
        </w:r>
      </w:hyperlink>
    </w:p>
    <w:p w14:paraId="1E8511DB" w14:textId="5EDF1F4B" w:rsidR="0035031C" w:rsidRPr="0035031C" w:rsidRDefault="0035031C" w:rsidP="0035031C">
      <w:r w:rsidRPr="0035031C">
        <w:t>CPC</w:t>
      </w:r>
      <w:r>
        <w:t xml:space="preserve"> - </w:t>
      </w:r>
      <w:r w:rsidRPr="0035031C">
        <w:t>Client Procedures Circular</w:t>
      </w:r>
    </w:p>
    <w:p w14:paraId="220EB5E8" w14:textId="381743E9" w:rsidR="0035031C" w:rsidRPr="0035031C" w:rsidRDefault="0035031C" w:rsidP="0035031C">
      <w:r w:rsidRPr="0035031C">
        <w:t>RSP</w:t>
      </w:r>
      <w:r>
        <w:t xml:space="preserve"> - </w:t>
      </w:r>
      <w:r w:rsidRPr="0035031C">
        <w:t>Radio Standards Procedure</w:t>
      </w:r>
    </w:p>
    <w:p w14:paraId="2C75AE2F" w14:textId="474DD1DA" w:rsidR="0035031C" w:rsidRPr="0035031C" w:rsidRDefault="0035031C" w:rsidP="0035031C">
      <w:r w:rsidRPr="0035031C">
        <w:t>SP</w:t>
      </w:r>
      <w:r>
        <w:t xml:space="preserve"> - </w:t>
      </w:r>
      <w:r w:rsidRPr="0035031C">
        <w:t>Spectrum Utilization Policy</w:t>
      </w:r>
    </w:p>
    <w:p w14:paraId="7D96BD49" w14:textId="07BA740C" w:rsidR="0035031C" w:rsidRPr="0035031C" w:rsidRDefault="0035031C" w:rsidP="0035031C">
      <w:r w:rsidRPr="0035031C">
        <w:t>TRC</w:t>
      </w:r>
      <w:r>
        <w:t xml:space="preserve"> - </w:t>
      </w:r>
      <w:r w:rsidRPr="0035031C">
        <w:t>Telecommunications Regulation Circular</w:t>
      </w:r>
    </w:p>
    <w:p w14:paraId="4799FB71" w14:textId="4F7E9EDD" w:rsidR="0035031C" w:rsidRPr="0035031C" w:rsidRDefault="0035031C" w:rsidP="00560AC9">
      <w:pPr>
        <w:pStyle w:val="Paragrafoelenco"/>
        <w:numPr>
          <w:ilvl w:val="0"/>
          <w:numId w:val="15"/>
        </w:numPr>
        <w:rPr>
          <w:b/>
          <w:bCs/>
          <w:color w:val="000000"/>
        </w:rPr>
      </w:pPr>
      <w:r w:rsidRPr="0035031C">
        <w:rPr>
          <w:b/>
          <w:bCs/>
          <w:color w:val="000000"/>
        </w:rPr>
        <w:t>Radio frequency channel arrangement description</w:t>
      </w:r>
    </w:p>
    <w:p w14:paraId="794FEB73" w14:textId="77777777" w:rsidR="0035031C" w:rsidRPr="0035031C" w:rsidRDefault="0035031C" w:rsidP="0035031C">
      <w:pPr>
        <w:pStyle w:val="mrgn-tp-md"/>
        <w:spacing w:before="225" w:beforeAutospacing="0" w:after="173" w:afterAutospacing="0"/>
        <w:rPr>
          <w:sz w:val="20"/>
          <w:szCs w:val="20"/>
        </w:rPr>
      </w:pPr>
      <w:r w:rsidRPr="0035031C">
        <w:rPr>
          <w:sz w:val="20"/>
          <w:szCs w:val="20"/>
        </w:rPr>
        <w:t>This section describes the radio frequency (RF) channel arrangements for radio systems.</w:t>
      </w:r>
    </w:p>
    <w:p w14:paraId="0A088CF9" w14:textId="77777777" w:rsidR="0035031C" w:rsidRPr="0035031C" w:rsidRDefault="0035031C" w:rsidP="0035031C">
      <w:pPr>
        <w:pStyle w:val="Titolo4"/>
        <w:shd w:val="clear" w:color="auto" w:fill="FFFFFF"/>
        <w:spacing w:before="390" w:after="173"/>
        <w:rPr>
          <w:rFonts w:ascii="Times New Roman" w:hAnsi="Times New Roman"/>
          <w:b/>
          <w:bCs/>
          <w:color w:val="333333"/>
          <w:sz w:val="20"/>
        </w:rPr>
      </w:pPr>
      <w:r w:rsidRPr="0035031C">
        <w:rPr>
          <w:rFonts w:ascii="Times New Roman" w:hAnsi="Times New Roman"/>
          <w:b/>
          <w:bCs/>
          <w:color w:val="333333"/>
          <w:sz w:val="20"/>
        </w:rPr>
        <w:t>4.1 RF channel arrangements for point-to-point radio systems in the frequency bands 1700-1710 MHz, 1780-1800 MHz and 1830-1850 MHz</w:t>
      </w:r>
    </w:p>
    <w:p w14:paraId="0514D90B" w14:textId="77777777" w:rsidR="0035031C" w:rsidRPr="0035031C" w:rsidRDefault="0035031C" w:rsidP="0035031C">
      <w:pPr>
        <w:pStyle w:val="mrgn-tp-md"/>
        <w:spacing w:before="225" w:beforeAutospacing="0" w:after="173" w:afterAutospacing="0"/>
        <w:rPr>
          <w:sz w:val="20"/>
          <w:szCs w:val="20"/>
        </w:rPr>
      </w:pPr>
      <w:r w:rsidRPr="0035031C">
        <w:rPr>
          <w:sz w:val="20"/>
          <w:szCs w:val="20"/>
        </w:rPr>
        <w:t>In order to facilitate assignment of a range of frequencies and bandwidths in the available spectrum, centre frequencies may be assigned on a 125 kHz grid. Channel bandwidths of 1 to 10 MHz, in 250 kHz increments, may be assigned as needed in the bands 1700-1710 MHz, 1780-1800 MHz or 1830-1850 MHz, with the exception of the channel bandwidths of STL systems, which shall not exceed 1 MHz. The centre frequency shall be chosen such that the occupied bandwidth of the emission is contained within the bands.</w:t>
      </w:r>
    </w:p>
    <w:p w14:paraId="0BD73166" w14:textId="77777777" w:rsidR="0035031C" w:rsidRPr="0035031C" w:rsidRDefault="0035031C" w:rsidP="0035031C">
      <w:pPr>
        <w:pStyle w:val="Titolo4"/>
        <w:shd w:val="clear" w:color="auto" w:fill="FFFFFF"/>
        <w:spacing w:before="390" w:after="173"/>
        <w:rPr>
          <w:rFonts w:ascii="Times New Roman" w:hAnsi="Times New Roman"/>
          <w:b/>
          <w:bCs/>
          <w:color w:val="333333"/>
          <w:sz w:val="20"/>
        </w:rPr>
      </w:pPr>
      <w:r w:rsidRPr="0035031C">
        <w:rPr>
          <w:rFonts w:ascii="Times New Roman" w:hAnsi="Times New Roman"/>
          <w:b/>
          <w:bCs/>
          <w:color w:val="333333"/>
          <w:sz w:val="20"/>
        </w:rPr>
        <w:lastRenderedPageBreak/>
        <w:t>4.1.1 RF channel centre frequencies for the band 1700-1710 MHz</w:t>
      </w:r>
    </w:p>
    <w:p w14:paraId="598EC495" w14:textId="77777777" w:rsidR="0035031C" w:rsidRPr="0035031C" w:rsidRDefault="0035031C" w:rsidP="0035031C">
      <w:pPr>
        <w:pStyle w:val="mrgn-tp-md"/>
        <w:spacing w:before="225" w:beforeAutospacing="0" w:after="173" w:afterAutospacing="0"/>
        <w:rPr>
          <w:sz w:val="20"/>
          <w:szCs w:val="20"/>
        </w:rPr>
      </w:pPr>
      <w:r w:rsidRPr="0035031C">
        <w:rPr>
          <w:sz w:val="20"/>
          <w:szCs w:val="20"/>
        </w:rPr>
        <w:t>Centre frequencies shall be selected from a 125 kHz grid, starting at 1700.5 MHz and ending at 1709.5 MHz, as expressed by the following relationship:</w:t>
      </w:r>
    </w:p>
    <w:p w14:paraId="6BE2557A" w14:textId="024E2295" w:rsidR="00F129DA" w:rsidRPr="00F129DA" w:rsidRDefault="00F129DA" w:rsidP="00F129DA">
      <w:pPr>
        <w:shd w:val="clear" w:color="auto" w:fill="FFFFFF"/>
        <w:spacing w:before="225" w:after="225"/>
        <w:jc w:val="center"/>
        <w:rPr>
          <w:color w:val="333333"/>
          <w:sz w:val="24"/>
          <w:szCs w:val="24"/>
          <w:lang w:eastAsia="en-GB"/>
        </w:rPr>
      </w:pPr>
      <w:r w:rsidRPr="00F129DA">
        <w:rPr>
          <w:color w:val="333333"/>
          <w:sz w:val="24"/>
          <w:szCs w:val="24"/>
          <w:lang w:eastAsia="en-GB"/>
        </w:rPr>
        <w:t>A</w:t>
      </w:r>
      <w:r w:rsidRPr="00F129DA">
        <w:rPr>
          <w:color w:val="333333"/>
          <w:sz w:val="24"/>
          <w:szCs w:val="24"/>
          <w:vertAlign w:val="subscript"/>
          <w:lang w:eastAsia="en-GB"/>
        </w:rPr>
        <w:t>n</w:t>
      </w:r>
      <w:r w:rsidRPr="00F129DA">
        <w:rPr>
          <w:color w:val="333333"/>
          <w:sz w:val="24"/>
          <w:szCs w:val="24"/>
          <w:lang w:eastAsia="en-GB"/>
        </w:rPr>
        <w:t> = 1700.375 + 0.125n for n = 1 to 73</w:t>
      </w:r>
    </w:p>
    <w:p w14:paraId="3E0002E1"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F129DA">
        <w:rPr>
          <w:color w:val="333333"/>
          <w:sz w:val="20"/>
          <w:szCs w:val="20"/>
        </w:rPr>
        <w:t>where n is an integer, and A</w:t>
      </w:r>
      <w:r w:rsidRPr="00F129DA">
        <w:rPr>
          <w:color w:val="333333"/>
          <w:sz w:val="20"/>
          <w:szCs w:val="20"/>
          <w:vertAlign w:val="subscript"/>
        </w:rPr>
        <w:t>n</w:t>
      </w:r>
      <w:r w:rsidRPr="00F129DA">
        <w:rPr>
          <w:color w:val="333333"/>
          <w:sz w:val="20"/>
          <w:szCs w:val="20"/>
        </w:rPr>
        <w:t> is the centre frequency (in MHz) of the RF channel. The lowest available frequency shall be assigned first.</w:t>
      </w:r>
    </w:p>
    <w:p w14:paraId="217B44C3"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F129DA">
        <w:rPr>
          <w:color w:val="333333"/>
          <w:sz w:val="20"/>
          <w:szCs w:val="20"/>
        </w:rPr>
        <w:t>Unidirectional radio systems used for aural broadcasting STL services shall be licensed first in this band. If no frequencies are available in this band, new STL systems may be licensed in the bands 1780-1800 MHz and 1830-1850 MHz, in accordance with </w:t>
      </w:r>
      <w:hyperlink r:id="rId26" w:anchor="s2.2" w:tooltip="Compliance of radio systems" w:history="1">
        <w:r w:rsidRPr="00F129DA">
          <w:rPr>
            <w:rStyle w:val="Collegamentoipertestuale"/>
            <w:color w:val="284162"/>
            <w:sz w:val="20"/>
            <w:szCs w:val="20"/>
          </w:rPr>
          <w:t>section 2.2</w:t>
        </w:r>
      </w:hyperlink>
      <w:r w:rsidRPr="00F129DA">
        <w:rPr>
          <w:color w:val="333333"/>
          <w:sz w:val="20"/>
          <w:szCs w:val="20"/>
        </w:rPr>
        <w:t>.</w:t>
      </w:r>
    </w:p>
    <w:p w14:paraId="1109AA36" w14:textId="77777777" w:rsidR="00F129DA" w:rsidRPr="00F129DA" w:rsidRDefault="00F129DA" w:rsidP="00F129DA">
      <w:pPr>
        <w:pStyle w:val="Titolo4"/>
        <w:shd w:val="clear" w:color="auto" w:fill="FFFFFF"/>
        <w:spacing w:before="390" w:after="173"/>
        <w:rPr>
          <w:rFonts w:ascii="Times New Roman" w:hAnsi="Times New Roman"/>
          <w:b/>
          <w:bCs/>
          <w:color w:val="333333"/>
          <w:sz w:val="20"/>
        </w:rPr>
      </w:pPr>
      <w:r w:rsidRPr="00F129DA">
        <w:rPr>
          <w:rFonts w:ascii="Times New Roman" w:hAnsi="Times New Roman"/>
          <w:b/>
          <w:bCs/>
          <w:color w:val="333333"/>
          <w:sz w:val="20"/>
        </w:rPr>
        <w:t>4.1.2 RF channel centre frequencies for the bands 1780-1800 MHz and 1830-1850 MHz</w:t>
      </w:r>
    </w:p>
    <w:p w14:paraId="3AD38407" w14:textId="77777777" w:rsidR="00F129DA" w:rsidRPr="00F129DA" w:rsidRDefault="00F129DA" w:rsidP="00F129DA">
      <w:pPr>
        <w:pStyle w:val="mrgn-tp-md"/>
        <w:shd w:val="clear" w:color="auto" w:fill="FFFFFF"/>
        <w:spacing w:before="225" w:beforeAutospacing="0" w:after="173" w:afterAutospacing="0"/>
        <w:rPr>
          <w:color w:val="333333"/>
          <w:sz w:val="20"/>
          <w:szCs w:val="20"/>
        </w:rPr>
      </w:pPr>
      <w:r w:rsidRPr="00F129DA">
        <w:rPr>
          <w:color w:val="333333"/>
          <w:sz w:val="20"/>
          <w:szCs w:val="20"/>
        </w:rPr>
        <w:t>Equipment employing frequency division duplexing or time division duplexing is permitted in these bands. The minimum transmit/receive (T/R) spacing will be determined by the limitations of the equipment and the ability to coordinate.</w:t>
      </w:r>
    </w:p>
    <w:p w14:paraId="5F7CD30A"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F129DA">
        <w:rPr>
          <w:color w:val="333333"/>
          <w:sz w:val="20"/>
          <w:szCs w:val="20"/>
        </w:rPr>
        <w:t>Centre frequencies shall be selected from a 125 kHz grid, starting at 1780.5 MHz and ending at 1849.5 MHz, as expressed by the following relationship:</w:t>
      </w:r>
    </w:p>
    <w:p w14:paraId="4D9CF616" w14:textId="7A63B5FC" w:rsidR="00F129DA" w:rsidRPr="00F129DA" w:rsidRDefault="00F129DA" w:rsidP="00F129DA">
      <w:pPr>
        <w:shd w:val="clear" w:color="auto" w:fill="FFFFFF"/>
        <w:spacing w:before="225" w:after="225"/>
        <w:jc w:val="center"/>
        <w:rPr>
          <w:color w:val="333333"/>
          <w:sz w:val="24"/>
          <w:szCs w:val="24"/>
          <w:lang w:eastAsia="en-GB"/>
        </w:rPr>
      </w:pPr>
      <w:r w:rsidRPr="00F129DA">
        <w:rPr>
          <w:color w:val="333333"/>
          <w:sz w:val="24"/>
          <w:szCs w:val="24"/>
          <w:lang w:eastAsia="en-GB"/>
        </w:rPr>
        <w:t>Bn = 1780.375 + 0.125n for n = 1 to 553</w:t>
      </w:r>
    </w:p>
    <w:p w14:paraId="6F4117AB"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F129DA">
        <w:rPr>
          <w:color w:val="333333"/>
          <w:sz w:val="20"/>
          <w:szCs w:val="20"/>
        </w:rPr>
        <w:t>where n is an integer, and B</w:t>
      </w:r>
      <w:r w:rsidRPr="00F129DA">
        <w:rPr>
          <w:color w:val="333333"/>
          <w:sz w:val="20"/>
          <w:szCs w:val="20"/>
          <w:vertAlign w:val="subscript"/>
        </w:rPr>
        <w:t>n</w:t>
      </w:r>
      <w:r w:rsidRPr="00F129DA">
        <w:rPr>
          <w:color w:val="333333"/>
          <w:sz w:val="20"/>
          <w:szCs w:val="20"/>
        </w:rPr>
        <w:t> is the centre frequency (in MHz) of the RF channel.</w:t>
      </w:r>
    </w:p>
    <w:p w14:paraId="2F35DD81"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F129DA">
        <w:rPr>
          <w:color w:val="333333"/>
          <w:sz w:val="20"/>
          <w:szCs w:val="20"/>
        </w:rPr>
        <w:t>Frequencies in the bands 1780-1800 MHz and 1830-1850 MHz shall be used first. Where there are no available frequencies in these bands, frequencies anywhere in the band 1780-1850 MHz can be used; a point-to-point system operating in the band 1800-1830 MHz through this provision shall follow the technical requirements specified in sections </w:t>
      </w:r>
      <w:hyperlink r:id="rId27" w:anchor="s5.1" w:tooltip="Transmitter characteristics for radio systems in the frequency bands 1700-1710 MHz, 1780-1800 MHz and 1830-1850 MHz" w:history="1">
        <w:r w:rsidRPr="00F129DA">
          <w:rPr>
            <w:rStyle w:val="Collegamentoipertestuale"/>
            <w:color w:val="284162"/>
            <w:sz w:val="20"/>
            <w:szCs w:val="20"/>
          </w:rPr>
          <w:t>5.1</w:t>
        </w:r>
      </w:hyperlink>
      <w:r w:rsidRPr="00F129DA">
        <w:rPr>
          <w:color w:val="333333"/>
          <w:sz w:val="20"/>
          <w:szCs w:val="20"/>
        </w:rPr>
        <w:t> and </w:t>
      </w:r>
      <w:hyperlink r:id="rId28" w:anchor="s6.1" w:tooltip="Antenna characteristics for radio systems in the frequency bands 1700-1710 MHz, 1780-1800 MHz and 1830-1850 MHz" w:history="1">
        <w:r w:rsidRPr="00F129DA">
          <w:rPr>
            <w:rStyle w:val="Collegamentoipertestuale"/>
            <w:color w:val="284162"/>
            <w:sz w:val="20"/>
            <w:szCs w:val="20"/>
          </w:rPr>
          <w:t>6.1</w:t>
        </w:r>
      </w:hyperlink>
      <w:r w:rsidRPr="00F129DA">
        <w:rPr>
          <w:color w:val="333333"/>
          <w:sz w:val="20"/>
          <w:szCs w:val="20"/>
        </w:rPr>
        <w:t> below.</w:t>
      </w:r>
    </w:p>
    <w:p w14:paraId="407F645F" w14:textId="77777777" w:rsidR="00F129DA" w:rsidRPr="00F129DA" w:rsidRDefault="00F129DA" w:rsidP="00F129DA">
      <w:pPr>
        <w:pStyle w:val="Titolo4"/>
        <w:shd w:val="clear" w:color="auto" w:fill="FFFFFF"/>
        <w:spacing w:before="390" w:after="173"/>
        <w:rPr>
          <w:rFonts w:ascii="Times New Roman" w:hAnsi="Times New Roman"/>
          <w:b/>
          <w:bCs/>
          <w:color w:val="333333"/>
          <w:sz w:val="20"/>
        </w:rPr>
      </w:pPr>
      <w:r w:rsidRPr="00F129DA">
        <w:rPr>
          <w:rFonts w:ascii="Times New Roman" w:hAnsi="Times New Roman"/>
          <w:b/>
          <w:bCs/>
          <w:color w:val="333333"/>
          <w:sz w:val="20"/>
        </w:rPr>
        <w:t>4.1.3 Frequency planning</w:t>
      </w:r>
    </w:p>
    <w:p w14:paraId="723A676D" w14:textId="77777777" w:rsidR="00F129DA" w:rsidRPr="00F129DA" w:rsidRDefault="00F129DA" w:rsidP="00F129DA">
      <w:pPr>
        <w:pStyle w:val="mrgn-tp-md"/>
        <w:shd w:val="clear" w:color="auto" w:fill="FFFFFF"/>
        <w:spacing w:before="225" w:beforeAutospacing="0" w:after="173" w:afterAutospacing="0"/>
        <w:rPr>
          <w:color w:val="333333"/>
          <w:sz w:val="20"/>
          <w:szCs w:val="20"/>
        </w:rPr>
      </w:pPr>
      <w:r w:rsidRPr="00F129DA">
        <w:rPr>
          <w:color w:val="333333"/>
          <w:sz w:val="20"/>
          <w:szCs w:val="20"/>
        </w:rPr>
        <w:t>Radio systems in the bands 1700-1710 MHz, 1780-1800 MHz and 1830-1850 MHz are required to be designed using a two-frequency plan, whereby the same frequency pair is typically reused along a route of successive hops. Where reasonable justification is provided (e.g. where siting prevents adequate antenna discrimination), extra frequencies beyond the initial pair may be permitted to resolve the problem, at the discretion of ISED’s regional offices.</w:t>
      </w:r>
    </w:p>
    <w:p w14:paraId="459EB569" w14:textId="77777777" w:rsidR="00F129DA" w:rsidRPr="00F129DA" w:rsidRDefault="00F129DA" w:rsidP="00F129DA">
      <w:pPr>
        <w:pStyle w:val="Titolo4"/>
        <w:shd w:val="clear" w:color="auto" w:fill="FFFFFF"/>
        <w:spacing w:before="390" w:after="173"/>
        <w:rPr>
          <w:rFonts w:ascii="Times New Roman" w:hAnsi="Times New Roman"/>
          <w:b/>
          <w:bCs/>
          <w:color w:val="333333"/>
          <w:sz w:val="20"/>
        </w:rPr>
      </w:pPr>
      <w:r w:rsidRPr="00F129DA">
        <w:rPr>
          <w:rFonts w:ascii="Times New Roman" w:hAnsi="Times New Roman"/>
          <w:b/>
          <w:bCs/>
          <w:color w:val="333333"/>
          <w:sz w:val="20"/>
        </w:rPr>
        <w:t>4.1.4 Branching or spur route channels</w:t>
      </w:r>
    </w:p>
    <w:p w14:paraId="74A25DE0" w14:textId="77777777" w:rsidR="00F129DA" w:rsidRPr="00F129DA" w:rsidRDefault="00F129DA" w:rsidP="00F129DA">
      <w:pPr>
        <w:pStyle w:val="mrgn-tp-md"/>
        <w:shd w:val="clear" w:color="auto" w:fill="FFFFFF"/>
        <w:spacing w:before="225" w:beforeAutospacing="0" w:after="173" w:afterAutospacing="0"/>
        <w:rPr>
          <w:color w:val="333333"/>
          <w:sz w:val="20"/>
          <w:szCs w:val="20"/>
        </w:rPr>
      </w:pPr>
      <w:r w:rsidRPr="00F129DA">
        <w:rPr>
          <w:color w:val="333333"/>
          <w:sz w:val="20"/>
          <w:szCs w:val="20"/>
        </w:rPr>
        <w:t>The frequencies assigned to a main route system should be reused on the branching or spur routes, where possible. The siting of repeater stations should be planned with this requirement in mind to ensure sufficient antenna discrimination at the branch-off angle.</w:t>
      </w:r>
    </w:p>
    <w:p w14:paraId="13F84753" w14:textId="77777777" w:rsidR="00F129DA" w:rsidRPr="00F129DA" w:rsidRDefault="00F129DA" w:rsidP="00F129DA">
      <w:pPr>
        <w:pStyle w:val="Titolo4"/>
        <w:shd w:val="clear" w:color="auto" w:fill="FFFFFF"/>
        <w:spacing w:before="390" w:after="173"/>
        <w:rPr>
          <w:rFonts w:ascii="Times New Roman" w:hAnsi="Times New Roman"/>
          <w:b/>
          <w:bCs/>
          <w:color w:val="333333"/>
          <w:sz w:val="20"/>
        </w:rPr>
      </w:pPr>
      <w:r w:rsidRPr="00F129DA">
        <w:rPr>
          <w:rFonts w:ascii="Times New Roman" w:hAnsi="Times New Roman"/>
          <w:b/>
          <w:bCs/>
          <w:color w:val="333333"/>
          <w:sz w:val="20"/>
        </w:rPr>
        <w:t>4.2 RF channel arrangements for fixed radio systems used for the management of the electricity supply in the frequency band 1800-1830 MHz</w:t>
      </w:r>
    </w:p>
    <w:p w14:paraId="36D4F2D3" w14:textId="77777777" w:rsidR="00F129DA" w:rsidRPr="00F129DA" w:rsidRDefault="00F129DA" w:rsidP="00F129DA">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Fixed point-to-point and point-to-multipoint radio systems used for the management, operation and maintenance of the electricity supply shall use robust modulation schemes tolerant of interference, and the radio system design shall include link budget margins for self-interference impairments.</w:t>
      </w:r>
      <w:r w:rsidRPr="00F129DA">
        <w:rPr>
          <w:color w:val="333333"/>
          <w:sz w:val="20"/>
          <w:szCs w:val="20"/>
        </w:rPr>
        <w:t xml:space="preserve"> Network planning techniques shall be used to maximize frequency reuse. To increase spectrum utilization, the centre frequencies shall be reassigned to use the same frequencies to the maximum extent possible. Normally, the total bandwidth assigned to a given licensee should not exceed 20 MHz. At the discretion of ISED’s regional offices, requests for additional bandwidth may be considered if technical justification is provided.</w:t>
      </w:r>
    </w:p>
    <w:p w14:paraId="227460EC" w14:textId="77777777" w:rsidR="00F129DA" w:rsidRPr="00F129DA" w:rsidRDefault="00F129DA" w:rsidP="00F129DA">
      <w:pPr>
        <w:pStyle w:val="NormaleWeb"/>
        <w:shd w:val="clear" w:color="auto" w:fill="FFFFFF"/>
        <w:spacing w:before="0" w:beforeAutospacing="0" w:after="173" w:afterAutospacing="0"/>
        <w:rPr>
          <w:color w:val="333333"/>
          <w:sz w:val="20"/>
          <w:szCs w:val="20"/>
        </w:rPr>
      </w:pPr>
      <w:r w:rsidRPr="00A34B89">
        <w:rPr>
          <w:color w:val="333333"/>
          <w:sz w:val="20"/>
          <w:szCs w:val="20"/>
          <w:highlight w:val="yellow"/>
        </w:rPr>
        <w:t>In order to facilitate assignment of a range of frequencies and bandwidths in the available spectrum, centre frequencies may be assigned on a 125 kHz grid. The centre frequency shall be chosen such that the occupied bandwidth of the emission is contained within the frequency band 1800-1830 MHz.</w:t>
      </w:r>
    </w:p>
    <w:p w14:paraId="65B6F029" w14:textId="77777777" w:rsidR="00F129DA" w:rsidRPr="00F129DA" w:rsidRDefault="00F129DA" w:rsidP="00F129DA">
      <w:pPr>
        <w:pStyle w:val="Titolo4"/>
        <w:shd w:val="clear" w:color="auto" w:fill="FFFFFF"/>
        <w:spacing w:before="390" w:after="173"/>
        <w:rPr>
          <w:rFonts w:ascii="Times New Roman" w:hAnsi="Times New Roman"/>
          <w:b/>
          <w:bCs/>
          <w:color w:val="333333"/>
          <w:sz w:val="20"/>
        </w:rPr>
      </w:pPr>
      <w:r w:rsidRPr="00F129DA">
        <w:rPr>
          <w:rFonts w:ascii="Times New Roman" w:hAnsi="Times New Roman"/>
          <w:b/>
          <w:bCs/>
          <w:color w:val="333333"/>
          <w:sz w:val="20"/>
        </w:rPr>
        <w:lastRenderedPageBreak/>
        <w:t>4.2.1 RF channel centre frequencies for the band 1800-1830 MHz</w:t>
      </w:r>
    </w:p>
    <w:p w14:paraId="3628381A" w14:textId="77777777" w:rsidR="00F129DA" w:rsidRPr="00F129DA" w:rsidRDefault="00F129DA" w:rsidP="00F129DA">
      <w:pPr>
        <w:pStyle w:val="mrgn-tp-md"/>
        <w:shd w:val="clear" w:color="auto" w:fill="FFFFFF"/>
        <w:spacing w:before="225" w:beforeAutospacing="0" w:after="173" w:afterAutospacing="0"/>
        <w:rPr>
          <w:color w:val="333333"/>
          <w:sz w:val="20"/>
          <w:szCs w:val="20"/>
        </w:rPr>
      </w:pPr>
      <w:r w:rsidRPr="00F129DA">
        <w:rPr>
          <w:color w:val="333333"/>
          <w:sz w:val="20"/>
          <w:szCs w:val="20"/>
        </w:rPr>
        <w:t>Centre frequencies shall be selected from a 125 kHz grid, starting at 1800 MHz and ending at 1830 MHz, as expressed by the following relationship:</w:t>
      </w:r>
    </w:p>
    <w:p w14:paraId="78F9CE0D" w14:textId="441AA7BE" w:rsidR="00E13741" w:rsidRPr="00E13741" w:rsidRDefault="00E13741" w:rsidP="00E13741">
      <w:pPr>
        <w:shd w:val="clear" w:color="auto" w:fill="FFFFFF"/>
        <w:spacing w:before="225" w:after="225"/>
        <w:jc w:val="center"/>
        <w:rPr>
          <w:color w:val="333333"/>
          <w:sz w:val="24"/>
          <w:szCs w:val="24"/>
          <w:lang w:eastAsia="en-GB"/>
        </w:rPr>
      </w:pPr>
      <w:r w:rsidRPr="00E13741">
        <w:rPr>
          <w:color w:val="333333"/>
          <w:sz w:val="24"/>
          <w:szCs w:val="24"/>
          <w:lang w:eastAsia="en-GB"/>
        </w:rPr>
        <w:t>Cn = 1799.875 + 0.125n for n = 1 to 241</w:t>
      </w:r>
    </w:p>
    <w:p w14:paraId="02F5484C" w14:textId="77777777" w:rsidR="00E13741" w:rsidRPr="00E13741" w:rsidRDefault="00E13741" w:rsidP="00E13741">
      <w:pPr>
        <w:pStyle w:val="NormaleWeb"/>
        <w:shd w:val="clear" w:color="auto" w:fill="FFFFFF"/>
        <w:spacing w:before="0" w:beforeAutospacing="0" w:after="173" w:afterAutospacing="0"/>
        <w:rPr>
          <w:color w:val="333333"/>
          <w:sz w:val="20"/>
          <w:szCs w:val="20"/>
        </w:rPr>
      </w:pPr>
      <w:r w:rsidRPr="00E13741">
        <w:rPr>
          <w:color w:val="333333"/>
          <w:sz w:val="20"/>
          <w:szCs w:val="20"/>
        </w:rPr>
        <w:t>where n is an integer, and C</w:t>
      </w:r>
      <w:r w:rsidRPr="00E13741">
        <w:rPr>
          <w:color w:val="333333"/>
          <w:sz w:val="20"/>
          <w:szCs w:val="20"/>
          <w:vertAlign w:val="subscript"/>
        </w:rPr>
        <w:t>n</w:t>
      </w:r>
      <w:r w:rsidRPr="00E13741">
        <w:rPr>
          <w:color w:val="333333"/>
          <w:sz w:val="20"/>
          <w:szCs w:val="20"/>
        </w:rPr>
        <w:t> is the centre frequency (in MHz) of the RF channel.</w:t>
      </w:r>
    </w:p>
    <w:p w14:paraId="16E335B9" w14:textId="77777777" w:rsidR="00E13741" w:rsidRPr="00E13741" w:rsidRDefault="00E13741" w:rsidP="00E13741">
      <w:pPr>
        <w:pStyle w:val="Titolo4"/>
        <w:shd w:val="clear" w:color="auto" w:fill="FFFFFF"/>
        <w:spacing w:before="390" w:after="173"/>
        <w:rPr>
          <w:rFonts w:ascii="Times New Roman" w:hAnsi="Times New Roman"/>
          <w:b/>
          <w:bCs/>
          <w:color w:val="333333"/>
          <w:sz w:val="20"/>
        </w:rPr>
      </w:pPr>
      <w:r w:rsidRPr="00E13741">
        <w:rPr>
          <w:rFonts w:ascii="Times New Roman" w:hAnsi="Times New Roman"/>
          <w:b/>
          <w:bCs/>
          <w:color w:val="333333"/>
          <w:sz w:val="20"/>
        </w:rPr>
        <w:t>4.3 Protection channels</w:t>
      </w:r>
    </w:p>
    <w:p w14:paraId="2590B0D6" w14:textId="77777777" w:rsidR="00E13741" w:rsidRPr="00E13741" w:rsidRDefault="00E13741" w:rsidP="00E13741">
      <w:pPr>
        <w:pStyle w:val="mrgn-tp-md"/>
        <w:shd w:val="clear" w:color="auto" w:fill="FFFFFF"/>
        <w:spacing w:before="225" w:beforeAutospacing="0" w:after="173" w:afterAutospacing="0"/>
        <w:rPr>
          <w:color w:val="333333"/>
          <w:sz w:val="20"/>
          <w:szCs w:val="20"/>
        </w:rPr>
      </w:pPr>
      <w:r w:rsidRPr="00E13741">
        <w:rPr>
          <w:color w:val="333333"/>
          <w:sz w:val="20"/>
          <w:szCs w:val="20"/>
        </w:rPr>
        <w:t>Protection channels are not permitted in the bands 1700-1710 MHz, 1780-1800 MHz and 1830-1850 MHz. However, quad-path diversity applications will be considered on a hop-by-hop basis to solve special propagation problems. Quad-path diversity refers to the use of frequency diversity and space diversity on the same path.</w:t>
      </w:r>
    </w:p>
    <w:p w14:paraId="17047847" w14:textId="396314B4" w:rsidR="004823C7" w:rsidRPr="00E13741" w:rsidRDefault="00E13741" w:rsidP="00560AC9">
      <w:pPr>
        <w:pStyle w:val="Paragrafoelenco"/>
        <w:numPr>
          <w:ilvl w:val="0"/>
          <w:numId w:val="15"/>
        </w:numPr>
        <w:rPr>
          <w:b/>
          <w:bCs/>
          <w:color w:val="000000"/>
        </w:rPr>
      </w:pPr>
      <w:r w:rsidRPr="00E13741">
        <w:rPr>
          <w:b/>
          <w:bCs/>
          <w:color w:val="000000"/>
        </w:rPr>
        <w:t>Transmitter characteristics</w:t>
      </w:r>
    </w:p>
    <w:p w14:paraId="5066717A" w14:textId="77777777" w:rsidR="00E13741" w:rsidRPr="00E13741" w:rsidRDefault="00E13741" w:rsidP="00E13741">
      <w:pPr>
        <w:pStyle w:val="mrgn-tp-md"/>
        <w:shd w:val="clear" w:color="auto" w:fill="FFFFFF"/>
        <w:spacing w:before="225" w:beforeAutospacing="0" w:after="173" w:afterAutospacing="0"/>
        <w:rPr>
          <w:color w:val="333333"/>
          <w:sz w:val="20"/>
          <w:szCs w:val="20"/>
        </w:rPr>
      </w:pPr>
      <w:r w:rsidRPr="00E13741">
        <w:rPr>
          <w:color w:val="333333"/>
          <w:sz w:val="20"/>
          <w:szCs w:val="20"/>
        </w:rPr>
        <w:t>This section describes the transmitter characteristics for radio systems.</w:t>
      </w:r>
    </w:p>
    <w:p w14:paraId="051C3CE0" w14:textId="77777777" w:rsidR="00E13741" w:rsidRPr="00E13741" w:rsidRDefault="00E13741" w:rsidP="00E13741">
      <w:pPr>
        <w:pStyle w:val="Titolo4"/>
        <w:shd w:val="clear" w:color="auto" w:fill="FFFFFF"/>
        <w:spacing w:before="390" w:after="173"/>
        <w:rPr>
          <w:rFonts w:ascii="Times New Roman" w:hAnsi="Times New Roman"/>
          <w:b/>
          <w:bCs/>
          <w:color w:val="333333"/>
          <w:sz w:val="20"/>
        </w:rPr>
      </w:pPr>
      <w:r w:rsidRPr="00E13741">
        <w:rPr>
          <w:rFonts w:ascii="Times New Roman" w:hAnsi="Times New Roman"/>
          <w:b/>
          <w:bCs/>
          <w:color w:val="333333"/>
          <w:sz w:val="20"/>
        </w:rPr>
        <w:t>5.1 Transmitter characteristics for radio systems in the frequency bands 1700-1710 MHz, 1780-1800 MHz and 1830-1850 MHz</w:t>
      </w:r>
    </w:p>
    <w:p w14:paraId="275811E7" w14:textId="77777777" w:rsidR="00E13741" w:rsidRPr="00E13741" w:rsidRDefault="00E13741" w:rsidP="00E13741">
      <w:pPr>
        <w:pStyle w:val="mrgn-tp-md"/>
        <w:shd w:val="clear" w:color="auto" w:fill="FFFFFF"/>
        <w:spacing w:before="225" w:beforeAutospacing="0" w:after="173" w:afterAutospacing="0"/>
        <w:rPr>
          <w:color w:val="333333"/>
          <w:sz w:val="20"/>
          <w:szCs w:val="20"/>
        </w:rPr>
      </w:pPr>
      <w:r w:rsidRPr="00E13741">
        <w:rPr>
          <w:color w:val="333333"/>
          <w:sz w:val="20"/>
          <w:szCs w:val="20"/>
        </w:rPr>
        <w:t>The transmitter power delivered to the antenna input shall not exceed the limits for each authorized bandwidth shown in table 1.</w:t>
      </w:r>
    </w:p>
    <w:p w14:paraId="291E0912" w14:textId="5F647B64" w:rsidR="00E13741" w:rsidRPr="00E13741" w:rsidRDefault="00BD7892" w:rsidP="00BD7892">
      <w:pPr>
        <w:jc w:val="center"/>
      </w:pPr>
      <w:r>
        <w:rPr>
          <w:noProof/>
        </w:rPr>
        <w:drawing>
          <wp:inline distT="0" distB="0" distL="0" distR="0" wp14:anchorId="5CCF9F5A" wp14:editId="6F2E544A">
            <wp:extent cx="4724400" cy="478790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24400" cy="4787900"/>
                    </a:xfrm>
                    <a:prstGeom prst="rect">
                      <a:avLst/>
                    </a:prstGeom>
                    <a:noFill/>
                    <a:ln>
                      <a:noFill/>
                    </a:ln>
                  </pic:spPr>
                </pic:pic>
              </a:graphicData>
            </a:graphic>
          </wp:inline>
        </w:drawing>
      </w:r>
    </w:p>
    <w:p w14:paraId="2D2A0027" w14:textId="77777777" w:rsidR="00BD7892" w:rsidRPr="00BD7892" w:rsidRDefault="00BD7892" w:rsidP="00BD7892">
      <w:pPr>
        <w:pStyle w:val="NormaleWeb"/>
        <w:shd w:val="clear" w:color="auto" w:fill="FFFFFF"/>
        <w:spacing w:before="0" w:beforeAutospacing="0" w:after="173" w:afterAutospacing="0"/>
        <w:rPr>
          <w:color w:val="333333"/>
          <w:sz w:val="20"/>
          <w:szCs w:val="20"/>
        </w:rPr>
      </w:pPr>
      <w:r w:rsidRPr="00BD7892">
        <w:rPr>
          <w:color w:val="333333"/>
          <w:sz w:val="20"/>
          <w:szCs w:val="20"/>
        </w:rPr>
        <w:t>An increase in transmitter power over the above specified limit may be permitted if technical justification is provided. The power delivered to the antenna input shall not exceed 20 W (+13 dBW) per channel.</w:t>
      </w:r>
    </w:p>
    <w:p w14:paraId="3F549370" w14:textId="77777777" w:rsidR="00BD7892" w:rsidRPr="00BD7892" w:rsidRDefault="00BD7892" w:rsidP="00BD7892">
      <w:pPr>
        <w:pStyle w:val="NormaleWeb"/>
        <w:shd w:val="clear" w:color="auto" w:fill="FFFFFF"/>
        <w:spacing w:before="0" w:beforeAutospacing="0" w:after="173" w:afterAutospacing="0"/>
        <w:rPr>
          <w:color w:val="333333"/>
          <w:sz w:val="20"/>
          <w:szCs w:val="20"/>
        </w:rPr>
      </w:pPr>
      <w:r w:rsidRPr="00BD7892">
        <w:rPr>
          <w:color w:val="333333"/>
          <w:sz w:val="20"/>
          <w:szCs w:val="20"/>
        </w:rPr>
        <w:lastRenderedPageBreak/>
        <w:t>The centre frequency of the emission shall be maintained within ±0.001% of the assigned frequency.</w:t>
      </w:r>
    </w:p>
    <w:p w14:paraId="2AA8FD2A" w14:textId="77777777" w:rsidR="00BD7892" w:rsidRPr="00BD7892" w:rsidRDefault="00BD7892" w:rsidP="00BD7892">
      <w:pPr>
        <w:pStyle w:val="Titolo4"/>
        <w:shd w:val="clear" w:color="auto" w:fill="FFFFFF"/>
        <w:spacing w:before="390" w:after="173"/>
        <w:rPr>
          <w:rFonts w:ascii="Times New Roman" w:hAnsi="Times New Roman"/>
          <w:b/>
          <w:bCs/>
          <w:color w:val="333333"/>
          <w:sz w:val="20"/>
        </w:rPr>
      </w:pPr>
      <w:r w:rsidRPr="00BD7892">
        <w:rPr>
          <w:rFonts w:ascii="Times New Roman" w:hAnsi="Times New Roman"/>
          <w:b/>
          <w:bCs/>
          <w:color w:val="333333"/>
          <w:sz w:val="20"/>
        </w:rPr>
        <w:t>5.1.1 Spectral efficiency</w:t>
      </w:r>
    </w:p>
    <w:p w14:paraId="3005070E" w14:textId="77777777" w:rsidR="00BD7892" w:rsidRPr="00BD7892" w:rsidRDefault="00BD7892" w:rsidP="00BD7892">
      <w:pPr>
        <w:pStyle w:val="mrgn-tp-md"/>
        <w:shd w:val="clear" w:color="auto" w:fill="FFFFFF"/>
        <w:spacing w:before="225" w:beforeAutospacing="0" w:after="173" w:afterAutospacing="0"/>
        <w:rPr>
          <w:color w:val="333333"/>
          <w:sz w:val="20"/>
          <w:szCs w:val="20"/>
        </w:rPr>
      </w:pPr>
      <w:r w:rsidRPr="00BD7892">
        <w:rPr>
          <w:color w:val="333333"/>
          <w:sz w:val="20"/>
          <w:szCs w:val="20"/>
        </w:rPr>
        <w:t>Digital systems shall have a minimum spectral efficiency of </w:t>
      </w:r>
      <w:r w:rsidRPr="00BD7892">
        <w:rPr>
          <w:rStyle w:val="nowrap"/>
          <w:color w:val="333333"/>
          <w:sz w:val="20"/>
          <w:szCs w:val="20"/>
        </w:rPr>
        <w:t>1 bit/s/Hz</w:t>
      </w:r>
      <w:r w:rsidRPr="00BD7892">
        <w:rPr>
          <w:color w:val="333333"/>
          <w:sz w:val="20"/>
          <w:szCs w:val="20"/>
        </w:rPr>
        <w:t> on a single polarization.</w:t>
      </w:r>
    </w:p>
    <w:p w14:paraId="4BEC72E9" w14:textId="77777777" w:rsidR="00BD7892" w:rsidRPr="00BD7892" w:rsidRDefault="00BD7892" w:rsidP="00BD7892">
      <w:pPr>
        <w:pStyle w:val="Titolo4"/>
        <w:shd w:val="clear" w:color="auto" w:fill="FFFFFF"/>
        <w:spacing w:before="390" w:after="173"/>
        <w:rPr>
          <w:rFonts w:ascii="Times New Roman" w:hAnsi="Times New Roman"/>
          <w:b/>
          <w:bCs/>
          <w:color w:val="333333"/>
          <w:sz w:val="20"/>
        </w:rPr>
      </w:pPr>
      <w:r w:rsidRPr="00BD7892">
        <w:rPr>
          <w:rFonts w:ascii="Times New Roman" w:hAnsi="Times New Roman"/>
          <w:b/>
          <w:bCs/>
          <w:color w:val="333333"/>
          <w:sz w:val="20"/>
        </w:rPr>
        <w:t>5.1.2 Emission limits</w:t>
      </w:r>
    </w:p>
    <w:p w14:paraId="490131C8" w14:textId="77777777" w:rsidR="00BD7892" w:rsidRPr="00BD7892" w:rsidRDefault="00BD7892" w:rsidP="00BD7892">
      <w:pPr>
        <w:pStyle w:val="mrgn-tp-md"/>
        <w:shd w:val="clear" w:color="auto" w:fill="FFFFFF"/>
        <w:spacing w:before="225" w:beforeAutospacing="0" w:after="173" w:afterAutospacing="0"/>
        <w:rPr>
          <w:color w:val="333333"/>
          <w:sz w:val="20"/>
          <w:szCs w:val="20"/>
        </w:rPr>
      </w:pPr>
      <w:r w:rsidRPr="00BD7892">
        <w:rPr>
          <w:color w:val="333333"/>
          <w:sz w:val="20"/>
          <w:szCs w:val="20"/>
        </w:rPr>
        <w:t>In any 4 kHz band, where the centre frequency is removed from the assigned frequency by more than 50%, up to and including 250% of the authorized bandwidth, the mean power of emission shall be attenuated below the mean output power of the transmitter in accordance with the following equation:</w:t>
      </w:r>
    </w:p>
    <w:p w14:paraId="4DDF9707" w14:textId="77777777" w:rsidR="00BD7892" w:rsidRPr="00BD7892" w:rsidRDefault="00BD7892" w:rsidP="00BD7892">
      <w:pPr>
        <w:pStyle w:val="mrgn-tp-md"/>
        <w:shd w:val="clear" w:color="auto" w:fill="FFFFFF"/>
        <w:spacing w:before="225" w:beforeAutospacing="0" w:after="225" w:afterAutospacing="0"/>
        <w:jc w:val="center"/>
        <w:rPr>
          <w:color w:val="333333"/>
        </w:rPr>
      </w:pPr>
      <w:r w:rsidRPr="00BD7892">
        <w:rPr>
          <w:color w:val="333333"/>
        </w:rPr>
        <w:t>A = 35 + 0.8 (P − 50) + 10 log</w:t>
      </w:r>
      <w:r w:rsidRPr="00BD7892">
        <w:rPr>
          <w:color w:val="333333"/>
          <w:vertAlign w:val="subscript"/>
        </w:rPr>
        <w:t>10</w:t>
      </w:r>
      <w:r w:rsidRPr="00BD7892">
        <w:rPr>
          <w:color w:val="333333"/>
        </w:rPr>
        <w:t> (B)</w:t>
      </w:r>
    </w:p>
    <w:p w14:paraId="0677C9FA" w14:textId="77777777" w:rsidR="00E96219" w:rsidRPr="00E96219" w:rsidRDefault="00E96219" w:rsidP="00E96219">
      <w:pPr>
        <w:shd w:val="clear" w:color="auto" w:fill="FFFFFF"/>
        <w:spacing w:after="0"/>
        <w:rPr>
          <w:color w:val="333333"/>
          <w:lang w:eastAsia="en-GB"/>
        </w:rPr>
      </w:pPr>
      <w:r w:rsidRPr="00E96219">
        <w:rPr>
          <w:color w:val="333333"/>
          <w:lang w:eastAsia="en-GB"/>
        </w:rPr>
        <w:t>where:</w:t>
      </w:r>
    </w:p>
    <w:p w14:paraId="3C8C1FB6" w14:textId="77777777" w:rsidR="00E96219" w:rsidRPr="00E96219" w:rsidRDefault="00E96219" w:rsidP="00560AC9">
      <w:pPr>
        <w:numPr>
          <w:ilvl w:val="0"/>
          <w:numId w:val="16"/>
        </w:numPr>
        <w:shd w:val="clear" w:color="auto" w:fill="FFFFFF"/>
        <w:spacing w:before="100" w:beforeAutospacing="1" w:after="100" w:afterAutospacing="1"/>
        <w:ind w:left="495"/>
        <w:rPr>
          <w:color w:val="333333"/>
          <w:lang w:eastAsia="en-GB"/>
        </w:rPr>
      </w:pPr>
      <w:r w:rsidRPr="00E96219">
        <w:rPr>
          <w:color w:val="333333"/>
          <w:lang w:eastAsia="en-GB"/>
        </w:rPr>
        <w:t>A = attenuation (in dB) below the mean output power level</w:t>
      </w:r>
    </w:p>
    <w:p w14:paraId="66A9632E" w14:textId="77777777" w:rsidR="00E96219" w:rsidRPr="00E96219" w:rsidRDefault="00E96219" w:rsidP="00560AC9">
      <w:pPr>
        <w:numPr>
          <w:ilvl w:val="0"/>
          <w:numId w:val="16"/>
        </w:numPr>
        <w:shd w:val="clear" w:color="auto" w:fill="FFFFFF"/>
        <w:spacing w:before="100" w:beforeAutospacing="1" w:after="100" w:afterAutospacing="1"/>
        <w:ind w:left="495"/>
        <w:rPr>
          <w:color w:val="333333"/>
          <w:lang w:eastAsia="en-GB"/>
        </w:rPr>
      </w:pPr>
      <w:r w:rsidRPr="00E96219">
        <w:rPr>
          <w:color w:val="333333"/>
          <w:lang w:eastAsia="en-GB"/>
        </w:rPr>
        <w:t>P = percent removed from the centre frequency of the assigned RF channel</w:t>
      </w:r>
    </w:p>
    <w:p w14:paraId="0B4EC24B" w14:textId="77777777" w:rsidR="00E96219" w:rsidRPr="00E96219" w:rsidRDefault="00E96219" w:rsidP="00560AC9">
      <w:pPr>
        <w:numPr>
          <w:ilvl w:val="0"/>
          <w:numId w:val="16"/>
        </w:numPr>
        <w:shd w:val="clear" w:color="auto" w:fill="FFFFFF"/>
        <w:spacing w:before="100" w:beforeAutospacing="1" w:after="100" w:afterAutospacing="1"/>
        <w:ind w:left="495"/>
        <w:rPr>
          <w:color w:val="333333"/>
          <w:lang w:eastAsia="en-GB"/>
        </w:rPr>
      </w:pPr>
      <w:r w:rsidRPr="00E96219">
        <w:rPr>
          <w:color w:val="333333"/>
          <w:lang w:eastAsia="en-GB"/>
        </w:rPr>
        <w:t>B = authorized bandwidth (in MHz)</w:t>
      </w:r>
    </w:p>
    <w:p w14:paraId="67805DE8" w14:textId="77777777" w:rsidR="00E96219" w:rsidRPr="00E96219" w:rsidRDefault="00E96219" w:rsidP="00E96219">
      <w:pPr>
        <w:shd w:val="clear" w:color="auto" w:fill="FFFFFF"/>
        <w:spacing w:after="0"/>
        <w:rPr>
          <w:color w:val="333333"/>
          <w:lang w:eastAsia="en-GB"/>
        </w:rPr>
      </w:pPr>
      <w:r w:rsidRPr="00E96219">
        <w:rPr>
          <w:color w:val="333333"/>
          <w:lang w:eastAsia="en-GB"/>
        </w:rPr>
        <w:t>Notes:</w:t>
      </w:r>
    </w:p>
    <w:p w14:paraId="429F82FE" w14:textId="77777777" w:rsidR="00E96219" w:rsidRPr="00E96219" w:rsidRDefault="00E96219" w:rsidP="00560AC9">
      <w:pPr>
        <w:numPr>
          <w:ilvl w:val="0"/>
          <w:numId w:val="17"/>
        </w:numPr>
        <w:shd w:val="clear" w:color="auto" w:fill="FFFFFF"/>
        <w:spacing w:before="100" w:beforeAutospacing="1" w:after="100" w:afterAutospacing="1"/>
        <w:ind w:left="495"/>
        <w:rPr>
          <w:color w:val="333333"/>
          <w:lang w:eastAsia="en-GB"/>
        </w:rPr>
      </w:pPr>
      <w:r w:rsidRPr="00E96219">
        <w:rPr>
          <w:color w:val="333333"/>
          <w:lang w:eastAsia="en-GB"/>
        </w:rPr>
        <w:t>In no case shall the attenuation be less than 50 dB.</w:t>
      </w:r>
    </w:p>
    <w:p w14:paraId="7C7131D2" w14:textId="77777777" w:rsidR="00E96219" w:rsidRPr="00E96219" w:rsidRDefault="00E96219" w:rsidP="00560AC9">
      <w:pPr>
        <w:numPr>
          <w:ilvl w:val="0"/>
          <w:numId w:val="17"/>
        </w:numPr>
        <w:shd w:val="clear" w:color="auto" w:fill="FFFFFF"/>
        <w:spacing w:before="100" w:beforeAutospacing="1" w:after="100" w:afterAutospacing="1"/>
        <w:ind w:left="495"/>
        <w:rPr>
          <w:color w:val="333333"/>
          <w:lang w:eastAsia="en-GB"/>
        </w:rPr>
      </w:pPr>
      <w:r w:rsidRPr="00E96219">
        <w:rPr>
          <w:color w:val="333333"/>
          <w:lang w:eastAsia="en-GB"/>
        </w:rPr>
        <w:t>Attenuation greater than 80 dB or to an absolute power of less than −13 dBm/MHz is not necessary.</w:t>
      </w:r>
    </w:p>
    <w:p w14:paraId="615A9E66" w14:textId="77777777" w:rsidR="009F581E" w:rsidRPr="00CC7147" w:rsidRDefault="009F581E" w:rsidP="009F581E">
      <w:pPr>
        <w:pStyle w:val="NormaleWeb"/>
        <w:shd w:val="clear" w:color="auto" w:fill="FFFFFF"/>
        <w:spacing w:before="0" w:beforeAutospacing="0" w:after="173" w:afterAutospacing="0"/>
        <w:rPr>
          <w:color w:val="333333"/>
          <w:sz w:val="20"/>
          <w:szCs w:val="20"/>
        </w:rPr>
      </w:pPr>
      <w:r w:rsidRPr="00CC7147">
        <w:rPr>
          <w:color w:val="333333"/>
          <w:sz w:val="20"/>
          <w:szCs w:val="20"/>
        </w:rPr>
        <w:t>In any 1 MHz band, where the centre frequency is removed from the assigned frequency by more than 250% of the authorized bandwidth, the mean power of emission shall be attenuated by 43 + 10 log</w:t>
      </w:r>
      <w:r w:rsidRPr="00CC7147">
        <w:rPr>
          <w:color w:val="333333"/>
          <w:sz w:val="20"/>
          <w:szCs w:val="20"/>
          <w:vertAlign w:val="subscript"/>
        </w:rPr>
        <w:t>10</w:t>
      </w:r>
      <w:r w:rsidRPr="00CC7147">
        <w:rPr>
          <w:color w:val="333333"/>
          <w:sz w:val="20"/>
          <w:szCs w:val="20"/>
        </w:rPr>
        <w:t> (mean output power in watts) dB or 80 dB, whichever is the lesser attenuation.</w:t>
      </w:r>
    </w:p>
    <w:p w14:paraId="6C7BA97C" w14:textId="77777777" w:rsidR="009F581E" w:rsidRPr="00CC7147" w:rsidRDefault="009F581E" w:rsidP="009F581E">
      <w:pPr>
        <w:pStyle w:val="Titolo4"/>
        <w:shd w:val="clear" w:color="auto" w:fill="FFFFFF"/>
        <w:spacing w:before="390" w:after="173"/>
        <w:rPr>
          <w:rFonts w:ascii="Times New Roman" w:hAnsi="Times New Roman"/>
          <w:b/>
          <w:bCs/>
          <w:color w:val="333333"/>
          <w:sz w:val="20"/>
        </w:rPr>
      </w:pPr>
      <w:r w:rsidRPr="00CC7147">
        <w:rPr>
          <w:rFonts w:ascii="Times New Roman" w:hAnsi="Times New Roman"/>
          <w:b/>
          <w:bCs/>
          <w:color w:val="333333"/>
          <w:sz w:val="20"/>
        </w:rPr>
        <w:t>5.2 Transmitter characteristics for fixed radio systems used for the management of the electricity supply in the frequency band 1800-1830 MHz</w:t>
      </w:r>
    </w:p>
    <w:p w14:paraId="5F21F29B" w14:textId="77777777" w:rsidR="009F581E" w:rsidRPr="00CC7147" w:rsidRDefault="009F581E" w:rsidP="009F581E">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The transmitter power delivered to the antenna input shall not exceed 2 W in any 1 MHz segment within the channel bandwidth.</w:t>
      </w:r>
    </w:p>
    <w:p w14:paraId="34650830" w14:textId="77777777" w:rsidR="009F581E" w:rsidRPr="00CC7147" w:rsidRDefault="009F581E" w:rsidP="009F581E">
      <w:pPr>
        <w:pStyle w:val="NormaleWeb"/>
        <w:shd w:val="clear" w:color="auto" w:fill="FFFFFF"/>
        <w:spacing w:before="0" w:beforeAutospacing="0" w:after="173" w:afterAutospacing="0"/>
        <w:rPr>
          <w:color w:val="333333"/>
          <w:sz w:val="20"/>
          <w:szCs w:val="20"/>
        </w:rPr>
      </w:pPr>
      <w:r w:rsidRPr="00A34B89">
        <w:rPr>
          <w:color w:val="333333"/>
          <w:sz w:val="20"/>
          <w:szCs w:val="20"/>
          <w:highlight w:val="yellow"/>
        </w:rPr>
        <w:t>An increase in transmitter power over the above specified limit may be permitted if technical justification is provided. However, the power delivered to the antenna input shall not exceed 20 W (+ 13 dBW) per channel.</w:t>
      </w:r>
    </w:p>
    <w:p w14:paraId="22F7F826" w14:textId="77777777" w:rsidR="009F581E" w:rsidRPr="00CC7147" w:rsidRDefault="009F581E" w:rsidP="009F581E">
      <w:pPr>
        <w:pStyle w:val="NormaleWeb"/>
        <w:shd w:val="clear" w:color="auto" w:fill="FFFFFF"/>
        <w:spacing w:before="0" w:beforeAutospacing="0" w:after="173" w:afterAutospacing="0"/>
        <w:rPr>
          <w:color w:val="333333"/>
          <w:sz w:val="20"/>
          <w:szCs w:val="20"/>
        </w:rPr>
      </w:pPr>
      <w:r w:rsidRPr="00CC7147">
        <w:rPr>
          <w:color w:val="333333"/>
          <w:sz w:val="20"/>
          <w:szCs w:val="20"/>
        </w:rPr>
        <w:t>The centre frequency of the emission shall be maintained within ±0.001% of the assigned frequency.</w:t>
      </w:r>
    </w:p>
    <w:p w14:paraId="1DF79410" w14:textId="77777777" w:rsidR="009F581E" w:rsidRPr="00CC7147" w:rsidRDefault="009F581E" w:rsidP="00CC7147">
      <w:pPr>
        <w:pStyle w:val="Titolo4"/>
        <w:shd w:val="clear" w:color="auto" w:fill="FFFFFF"/>
        <w:spacing w:before="390" w:after="173"/>
        <w:rPr>
          <w:rFonts w:ascii="Times New Roman" w:hAnsi="Times New Roman"/>
          <w:b/>
          <w:bCs/>
          <w:color w:val="333333"/>
          <w:sz w:val="20"/>
        </w:rPr>
      </w:pPr>
      <w:r w:rsidRPr="00CC7147">
        <w:rPr>
          <w:rFonts w:ascii="Times New Roman" w:hAnsi="Times New Roman"/>
          <w:b/>
          <w:bCs/>
          <w:color w:val="333333"/>
          <w:sz w:val="20"/>
        </w:rPr>
        <w:t>5.2.1 Spectral efficiency</w:t>
      </w:r>
    </w:p>
    <w:p w14:paraId="3DF7DD83" w14:textId="77777777" w:rsidR="009F581E" w:rsidRPr="00CC7147" w:rsidRDefault="009F581E" w:rsidP="009F581E">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Digital systems shall normally have a minimum spectral efficiency of 1 bit/s/Hz on a single polarization. At the discretion of ISED’s regional offices, digital systems with a lower spectral efficiency may be permitted on a case-by-case basis if suitable technical justification is provided.</w:t>
      </w:r>
      <w:r w:rsidRPr="00CC7147">
        <w:rPr>
          <w:color w:val="333333"/>
          <w:sz w:val="20"/>
          <w:szCs w:val="20"/>
        </w:rPr>
        <w:t xml:space="preserve"> Both the payload data and any overhead data are included in the total capacity bit rate used to determine if this requirement is met.</w:t>
      </w:r>
    </w:p>
    <w:p w14:paraId="68F9D12A" w14:textId="77777777" w:rsidR="009F581E" w:rsidRPr="00CC7147" w:rsidRDefault="009F581E" w:rsidP="00CC7147">
      <w:pPr>
        <w:pStyle w:val="Titolo4"/>
        <w:shd w:val="clear" w:color="auto" w:fill="FFFFFF"/>
        <w:spacing w:before="390" w:after="173"/>
        <w:rPr>
          <w:rFonts w:ascii="Times New Roman" w:hAnsi="Times New Roman"/>
          <w:b/>
          <w:bCs/>
          <w:color w:val="333333"/>
          <w:sz w:val="20"/>
        </w:rPr>
      </w:pPr>
      <w:r w:rsidRPr="00CC7147">
        <w:rPr>
          <w:rFonts w:ascii="Times New Roman" w:hAnsi="Times New Roman"/>
          <w:b/>
          <w:bCs/>
          <w:color w:val="333333"/>
          <w:sz w:val="20"/>
        </w:rPr>
        <w:t>5.2.2 Emission limits</w:t>
      </w:r>
    </w:p>
    <w:p w14:paraId="52DA2BA6" w14:textId="77777777" w:rsidR="009F581E" w:rsidRPr="00CC7147" w:rsidRDefault="009F581E" w:rsidP="009F581E">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In the 1 MHz bands immediately adjacent to the upper and lower limits of the authorized bandwidth, the mean power of emission in any band equal to 1% of the authorized bandwidth shall be attenuated by 43 + 10 log</w:t>
      </w:r>
      <w:r w:rsidRPr="00A34B89">
        <w:rPr>
          <w:color w:val="333333"/>
          <w:sz w:val="20"/>
          <w:szCs w:val="20"/>
          <w:highlight w:val="yellow"/>
          <w:vertAlign w:val="subscript"/>
        </w:rPr>
        <w:t>10</w:t>
      </w:r>
      <w:r w:rsidRPr="00A34B89">
        <w:rPr>
          <w:color w:val="333333"/>
          <w:sz w:val="20"/>
          <w:szCs w:val="20"/>
          <w:highlight w:val="yellow"/>
        </w:rPr>
        <w:t> (mean output power in watts) dB.</w:t>
      </w:r>
    </w:p>
    <w:p w14:paraId="16C94EA8" w14:textId="77777777" w:rsidR="009F581E" w:rsidRPr="00CC7147" w:rsidRDefault="009F581E" w:rsidP="009F581E">
      <w:pPr>
        <w:pStyle w:val="NormaleWeb"/>
        <w:shd w:val="clear" w:color="auto" w:fill="FFFFFF"/>
        <w:spacing w:before="0" w:beforeAutospacing="0" w:after="173" w:afterAutospacing="0"/>
        <w:rPr>
          <w:color w:val="333333"/>
          <w:sz w:val="20"/>
          <w:szCs w:val="20"/>
        </w:rPr>
      </w:pPr>
      <w:r w:rsidRPr="00A34B89">
        <w:rPr>
          <w:color w:val="333333"/>
          <w:sz w:val="20"/>
          <w:szCs w:val="20"/>
          <w:highlight w:val="yellow"/>
        </w:rPr>
        <w:t>Beyond the first 1 MHz bands immediately adjacent to the upper and lower limits of the authorized bandwidth, the mean power of emission in a bandwidth that is equal to 1 MHz shall be attenuated by 43 + 10 log</w:t>
      </w:r>
      <w:r w:rsidRPr="00A34B89">
        <w:rPr>
          <w:color w:val="333333"/>
          <w:sz w:val="20"/>
          <w:szCs w:val="20"/>
          <w:highlight w:val="yellow"/>
          <w:vertAlign w:val="subscript"/>
        </w:rPr>
        <w:t>10</w:t>
      </w:r>
      <w:r w:rsidRPr="00A34B89">
        <w:rPr>
          <w:color w:val="333333"/>
          <w:sz w:val="20"/>
          <w:szCs w:val="20"/>
          <w:highlight w:val="yellow"/>
        </w:rPr>
        <w:t> (mean output power in watts) dB.</w:t>
      </w:r>
    </w:p>
    <w:p w14:paraId="53CEF69F" w14:textId="32C710E8" w:rsidR="004823C7" w:rsidRPr="00510505" w:rsidRDefault="00510505" w:rsidP="00560AC9">
      <w:pPr>
        <w:pStyle w:val="Paragrafoelenco"/>
        <w:numPr>
          <w:ilvl w:val="0"/>
          <w:numId w:val="15"/>
        </w:numPr>
        <w:rPr>
          <w:b/>
          <w:bCs/>
          <w:color w:val="000000"/>
        </w:rPr>
      </w:pPr>
      <w:r w:rsidRPr="00510505">
        <w:rPr>
          <w:b/>
          <w:bCs/>
          <w:color w:val="000000"/>
        </w:rPr>
        <w:t>Antenna characteristics</w:t>
      </w:r>
    </w:p>
    <w:p w14:paraId="578C815E" w14:textId="77777777" w:rsidR="00510505" w:rsidRPr="00510505" w:rsidRDefault="00510505" w:rsidP="00510505">
      <w:pPr>
        <w:pStyle w:val="mrgn-tp-md"/>
        <w:shd w:val="clear" w:color="auto" w:fill="FFFFFF"/>
        <w:spacing w:before="225" w:beforeAutospacing="0" w:after="173" w:afterAutospacing="0"/>
        <w:rPr>
          <w:color w:val="333333"/>
          <w:sz w:val="20"/>
          <w:szCs w:val="20"/>
        </w:rPr>
      </w:pPr>
      <w:r w:rsidRPr="00510505">
        <w:rPr>
          <w:color w:val="333333"/>
          <w:sz w:val="20"/>
          <w:szCs w:val="20"/>
        </w:rPr>
        <w:lastRenderedPageBreak/>
        <w:t>This section describes the antenna characteristics for radio systems.</w:t>
      </w:r>
    </w:p>
    <w:p w14:paraId="444BDA66" w14:textId="77777777" w:rsidR="00510505" w:rsidRPr="00510505" w:rsidRDefault="00510505" w:rsidP="00510505">
      <w:pPr>
        <w:pStyle w:val="Titolo4"/>
        <w:shd w:val="clear" w:color="auto" w:fill="FFFFFF"/>
        <w:spacing w:before="390" w:after="173"/>
        <w:rPr>
          <w:rFonts w:ascii="Times New Roman" w:hAnsi="Times New Roman"/>
          <w:b/>
          <w:bCs/>
          <w:color w:val="333333"/>
          <w:sz w:val="20"/>
        </w:rPr>
      </w:pPr>
      <w:r w:rsidRPr="00510505">
        <w:rPr>
          <w:rFonts w:ascii="Times New Roman" w:hAnsi="Times New Roman"/>
          <w:b/>
          <w:bCs/>
          <w:color w:val="333333"/>
          <w:sz w:val="20"/>
        </w:rPr>
        <w:t>6.1 Antenna characteristics for radio systems in the frequency bands 1700-1710 MHz, 1780-1800 MHz and 1830-1850 MHz</w:t>
      </w:r>
    </w:p>
    <w:p w14:paraId="2D06606F" w14:textId="77777777" w:rsidR="00510505" w:rsidRPr="00510505" w:rsidRDefault="00510505" w:rsidP="00510505">
      <w:pPr>
        <w:pStyle w:val="mrgn-tp-md"/>
        <w:shd w:val="clear" w:color="auto" w:fill="FFFFFF"/>
        <w:spacing w:before="225" w:beforeAutospacing="0" w:after="173" w:afterAutospacing="0"/>
        <w:rPr>
          <w:color w:val="333333"/>
          <w:sz w:val="20"/>
          <w:szCs w:val="20"/>
        </w:rPr>
      </w:pPr>
      <w:r w:rsidRPr="00510505">
        <w:rPr>
          <w:color w:val="333333"/>
          <w:sz w:val="20"/>
          <w:szCs w:val="20"/>
        </w:rPr>
        <w:t>For radio systems in the frequency bands 1700-1710 MHz, 1780-1800 MHz and 1830-1850 MHz, the co-polarized radiation pattern envelope in the horizontal plane of the antenna shall remain within envelope B, shown in figure 1 and </w:t>
      </w:r>
      <w:hyperlink r:id="rId30" w:anchor="t2" w:tooltip="Minimum antenna characteristics for radio systems in the frequency bands 1700-1710 MHz, 1780-1800 MHz and 1830-1850 MHz" w:history="1">
        <w:r w:rsidRPr="00510505">
          <w:rPr>
            <w:rStyle w:val="Collegamentoipertestuale"/>
            <w:color w:val="284162"/>
            <w:sz w:val="20"/>
            <w:szCs w:val="20"/>
          </w:rPr>
          <w:t>table 2</w:t>
        </w:r>
      </w:hyperlink>
      <w:r w:rsidRPr="00510505">
        <w:rPr>
          <w:color w:val="333333"/>
          <w:sz w:val="20"/>
          <w:szCs w:val="20"/>
        </w:rPr>
        <w:t>, for both vertical and horizontal polarizations.</w:t>
      </w:r>
    </w:p>
    <w:p w14:paraId="450FE0AA" w14:textId="77777777" w:rsidR="00510505" w:rsidRPr="00510505" w:rsidRDefault="00510505" w:rsidP="00510505">
      <w:pPr>
        <w:pStyle w:val="mrgn-tp-md"/>
        <w:shd w:val="clear" w:color="auto" w:fill="FFFFFF"/>
        <w:spacing w:before="225" w:beforeAutospacing="0" w:after="173" w:afterAutospacing="0"/>
        <w:jc w:val="center"/>
        <w:rPr>
          <w:i/>
          <w:iCs/>
          <w:color w:val="333333"/>
          <w:sz w:val="20"/>
          <w:szCs w:val="20"/>
        </w:rPr>
      </w:pPr>
      <w:r w:rsidRPr="00510505">
        <w:rPr>
          <w:i/>
          <w:iCs/>
          <w:color w:val="333333"/>
          <w:sz w:val="20"/>
          <w:szCs w:val="20"/>
        </w:rPr>
        <w:t>Figure 1: Minimum antenna characteristics for radio systems in the frequency bands 1700-1710 MHz, 1780-1800 MHz and 1830-1850 MHz</w:t>
      </w:r>
    </w:p>
    <w:p w14:paraId="21BEEE77" w14:textId="6C3520AA" w:rsidR="008419EA" w:rsidRDefault="008419EA" w:rsidP="00510505">
      <w:pPr>
        <w:jc w:val="center"/>
        <w:rPr>
          <w:rFonts w:ascii="Noto Sans" w:hAnsi="Noto Sans" w:cs="Noto Sans"/>
          <w:color w:val="333333"/>
        </w:rPr>
      </w:pPr>
      <w:r>
        <w:rPr>
          <w:rFonts w:ascii="Noto Sans" w:hAnsi="Noto Sans" w:cs="Noto Sans"/>
          <w:noProof/>
          <w:color w:val="333333"/>
        </w:rPr>
        <w:drawing>
          <wp:inline distT="0" distB="0" distL="0" distR="0" wp14:anchorId="6F57D44B" wp14:editId="05302187">
            <wp:extent cx="4683244" cy="6041390"/>
            <wp:effectExtent l="0" t="0" r="3175" b="0"/>
            <wp:docPr id="2" name="Immagine 2" descr="Figure 1 : Minimum antenna characteristics for radio systems in the frequency bands 1700-1710 MHz, 1780-1800 MHz and 1830-1850 MHz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 Minimum antenna characteristics for radio systems in the frequency bands 1700-1710 MHz, 1780-1800 MHz and 1830-1850 MHz (the long description is located below the imag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7965" cy="6047480"/>
                    </a:xfrm>
                    <a:prstGeom prst="rect">
                      <a:avLst/>
                    </a:prstGeom>
                    <a:noFill/>
                    <a:ln>
                      <a:noFill/>
                    </a:ln>
                  </pic:spPr>
                </pic:pic>
              </a:graphicData>
            </a:graphic>
          </wp:inline>
        </w:drawing>
      </w:r>
    </w:p>
    <w:p w14:paraId="34CEFFD5" w14:textId="77777777" w:rsidR="008419EA" w:rsidRPr="00510505" w:rsidRDefault="008419EA" w:rsidP="008419EA">
      <w:pPr>
        <w:rPr>
          <w:color w:val="333333"/>
        </w:rPr>
      </w:pPr>
      <w:r w:rsidRPr="00510505">
        <w:rPr>
          <w:color w:val="333333"/>
        </w:rPr>
        <w:t>Description of figure 1</w:t>
      </w:r>
    </w:p>
    <w:p w14:paraId="0439557D" w14:textId="77777777" w:rsidR="008419EA" w:rsidRPr="00510505" w:rsidRDefault="008419EA" w:rsidP="008419EA">
      <w:pPr>
        <w:pStyle w:val="mrgn-tp-md"/>
        <w:spacing w:before="225" w:beforeAutospacing="0" w:after="173" w:afterAutospacing="0"/>
        <w:rPr>
          <w:color w:val="333333"/>
          <w:sz w:val="20"/>
          <w:szCs w:val="20"/>
        </w:rPr>
      </w:pPr>
      <w:r w:rsidRPr="00510505">
        <w:rPr>
          <w:color w:val="333333"/>
          <w:sz w:val="20"/>
          <w:szCs w:val="20"/>
        </w:rPr>
        <w:t>This line graph shows the antenna radiation pattern limits for radio systems operating in the frequency bands 1700-1710 MHz, 1780-1800 MHz and 1830-1850 MHz. The x-axis plots azimuth, in degrees from the main lobe, from 0 to 180. The y-axis measures antenna directivity, in dB down from the main lobe, from 0 to 80.</w:t>
      </w:r>
    </w:p>
    <w:p w14:paraId="16EB0FAF" w14:textId="04D2147C" w:rsidR="008419EA" w:rsidRDefault="00510505" w:rsidP="00510505">
      <w:pPr>
        <w:jc w:val="center"/>
        <w:rPr>
          <w:lang w:val="en-US"/>
        </w:rPr>
      </w:pPr>
      <w:r>
        <w:rPr>
          <w:noProof/>
          <w:lang w:val="en-US"/>
        </w:rPr>
        <w:lastRenderedPageBreak/>
        <w:drawing>
          <wp:inline distT="0" distB="0" distL="0" distR="0" wp14:anchorId="6AF3D820" wp14:editId="50CDDE32">
            <wp:extent cx="5060950" cy="5213350"/>
            <wp:effectExtent l="0" t="0" r="6350" b="635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0950" cy="5213350"/>
                    </a:xfrm>
                    <a:prstGeom prst="rect">
                      <a:avLst/>
                    </a:prstGeom>
                    <a:noFill/>
                    <a:ln>
                      <a:noFill/>
                    </a:ln>
                  </pic:spPr>
                </pic:pic>
              </a:graphicData>
            </a:graphic>
          </wp:inline>
        </w:drawing>
      </w:r>
    </w:p>
    <w:p w14:paraId="530BF4A3" w14:textId="77777777" w:rsidR="00510505" w:rsidRPr="00510505" w:rsidRDefault="00510505" w:rsidP="00510505">
      <w:pPr>
        <w:pStyle w:val="Titolo4"/>
        <w:shd w:val="clear" w:color="auto" w:fill="FFFFFF"/>
        <w:spacing w:before="390" w:after="173"/>
        <w:rPr>
          <w:rFonts w:ascii="Times New Roman" w:hAnsi="Times New Roman"/>
          <w:b/>
          <w:bCs/>
          <w:color w:val="333333"/>
          <w:sz w:val="20"/>
        </w:rPr>
      </w:pPr>
      <w:r w:rsidRPr="00510505">
        <w:rPr>
          <w:rFonts w:ascii="Times New Roman" w:hAnsi="Times New Roman"/>
          <w:b/>
          <w:bCs/>
          <w:color w:val="333333"/>
          <w:sz w:val="20"/>
        </w:rPr>
        <w:t>6.2 Antenna characteristics for fixed radio systems used for the management of the electricity supply in the frequency band 1800-1830 MHz</w:t>
      </w:r>
    </w:p>
    <w:p w14:paraId="0CB4E510" w14:textId="77777777" w:rsidR="00510505" w:rsidRPr="00A34B89" w:rsidRDefault="00510505" w:rsidP="00510505">
      <w:pPr>
        <w:pStyle w:val="mrgn-tp-md"/>
        <w:shd w:val="clear" w:color="auto" w:fill="FFFFFF"/>
        <w:spacing w:before="225" w:beforeAutospacing="0" w:after="173" w:afterAutospacing="0"/>
        <w:rPr>
          <w:color w:val="333333"/>
          <w:sz w:val="20"/>
          <w:szCs w:val="20"/>
          <w:highlight w:val="yellow"/>
        </w:rPr>
      </w:pPr>
      <w:r w:rsidRPr="00A34B89">
        <w:rPr>
          <w:color w:val="333333"/>
          <w:sz w:val="20"/>
          <w:szCs w:val="20"/>
          <w:highlight w:val="yellow"/>
        </w:rPr>
        <w:t>The use of directional antennas is encouraged to reduce interference and facilitate network planning; however, omnidirectional antennas are permitted in some cases, as outlined below.</w:t>
      </w:r>
    </w:p>
    <w:p w14:paraId="12C4541B" w14:textId="77777777" w:rsidR="00510505" w:rsidRPr="00510505" w:rsidRDefault="00510505" w:rsidP="00510505">
      <w:pPr>
        <w:pStyle w:val="NormaleWeb"/>
        <w:shd w:val="clear" w:color="auto" w:fill="FFFFFF"/>
        <w:spacing w:before="0" w:beforeAutospacing="0" w:after="173" w:afterAutospacing="0"/>
        <w:rPr>
          <w:color w:val="333333"/>
          <w:sz w:val="20"/>
          <w:szCs w:val="20"/>
        </w:rPr>
      </w:pPr>
      <w:r w:rsidRPr="00A34B89">
        <w:rPr>
          <w:color w:val="333333"/>
          <w:sz w:val="20"/>
          <w:szCs w:val="20"/>
          <w:highlight w:val="yellow"/>
        </w:rPr>
        <w:t>If a point-to-multipoint radio system makes use of relay or repeater stations to improve or extend the coverage of a base station, these stations shall be treated as terminal stations for the purpose of antenna characteristics.</w:t>
      </w:r>
    </w:p>
    <w:p w14:paraId="10DB599E" w14:textId="77777777" w:rsidR="00510505" w:rsidRPr="00510505" w:rsidRDefault="00510505" w:rsidP="00510505">
      <w:pPr>
        <w:pStyle w:val="Titolo4"/>
        <w:shd w:val="clear" w:color="auto" w:fill="FFFFFF"/>
        <w:spacing w:before="390" w:after="173"/>
        <w:rPr>
          <w:rFonts w:ascii="Times New Roman" w:hAnsi="Times New Roman"/>
          <w:b/>
          <w:bCs/>
          <w:color w:val="333333"/>
          <w:sz w:val="20"/>
        </w:rPr>
      </w:pPr>
      <w:r w:rsidRPr="00510505">
        <w:rPr>
          <w:rFonts w:ascii="Times New Roman" w:hAnsi="Times New Roman"/>
          <w:b/>
          <w:bCs/>
          <w:color w:val="333333"/>
          <w:sz w:val="20"/>
        </w:rPr>
        <w:t>6.2.1 Antenna characteristics for base stations in point-to-multipoint links</w:t>
      </w:r>
    </w:p>
    <w:p w14:paraId="4A09B2A7" w14:textId="77777777" w:rsidR="00510505" w:rsidRPr="00510505" w:rsidRDefault="00510505" w:rsidP="00510505">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The gain of base station antennas for point-to-multipoint systems shall be greater than or equal to 7 dBi. Omnidirectional antennas are permitted if they respect this minimum gain.</w:t>
      </w:r>
    </w:p>
    <w:p w14:paraId="7117899B" w14:textId="77777777" w:rsidR="00510505" w:rsidRPr="00510505" w:rsidRDefault="00510505" w:rsidP="00510505">
      <w:pPr>
        <w:pStyle w:val="Titolo4"/>
        <w:shd w:val="clear" w:color="auto" w:fill="FFFFFF"/>
        <w:spacing w:before="390" w:after="173"/>
        <w:rPr>
          <w:rFonts w:ascii="Times New Roman" w:hAnsi="Times New Roman"/>
          <w:b/>
          <w:bCs/>
          <w:color w:val="333333"/>
          <w:sz w:val="20"/>
        </w:rPr>
      </w:pPr>
      <w:r w:rsidRPr="00510505">
        <w:rPr>
          <w:rFonts w:ascii="Times New Roman" w:hAnsi="Times New Roman"/>
          <w:b/>
          <w:bCs/>
          <w:color w:val="333333"/>
          <w:sz w:val="20"/>
        </w:rPr>
        <w:t>6.2.2 Antenna characteristics for terminal stations in point-to-multipoint links</w:t>
      </w:r>
    </w:p>
    <w:p w14:paraId="2F06F074" w14:textId="77777777" w:rsidR="00510505" w:rsidRPr="00510505" w:rsidRDefault="00510505" w:rsidP="00510505">
      <w:pPr>
        <w:pStyle w:val="mrgn-tp-md"/>
        <w:shd w:val="clear" w:color="auto" w:fill="FFFFFF"/>
        <w:spacing w:before="225" w:beforeAutospacing="0" w:after="173" w:afterAutospacing="0"/>
        <w:rPr>
          <w:color w:val="333333"/>
          <w:sz w:val="20"/>
          <w:szCs w:val="20"/>
        </w:rPr>
      </w:pPr>
      <w:r w:rsidRPr="00A34B89">
        <w:rPr>
          <w:color w:val="333333"/>
          <w:sz w:val="20"/>
          <w:szCs w:val="20"/>
          <w:highlight w:val="yellow"/>
        </w:rPr>
        <w:t>If the transmitter power density at the antenna input is greater than or equal to 0.25 W/MHz, a terminal station shall make use of a directional antenna, and the antenna gain shall be greater than or equal to 12 dBi. In addition, the 3 dB beam width shall not exceed 30° in vertical and horizontal polarizations, and the front-to-back ratio shall be at least 20 dB.</w:t>
      </w:r>
    </w:p>
    <w:p w14:paraId="38435068" w14:textId="77777777" w:rsidR="00510505" w:rsidRPr="00510505" w:rsidRDefault="00510505" w:rsidP="00510505">
      <w:pPr>
        <w:pStyle w:val="NormaleWeb"/>
        <w:shd w:val="clear" w:color="auto" w:fill="FFFFFF"/>
        <w:spacing w:before="0" w:beforeAutospacing="0" w:after="173" w:afterAutospacing="0"/>
        <w:rPr>
          <w:color w:val="333333"/>
          <w:sz w:val="20"/>
          <w:szCs w:val="20"/>
        </w:rPr>
      </w:pPr>
      <w:r w:rsidRPr="00A34B89">
        <w:rPr>
          <w:color w:val="333333"/>
          <w:sz w:val="20"/>
          <w:szCs w:val="20"/>
          <w:highlight w:val="yellow"/>
        </w:rPr>
        <w:t>If the transmitter power density at the antenna input is less than 0.25 W/MHz, omnidirectional and directional antennas are permitted.</w:t>
      </w:r>
    </w:p>
    <w:p w14:paraId="09707D73" w14:textId="77777777" w:rsidR="00510505" w:rsidRPr="00510505" w:rsidRDefault="00510505" w:rsidP="00510505">
      <w:pPr>
        <w:pStyle w:val="Titolo4"/>
        <w:shd w:val="clear" w:color="auto" w:fill="FFFFFF"/>
        <w:spacing w:before="390" w:after="173"/>
        <w:rPr>
          <w:rFonts w:ascii="Times New Roman" w:hAnsi="Times New Roman"/>
          <w:b/>
          <w:bCs/>
          <w:color w:val="333333"/>
          <w:sz w:val="20"/>
        </w:rPr>
      </w:pPr>
      <w:r w:rsidRPr="00510505">
        <w:rPr>
          <w:rFonts w:ascii="Times New Roman" w:hAnsi="Times New Roman"/>
          <w:b/>
          <w:bCs/>
          <w:color w:val="333333"/>
          <w:sz w:val="20"/>
        </w:rPr>
        <w:lastRenderedPageBreak/>
        <w:t>6.2.3 Antenna characteristics for point-to-point links</w:t>
      </w:r>
    </w:p>
    <w:p w14:paraId="3B896C2F" w14:textId="77777777" w:rsidR="00510505" w:rsidRPr="00510505" w:rsidRDefault="00510505" w:rsidP="00510505">
      <w:pPr>
        <w:pStyle w:val="mrgn-tp-md"/>
        <w:shd w:val="clear" w:color="auto" w:fill="FFFFFF"/>
        <w:spacing w:before="225" w:beforeAutospacing="0" w:after="173" w:afterAutospacing="0"/>
        <w:rPr>
          <w:color w:val="333333"/>
          <w:sz w:val="20"/>
          <w:szCs w:val="20"/>
        </w:rPr>
      </w:pPr>
      <w:r w:rsidRPr="00510505">
        <w:rPr>
          <w:color w:val="333333"/>
          <w:sz w:val="20"/>
          <w:szCs w:val="20"/>
        </w:rPr>
        <w:t>Point-to-point systems shall make use of a directional antenna, and the antenna gain shall be greater than or equal to 12 dBi. In addition, the 3 dB beam width shall not exceed 30° in vertical and horizontal polarizations, and the front-to-back ratio shall be greater than or equal to 20 dB.</w:t>
      </w:r>
    </w:p>
    <w:p w14:paraId="61EA4647" w14:textId="756C3D46" w:rsidR="00510505" w:rsidRPr="00510505" w:rsidRDefault="00510505" w:rsidP="00560AC9">
      <w:pPr>
        <w:pStyle w:val="Paragrafoelenco"/>
        <w:numPr>
          <w:ilvl w:val="0"/>
          <w:numId w:val="15"/>
        </w:numPr>
        <w:rPr>
          <w:b/>
          <w:bCs/>
          <w:color w:val="000000"/>
        </w:rPr>
      </w:pPr>
      <w:r w:rsidRPr="00510505">
        <w:rPr>
          <w:b/>
          <w:bCs/>
          <w:color w:val="000000"/>
        </w:rPr>
        <w:t>Maximum equivalent isotropically radiated power</w:t>
      </w:r>
    </w:p>
    <w:p w14:paraId="73970362" w14:textId="77777777" w:rsidR="00510505" w:rsidRPr="00510505" w:rsidRDefault="00510505" w:rsidP="00510505">
      <w:pPr>
        <w:pStyle w:val="mrgn-tp-md"/>
        <w:spacing w:before="225" w:beforeAutospacing="0" w:after="173" w:afterAutospacing="0"/>
        <w:rPr>
          <w:color w:val="333333"/>
          <w:sz w:val="20"/>
          <w:szCs w:val="20"/>
        </w:rPr>
      </w:pPr>
      <w:r w:rsidRPr="00A34B89">
        <w:rPr>
          <w:color w:val="333333"/>
          <w:sz w:val="20"/>
          <w:szCs w:val="20"/>
          <w:highlight w:val="yellow"/>
        </w:rPr>
        <w:t>The maximum equivalent isotropically radiated power (e.i.r.p.) from the antenna shall not, in any case, exceed +55 dBW per RF channel.</w:t>
      </w:r>
    </w:p>
    <w:p w14:paraId="0369AE88" w14:textId="09A0A95B" w:rsidR="00510505" w:rsidRPr="00510505" w:rsidRDefault="00510505" w:rsidP="00560AC9">
      <w:pPr>
        <w:pStyle w:val="Paragrafoelenco"/>
        <w:numPr>
          <w:ilvl w:val="0"/>
          <w:numId w:val="15"/>
        </w:numPr>
        <w:rPr>
          <w:b/>
          <w:bCs/>
          <w:color w:val="000000"/>
        </w:rPr>
      </w:pPr>
      <w:r w:rsidRPr="00510505">
        <w:rPr>
          <w:b/>
          <w:bCs/>
          <w:color w:val="000000"/>
        </w:rPr>
        <w:t>Avoidance of the geostationary satellite orbit</w:t>
      </w:r>
    </w:p>
    <w:p w14:paraId="0859487D" w14:textId="77777777" w:rsidR="00510505" w:rsidRPr="00510505" w:rsidRDefault="00510505" w:rsidP="00510505">
      <w:pPr>
        <w:pStyle w:val="mrgn-tp-md"/>
        <w:spacing w:before="225" w:beforeAutospacing="0" w:after="173" w:afterAutospacing="0"/>
        <w:rPr>
          <w:color w:val="333333"/>
          <w:sz w:val="20"/>
          <w:szCs w:val="20"/>
        </w:rPr>
      </w:pPr>
      <w:r w:rsidRPr="00510505">
        <w:rPr>
          <w:color w:val="333333"/>
          <w:sz w:val="20"/>
          <w:szCs w:val="20"/>
        </w:rPr>
        <w:t>As far as is practicable, sites for transmitting terrestrial stations operating in the fixed service should be selected so that the direction of maximum radiation of the antenna will be pointed at least 2° away from the geostationary satellite orbit, taking into account the effect of atmospheric refraction.</w:t>
      </w:r>
    </w:p>
    <w:p w14:paraId="643E95E9" w14:textId="2CE81FEF" w:rsidR="00510505" w:rsidRPr="00510505" w:rsidRDefault="00510505" w:rsidP="00560AC9">
      <w:pPr>
        <w:pStyle w:val="Paragrafoelenco"/>
        <w:numPr>
          <w:ilvl w:val="0"/>
          <w:numId w:val="15"/>
        </w:numPr>
        <w:rPr>
          <w:b/>
          <w:bCs/>
          <w:color w:val="000000"/>
        </w:rPr>
      </w:pPr>
      <w:r w:rsidRPr="00510505">
        <w:rPr>
          <w:b/>
          <w:bCs/>
          <w:color w:val="000000"/>
        </w:rPr>
        <w:t>Enhanced technical requirements for moderately congested and highly congested areas</w:t>
      </w:r>
    </w:p>
    <w:p w14:paraId="5009F5D1" w14:textId="77777777" w:rsidR="00510505" w:rsidRPr="00510505" w:rsidRDefault="00510505" w:rsidP="00510505">
      <w:pPr>
        <w:pStyle w:val="mrgn-tp-md"/>
        <w:spacing w:before="225" w:beforeAutospacing="0" w:after="173" w:afterAutospacing="0"/>
        <w:rPr>
          <w:color w:val="333333"/>
          <w:sz w:val="20"/>
          <w:szCs w:val="20"/>
        </w:rPr>
      </w:pPr>
      <w:r w:rsidRPr="00510505">
        <w:rPr>
          <w:color w:val="333333"/>
          <w:sz w:val="20"/>
          <w:szCs w:val="20"/>
        </w:rPr>
        <w:t>The technical requirements in this section apply only to radio systems operating in moderately congested and highly congested areas, as defined in the Geographical Differences Policy guideline in part B, section 1.6, of </w:t>
      </w:r>
      <w:hyperlink r:id="rId33" w:anchor="t1.6" w:tooltip="Revisions to Microwave Spectrum Utilization Policies in the Range of 1-20 GHz" w:history="1">
        <w:r w:rsidRPr="00510505">
          <w:rPr>
            <w:rStyle w:val="Collegamentoipertestuale"/>
            <w:color w:val="284162"/>
            <w:sz w:val="20"/>
            <w:szCs w:val="20"/>
          </w:rPr>
          <w:t>SP 1-20 GHz</w:t>
        </w:r>
      </w:hyperlink>
      <w:r w:rsidRPr="00510505">
        <w:rPr>
          <w:color w:val="333333"/>
          <w:sz w:val="20"/>
          <w:szCs w:val="20"/>
        </w:rPr>
        <w:t>. The requirements apply only to radio systems in the frequency bands 1700-1710 MHz, 1780-1800 MHz and 1830-1850 MHz, excluding fixed radio systems used for the management, operation and maintenance of the electricity supply in the band 1800-1830 MHz.</w:t>
      </w:r>
    </w:p>
    <w:p w14:paraId="29283B87" w14:textId="77777777" w:rsidR="00510505" w:rsidRPr="00510505" w:rsidRDefault="00510505" w:rsidP="00510505">
      <w:pPr>
        <w:pStyle w:val="NormaleWeb"/>
        <w:spacing w:before="0" w:beforeAutospacing="0" w:after="173" w:afterAutospacing="0"/>
        <w:rPr>
          <w:color w:val="333333"/>
          <w:sz w:val="20"/>
          <w:szCs w:val="20"/>
        </w:rPr>
      </w:pPr>
      <w:r w:rsidRPr="00510505">
        <w:rPr>
          <w:color w:val="333333"/>
          <w:sz w:val="20"/>
          <w:szCs w:val="20"/>
        </w:rPr>
        <w:t>The co-polarized radiation pattern envelope in the horizontal plane of the antenna shall remain within envelope A, shown in </w:t>
      </w:r>
      <w:hyperlink r:id="rId34" w:anchor="fig1" w:tooltip="Minimum antenna characteristics for radio systems in the frequency bands 1700-1710 MHz, 1780-1800 MHz and 1830-1850 MHz " w:history="1">
        <w:r w:rsidRPr="00510505">
          <w:rPr>
            <w:rStyle w:val="Collegamentoipertestuale"/>
            <w:color w:val="284162"/>
            <w:sz w:val="20"/>
            <w:szCs w:val="20"/>
          </w:rPr>
          <w:t>figure 1</w:t>
        </w:r>
      </w:hyperlink>
      <w:r w:rsidRPr="00510505">
        <w:rPr>
          <w:color w:val="333333"/>
          <w:sz w:val="20"/>
          <w:szCs w:val="20"/>
        </w:rPr>
        <w:t> and </w:t>
      </w:r>
      <w:hyperlink r:id="rId35" w:anchor="t2" w:tooltip="Minimum antenna characteristics for radio systems in the frequency bands 1700-1710 MHz, 1780-1800 MHz and 1830-1850 MHz " w:history="1">
        <w:r w:rsidRPr="00510505">
          <w:rPr>
            <w:rStyle w:val="Collegamentoipertestuale"/>
            <w:color w:val="284162"/>
            <w:sz w:val="20"/>
            <w:szCs w:val="20"/>
          </w:rPr>
          <w:t>table 2</w:t>
        </w:r>
      </w:hyperlink>
      <w:r w:rsidRPr="00510505">
        <w:rPr>
          <w:color w:val="333333"/>
          <w:sz w:val="20"/>
          <w:szCs w:val="20"/>
        </w:rPr>
        <w:t>, for both vertical and horizontal polarizations.</w:t>
      </w:r>
    </w:p>
    <w:p w14:paraId="07807367" w14:textId="77777777" w:rsidR="00510505" w:rsidRPr="00510505" w:rsidRDefault="00510505" w:rsidP="00510505">
      <w:pPr>
        <w:pStyle w:val="NormaleWeb"/>
        <w:spacing w:before="0" w:beforeAutospacing="0" w:after="173" w:afterAutospacing="0"/>
        <w:rPr>
          <w:color w:val="333333"/>
          <w:sz w:val="20"/>
          <w:szCs w:val="20"/>
        </w:rPr>
      </w:pPr>
      <w:r w:rsidRPr="00510505">
        <w:rPr>
          <w:color w:val="333333"/>
          <w:sz w:val="20"/>
          <w:szCs w:val="20"/>
        </w:rPr>
        <w:t>Digital systems shall have a minimum spectral efficiency of </w:t>
      </w:r>
      <w:r w:rsidRPr="00510505">
        <w:rPr>
          <w:rStyle w:val="nowrap"/>
          <w:color w:val="333333"/>
          <w:sz w:val="20"/>
          <w:szCs w:val="20"/>
        </w:rPr>
        <w:t>2.4 bits/s/Hz</w:t>
      </w:r>
      <w:r w:rsidRPr="00510505">
        <w:rPr>
          <w:color w:val="333333"/>
          <w:sz w:val="20"/>
          <w:szCs w:val="20"/>
        </w:rPr>
        <w:t> on a single polarization.</w:t>
      </w:r>
    </w:p>
    <w:p w14:paraId="65D7E339" w14:textId="6BE8DFA0" w:rsidR="00510505" w:rsidRPr="00510505" w:rsidRDefault="00510505" w:rsidP="00560AC9">
      <w:pPr>
        <w:pStyle w:val="Paragrafoelenco"/>
        <w:numPr>
          <w:ilvl w:val="0"/>
          <w:numId w:val="15"/>
        </w:numPr>
        <w:rPr>
          <w:b/>
          <w:bCs/>
          <w:color w:val="000000"/>
        </w:rPr>
      </w:pPr>
      <w:r w:rsidRPr="00510505">
        <w:rPr>
          <w:b/>
          <w:bCs/>
          <w:color w:val="000000"/>
        </w:rPr>
        <w:t>International coordination</w:t>
      </w:r>
    </w:p>
    <w:p w14:paraId="2634F360" w14:textId="77777777" w:rsidR="00510505" w:rsidRPr="00510505" w:rsidRDefault="00510505" w:rsidP="00510505">
      <w:pPr>
        <w:pStyle w:val="mrgn-tp-md"/>
        <w:spacing w:before="225" w:beforeAutospacing="0" w:after="173" w:afterAutospacing="0"/>
        <w:rPr>
          <w:color w:val="333333"/>
          <w:sz w:val="20"/>
          <w:szCs w:val="20"/>
        </w:rPr>
      </w:pPr>
      <w:r w:rsidRPr="00510505">
        <w:rPr>
          <w:color w:val="333333"/>
          <w:sz w:val="20"/>
          <w:szCs w:val="20"/>
        </w:rPr>
        <w:t>Stations operating in the band 1780-1850 MHz near the Canada-United States (U.S.) border are subject to the provisions of </w:t>
      </w:r>
      <w:hyperlink r:id="rId36" w:tooltip="Arrangement Between the Department of Transport and the Interdepartment Radio Advisory Committee for the Exchange of Frequency Assignment Information and Engineering Comments on Proposed Assignments Along the Canada-United States Borders in Certain Frequency B" w:history="1">
        <w:r w:rsidRPr="00510505">
          <w:rPr>
            <w:rStyle w:val="Collegamentoipertestuale"/>
            <w:color w:val="284162"/>
            <w:sz w:val="20"/>
            <w:szCs w:val="20"/>
          </w:rPr>
          <w:t>Arrangement D</w:t>
        </w:r>
      </w:hyperlink>
      <w:r w:rsidRPr="00510505">
        <w:rPr>
          <w:color w:val="333333"/>
          <w:sz w:val="20"/>
          <w:szCs w:val="20"/>
        </w:rPr>
        <w:t>.</w:t>
      </w:r>
    </w:p>
    <w:p w14:paraId="58697268" w14:textId="77777777" w:rsidR="00510505" w:rsidRPr="00510505" w:rsidRDefault="00510505" w:rsidP="00510505">
      <w:pPr>
        <w:pStyle w:val="NormaleWeb"/>
        <w:spacing w:before="0" w:beforeAutospacing="0" w:after="173" w:afterAutospacing="0"/>
        <w:rPr>
          <w:color w:val="333333"/>
          <w:sz w:val="20"/>
          <w:szCs w:val="20"/>
        </w:rPr>
      </w:pPr>
      <w:r w:rsidRPr="00510505">
        <w:rPr>
          <w:color w:val="333333"/>
          <w:sz w:val="20"/>
          <w:szCs w:val="20"/>
        </w:rPr>
        <w:t>Canada does not currently have a formal arrangement with the U.S. government for the sharing of the 1700-1710 MHz band in the border regions. Licensees will be subject to any future agreements between Canada and the U.S. regarding use of these systems in the border regions, which may result in modifications of previously authorized stations.</w:t>
      </w:r>
    </w:p>
    <w:p w14:paraId="56B93037" w14:textId="0A3FC854" w:rsidR="00A34B89" w:rsidRDefault="00A34B89" w:rsidP="00A34B89">
      <w:pPr>
        <w:pStyle w:val="Titolo1"/>
        <w:tabs>
          <w:tab w:val="clear" w:pos="432"/>
          <w:tab w:val="num" w:pos="522"/>
        </w:tabs>
        <w:ind w:left="522" w:hanging="522"/>
        <w:rPr>
          <w:lang w:val="en-US"/>
        </w:rPr>
      </w:pPr>
      <w:r>
        <w:rPr>
          <w:lang w:val="en-US"/>
        </w:rPr>
        <w:t>ISED clarification letter</w:t>
      </w:r>
    </w:p>
    <w:p w14:paraId="296013C5" w14:textId="03DFB055" w:rsidR="00510505" w:rsidRDefault="00A34B89" w:rsidP="006465BB">
      <w:pPr>
        <w:rPr>
          <w:lang w:val="en-US"/>
        </w:rPr>
      </w:pPr>
      <w:r>
        <w:rPr>
          <w:lang w:val="en-US"/>
        </w:rPr>
        <w:t>The following text is a cut and paste from the letter from ISED available in attachment.</w:t>
      </w:r>
    </w:p>
    <w:p w14:paraId="30DFA095" w14:textId="5CF1E37A" w:rsidR="00A34B89" w:rsidRPr="00F06291" w:rsidRDefault="00A34B89" w:rsidP="00A34B89">
      <w:pPr>
        <w:autoSpaceDE w:val="0"/>
        <w:autoSpaceDN w:val="0"/>
        <w:adjustRightInd w:val="0"/>
        <w:spacing w:after="0"/>
        <w:rPr>
          <w:b/>
          <w:bCs/>
          <w:sz w:val="22"/>
          <w:szCs w:val="22"/>
        </w:rPr>
      </w:pPr>
      <w:r w:rsidRPr="00F06291">
        <w:rPr>
          <w:b/>
          <w:bCs/>
          <w:sz w:val="22"/>
          <w:szCs w:val="22"/>
        </w:rPr>
        <w:t>Question 1: “SRSP 301.7 is not compatible with the 3GPP channel raster which is based on</w:t>
      </w:r>
      <w:r w:rsidR="00F06291" w:rsidRPr="00F06291">
        <w:rPr>
          <w:b/>
          <w:bCs/>
          <w:sz w:val="22"/>
          <w:szCs w:val="22"/>
        </w:rPr>
        <w:t xml:space="preserve"> </w:t>
      </w:r>
      <w:r w:rsidRPr="00F06291">
        <w:rPr>
          <w:b/>
          <w:bCs/>
          <w:sz w:val="22"/>
          <w:szCs w:val="22"/>
        </w:rPr>
        <w:t>100kHz spacing.”</w:t>
      </w:r>
    </w:p>
    <w:p w14:paraId="62A437BD" w14:textId="4E8EBCE7" w:rsidR="00A34B89" w:rsidRPr="00F06291" w:rsidRDefault="00A34B89" w:rsidP="00A34B89">
      <w:pPr>
        <w:autoSpaceDE w:val="0"/>
        <w:autoSpaceDN w:val="0"/>
        <w:adjustRightInd w:val="0"/>
        <w:spacing w:after="0"/>
        <w:rPr>
          <w:sz w:val="22"/>
          <w:szCs w:val="22"/>
        </w:rPr>
      </w:pPr>
      <w:r w:rsidRPr="00F06291">
        <w:rPr>
          <w:sz w:val="22"/>
          <w:szCs w:val="22"/>
        </w:rPr>
        <w:t>In your letter, you have correctly identified that the current channel plan for this frequency</w:t>
      </w:r>
      <w:r w:rsidR="00F06291">
        <w:rPr>
          <w:sz w:val="22"/>
          <w:szCs w:val="22"/>
        </w:rPr>
        <w:t xml:space="preserve"> </w:t>
      </w:r>
      <w:r w:rsidRPr="00F06291">
        <w:rPr>
          <w:sz w:val="22"/>
          <w:szCs w:val="22"/>
        </w:rPr>
        <w:t>band is based on a 125 kHz channel raster. The original intent of this channel plan raster was</w:t>
      </w:r>
      <w:r w:rsidR="00F06291">
        <w:rPr>
          <w:sz w:val="22"/>
          <w:szCs w:val="22"/>
        </w:rPr>
        <w:t xml:space="preserve"> </w:t>
      </w:r>
      <w:r w:rsidRPr="00F06291">
        <w:rPr>
          <w:sz w:val="22"/>
          <w:szCs w:val="22"/>
        </w:rPr>
        <w:t>to enable flexibility to licensees on what bandwidth to operate with and how to best</w:t>
      </w:r>
      <w:r w:rsidR="00F06291">
        <w:rPr>
          <w:sz w:val="22"/>
          <w:szCs w:val="22"/>
        </w:rPr>
        <w:t xml:space="preserve"> </w:t>
      </w:r>
      <w:r w:rsidRPr="00F06291">
        <w:rPr>
          <w:sz w:val="22"/>
          <w:szCs w:val="22"/>
        </w:rPr>
        <w:t>accommodate multiple systems in the same area. Your proposal to adopt a 12.5 kHz raster</w:t>
      </w:r>
      <w:r w:rsidR="00F06291">
        <w:rPr>
          <w:sz w:val="22"/>
          <w:szCs w:val="22"/>
        </w:rPr>
        <w:t xml:space="preserve"> </w:t>
      </w:r>
      <w:r w:rsidRPr="00F06291">
        <w:rPr>
          <w:sz w:val="22"/>
          <w:szCs w:val="22"/>
        </w:rPr>
        <w:t xml:space="preserve">appears to be aligned with this principle. Further, </w:t>
      </w:r>
      <w:r w:rsidRPr="00C909B1">
        <w:rPr>
          <w:sz w:val="22"/>
          <w:szCs w:val="22"/>
          <w:highlight w:val="yellow"/>
        </w:rPr>
        <w:t>I note that an alternate possibility could</w:t>
      </w:r>
      <w:r w:rsidR="00F06291" w:rsidRPr="00C909B1">
        <w:rPr>
          <w:sz w:val="22"/>
          <w:szCs w:val="22"/>
          <w:highlight w:val="yellow"/>
        </w:rPr>
        <w:t xml:space="preserve"> </w:t>
      </w:r>
      <w:r w:rsidRPr="00C909B1">
        <w:rPr>
          <w:sz w:val="22"/>
          <w:szCs w:val="22"/>
          <w:highlight w:val="yellow"/>
        </w:rPr>
        <w:t>also be to adopt a channel plan based on a 100 kHz raster, once it would be defined by 3GPP.</w:t>
      </w:r>
    </w:p>
    <w:p w14:paraId="33D87469" w14:textId="2D06636C" w:rsidR="00A34B89" w:rsidRDefault="00A34B89" w:rsidP="00A34B89">
      <w:pPr>
        <w:autoSpaceDE w:val="0"/>
        <w:autoSpaceDN w:val="0"/>
        <w:adjustRightInd w:val="0"/>
        <w:spacing w:after="0"/>
        <w:rPr>
          <w:sz w:val="22"/>
          <w:szCs w:val="22"/>
        </w:rPr>
      </w:pPr>
      <w:r w:rsidRPr="00F06291">
        <w:rPr>
          <w:sz w:val="22"/>
          <w:szCs w:val="22"/>
        </w:rPr>
        <w:t>Therefore, I can confirm ISED is open to revising SRSP-301.7 to modify the channel plan to</w:t>
      </w:r>
      <w:r w:rsidR="00F06291">
        <w:rPr>
          <w:sz w:val="22"/>
          <w:szCs w:val="22"/>
        </w:rPr>
        <w:t xml:space="preserve"> </w:t>
      </w:r>
      <w:r w:rsidRPr="00F06291">
        <w:rPr>
          <w:sz w:val="22"/>
          <w:szCs w:val="22"/>
        </w:rPr>
        <w:t>better support new standardized equipment, taking into account feedback from other</w:t>
      </w:r>
      <w:r w:rsidR="00F06291">
        <w:rPr>
          <w:sz w:val="22"/>
          <w:szCs w:val="22"/>
        </w:rPr>
        <w:t xml:space="preserve"> </w:t>
      </w:r>
      <w:r w:rsidRPr="00F06291">
        <w:rPr>
          <w:sz w:val="22"/>
          <w:szCs w:val="22"/>
        </w:rPr>
        <w:t>stakeholders.</w:t>
      </w:r>
    </w:p>
    <w:p w14:paraId="6920E459" w14:textId="77777777" w:rsidR="00F06291" w:rsidRPr="00F06291" w:rsidRDefault="00F06291" w:rsidP="00A34B89">
      <w:pPr>
        <w:autoSpaceDE w:val="0"/>
        <w:autoSpaceDN w:val="0"/>
        <w:adjustRightInd w:val="0"/>
        <w:spacing w:after="0"/>
        <w:rPr>
          <w:sz w:val="22"/>
          <w:szCs w:val="22"/>
        </w:rPr>
      </w:pPr>
    </w:p>
    <w:p w14:paraId="11F6BEB5" w14:textId="77777777" w:rsidR="00A34B89" w:rsidRPr="00F06291" w:rsidRDefault="00A34B89" w:rsidP="00A34B89">
      <w:pPr>
        <w:autoSpaceDE w:val="0"/>
        <w:autoSpaceDN w:val="0"/>
        <w:adjustRightInd w:val="0"/>
        <w:spacing w:after="0"/>
        <w:rPr>
          <w:b/>
          <w:bCs/>
          <w:sz w:val="22"/>
          <w:szCs w:val="22"/>
        </w:rPr>
      </w:pPr>
      <w:r w:rsidRPr="00F06291">
        <w:rPr>
          <w:b/>
          <w:bCs/>
          <w:sz w:val="22"/>
          <w:szCs w:val="22"/>
        </w:rPr>
        <w:t>Question 2: “SRSP 301.7 is not paired spectrum does ISED permit FDD?”</w:t>
      </w:r>
    </w:p>
    <w:p w14:paraId="496DC13C" w14:textId="6686DCF9" w:rsidR="00A34B89" w:rsidRDefault="00A34B89" w:rsidP="00A34B89">
      <w:pPr>
        <w:autoSpaceDE w:val="0"/>
        <w:autoSpaceDN w:val="0"/>
        <w:adjustRightInd w:val="0"/>
        <w:spacing w:after="0"/>
        <w:rPr>
          <w:sz w:val="22"/>
          <w:szCs w:val="22"/>
        </w:rPr>
      </w:pPr>
      <w:r w:rsidRPr="00F06291">
        <w:rPr>
          <w:sz w:val="22"/>
          <w:szCs w:val="22"/>
        </w:rPr>
        <w:t>Although the channel plan in SRSP-301.7 for the 1800-1830 MHz band is not formulated</w:t>
      </w:r>
      <w:r w:rsidR="00F06291">
        <w:rPr>
          <w:sz w:val="22"/>
          <w:szCs w:val="22"/>
        </w:rPr>
        <w:t xml:space="preserve"> </w:t>
      </w:r>
      <w:r w:rsidRPr="00F06291">
        <w:rPr>
          <w:sz w:val="22"/>
          <w:szCs w:val="22"/>
        </w:rPr>
        <w:t>based on paired channels, there is no provision within the SRSP to mandate the use of either</w:t>
      </w:r>
      <w:r w:rsidR="00F06291">
        <w:rPr>
          <w:sz w:val="22"/>
          <w:szCs w:val="22"/>
        </w:rPr>
        <w:t xml:space="preserve"> </w:t>
      </w:r>
      <w:r w:rsidRPr="00F06291">
        <w:rPr>
          <w:sz w:val="22"/>
          <w:szCs w:val="22"/>
        </w:rPr>
        <w:t xml:space="preserve">TDD or FDD duplexing. </w:t>
      </w:r>
      <w:r w:rsidRPr="00C909B1">
        <w:rPr>
          <w:sz w:val="22"/>
          <w:szCs w:val="22"/>
          <w:highlight w:val="yellow"/>
        </w:rPr>
        <w:t>As such, our current rules would permit FDD operation as long as the</w:t>
      </w:r>
      <w:r w:rsidR="00F06291" w:rsidRPr="00C909B1">
        <w:rPr>
          <w:sz w:val="22"/>
          <w:szCs w:val="22"/>
          <w:highlight w:val="yellow"/>
        </w:rPr>
        <w:t xml:space="preserve"> </w:t>
      </w:r>
      <w:r w:rsidRPr="00C909B1">
        <w:rPr>
          <w:sz w:val="22"/>
          <w:szCs w:val="22"/>
          <w:highlight w:val="yellow"/>
        </w:rPr>
        <w:t>channel centre frequencies fall within the channel raster identified in the current edition of</w:t>
      </w:r>
      <w:r w:rsidR="00F06291" w:rsidRPr="00C909B1">
        <w:rPr>
          <w:sz w:val="22"/>
          <w:szCs w:val="22"/>
          <w:highlight w:val="yellow"/>
        </w:rPr>
        <w:t xml:space="preserve"> </w:t>
      </w:r>
      <w:r w:rsidRPr="00C909B1">
        <w:rPr>
          <w:sz w:val="22"/>
          <w:szCs w:val="22"/>
          <w:highlight w:val="yellow"/>
        </w:rPr>
        <w:t>the SRSP</w:t>
      </w:r>
      <w:r w:rsidRPr="00F06291">
        <w:rPr>
          <w:sz w:val="22"/>
          <w:szCs w:val="22"/>
        </w:rPr>
        <w:t>. As identified in our response to your previous question, we are open to revising the</w:t>
      </w:r>
      <w:r w:rsidR="00F06291">
        <w:rPr>
          <w:sz w:val="22"/>
          <w:szCs w:val="22"/>
        </w:rPr>
        <w:t xml:space="preserve"> </w:t>
      </w:r>
      <w:r w:rsidRPr="00F06291">
        <w:rPr>
          <w:sz w:val="22"/>
          <w:szCs w:val="22"/>
        </w:rPr>
        <w:t>SRSP to better clarify this and better take into account the channel plans of new standardized</w:t>
      </w:r>
      <w:r w:rsidR="00F06291">
        <w:rPr>
          <w:sz w:val="22"/>
          <w:szCs w:val="22"/>
        </w:rPr>
        <w:t xml:space="preserve"> </w:t>
      </w:r>
      <w:r w:rsidRPr="00F06291">
        <w:rPr>
          <w:sz w:val="22"/>
          <w:szCs w:val="22"/>
        </w:rPr>
        <w:t>equipment, taking into account feedback from other stakeholders.</w:t>
      </w:r>
    </w:p>
    <w:p w14:paraId="5ED81E29" w14:textId="77777777" w:rsidR="00F06291" w:rsidRPr="00F06291" w:rsidRDefault="00F06291" w:rsidP="00A34B89">
      <w:pPr>
        <w:autoSpaceDE w:val="0"/>
        <w:autoSpaceDN w:val="0"/>
        <w:adjustRightInd w:val="0"/>
        <w:spacing w:after="0"/>
        <w:rPr>
          <w:sz w:val="22"/>
          <w:szCs w:val="22"/>
        </w:rPr>
      </w:pPr>
    </w:p>
    <w:p w14:paraId="129AE92D" w14:textId="77777777" w:rsidR="00A34B89" w:rsidRPr="00F06291" w:rsidRDefault="00A34B89" w:rsidP="00A34B89">
      <w:pPr>
        <w:autoSpaceDE w:val="0"/>
        <w:autoSpaceDN w:val="0"/>
        <w:adjustRightInd w:val="0"/>
        <w:spacing w:after="0"/>
        <w:rPr>
          <w:b/>
          <w:bCs/>
          <w:sz w:val="22"/>
          <w:szCs w:val="22"/>
        </w:rPr>
      </w:pPr>
      <w:r w:rsidRPr="00F06291">
        <w:rPr>
          <w:b/>
          <w:bCs/>
          <w:sz w:val="22"/>
          <w:szCs w:val="22"/>
        </w:rPr>
        <w:t>Question 3: “Does ISED permit LTE and/or 5G in this band or is this a WiMAX band?”</w:t>
      </w:r>
    </w:p>
    <w:p w14:paraId="377C5E68" w14:textId="2209C5E3" w:rsidR="00A34B89" w:rsidRPr="00F06291" w:rsidRDefault="00A34B89" w:rsidP="00F06291">
      <w:pPr>
        <w:autoSpaceDE w:val="0"/>
        <w:autoSpaceDN w:val="0"/>
        <w:adjustRightInd w:val="0"/>
        <w:spacing w:after="0"/>
        <w:rPr>
          <w:sz w:val="22"/>
          <w:szCs w:val="22"/>
        </w:rPr>
      </w:pPr>
      <w:r w:rsidRPr="00F06291">
        <w:rPr>
          <w:sz w:val="22"/>
          <w:szCs w:val="22"/>
        </w:rPr>
        <w:t>Similarly to our response for the previous question, SRSP-301.7 does not mandate the use of</w:t>
      </w:r>
      <w:r w:rsidR="00F06291">
        <w:rPr>
          <w:sz w:val="22"/>
          <w:szCs w:val="22"/>
        </w:rPr>
        <w:t xml:space="preserve"> </w:t>
      </w:r>
      <w:r w:rsidRPr="00F06291">
        <w:rPr>
          <w:sz w:val="22"/>
          <w:szCs w:val="22"/>
        </w:rPr>
        <w:t>any specific communication protocol. As such, any of the protocols you have specified in your</w:t>
      </w:r>
      <w:r w:rsidR="00F06291">
        <w:rPr>
          <w:sz w:val="22"/>
          <w:szCs w:val="22"/>
        </w:rPr>
        <w:t xml:space="preserve"> </w:t>
      </w:r>
      <w:r w:rsidRPr="00F06291">
        <w:rPr>
          <w:sz w:val="22"/>
          <w:szCs w:val="22"/>
        </w:rPr>
        <w:t>letter – as well as any others – could be used in the 1800-1830 MHz frequency band, as long</w:t>
      </w:r>
      <w:r w:rsidR="00F06291">
        <w:rPr>
          <w:sz w:val="22"/>
          <w:szCs w:val="22"/>
        </w:rPr>
        <w:t xml:space="preserve"> </w:t>
      </w:r>
      <w:r w:rsidRPr="00F06291">
        <w:rPr>
          <w:sz w:val="22"/>
          <w:szCs w:val="22"/>
        </w:rPr>
        <w:t>as the radio system deployed is fixed and the other provisions of the SRSP are met.</w:t>
      </w:r>
    </w:p>
    <w:p w14:paraId="6225B1C9" w14:textId="2C1CFB52" w:rsidR="00C63DC6" w:rsidRDefault="00C63DC6" w:rsidP="00C63DC6">
      <w:pPr>
        <w:pStyle w:val="Titolo1"/>
        <w:tabs>
          <w:tab w:val="clear" w:pos="432"/>
          <w:tab w:val="num" w:pos="522"/>
        </w:tabs>
        <w:ind w:left="522" w:hanging="522"/>
        <w:rPr>
          <w:lang w:val="en-US"/>
        </w:rPr>
      </w:pPr>
      <w:r>
        <w:rPr>
          <w:lang w:val="en-US"/>
        </w:rPr>
        <w:t>Considerations</w:t>
      </w:r>
    </w:p>
    <w:p w14:paraId="1B5CD497" w14:textId="50853DDB" w:rsidR="00510505" w:rsidRDefault="00C63DC6" w:rsidP="006465BB">
      <w:r>
        <w:t xml:space="preserve">The current regulation (see Section 1 Intent) state it is relevant to </w:t>
      </w:r>
      <w:r w:rsidRPr="00C63DC6">
        <w:t>fixed point-to-point and point-to-multipoint digital radio systems, in the frequency band 1800-1830 MHz</w:t>
      </w:r>
    </w:p>
    <w:p w14:paraId="22A2D5F9" w14:textId="39354CD5" w:rsidR="0099295F" w:rsidRPr="0099295F" w:rsidRDefault="0099295F" w:rsidP="006465BB">
      <w:pPr>
        <w:rPr>
          <w:b/>
          <w:bCs/>
        </w:rPr>
      </w:pPr>
      <w:r w:rsidRPr="0099295F">
        <w:rPr>
          <w:b/>
          <w:bCs/>
        </w:rPr>
        <w:t>Observation 1 – the regulation is relevant to fixed point-to-point and point-to-multipoint digital radio systems</w:t>
      </w:r>
    </w:p>
    <w:p w14:paraId="69513E12" w14:textId="1FA01BAB" w:rsidR="00510505" w:rsidRDefault="00C63DC6" w:rsidP="006465BB">
      <w:r>
        <w:t>Section 4.2 states “</w:t>
      </w:r>
      <w:r w:rsidRPr="00C63DC6">
        <w:rPr>
          <w:i/>
          <w:iCs/>
        </w:rPr>
        <w:t>Fixed point-to-point and point-to-multipoint radio systems used for the management, operation and maintenance of the electricity supply shall use robust modulation schemes tolerant of interference, and the radio system design shall include link budget margins for self-interference impairments</w:t>
      </w:r>
      <w:r w:rsidRPr="00C63DC6">
        <w:t>.”</w:t>
      </w:r>
    </w:p>
    <w:p w14:paraId="315ABEAD" w14:textId="1C0D5F13" w:rsidR="0099295F" w:rsidRDefault="0099295F" w:rsidP="006465BB">
      <w:r>
        <w:t>Since the regulation allows fixed services, in case of non IoT devices the design is based on large devices (CPEs), possibly with external antennas and more complex components. Moreover, the regulation requires robust techniques tolerant to interference and requires margins to take into account impairments. As such the definition of the channel arrangement (UL</w:t>
      </w:r>
      <w:r w:rsidR="00A11D24">
        <w:t xml:space="preserve"> 1800-1810 MHz; DL 1820-1830 MHz) is considered feasible with state of the art components.</w:t>
      </w:r>
    </w:p>
    <w:p w14:paraId="5C52291D" w14:textId="2B4CFF84" w:rsidR="0099295F" w:rsidRDefault="0099295F" w:rsidP="006465BB">
      <w:pPr>
        <w:rPr>
          <w:b/>
          <w:bCs/>
        </w:rPr>
      </w:pPr>
      <w:r w:rsidRPr="00A11D24">
        <w:rPr>
          <w:b/>
          <w:bCs/>
        </w:rPr>
        <w:t xml:space="preserve">Observation 2 – </w:t>
      </w:r>
      <w:r w:rsidR="00A11D24" w:rsidRPr="00A11D24">
        <w:rPr>
          <w:b/>
          <w:bCs/>
        </w:rPr>
        <w:t>the definition of the channel arrangement (UL 1800-1810 MHz; DL 1820-1830 MHz) is considered feasible with state of the art components, by assuming large devices (CPEs) and margins as requested by the regulation</w:t>
      </w:r>
      <w:r w:rsidRPr="00A11D24">
        <w:rPr>
          <w:b/>
          <w:bCs/>
        </w:rPr>
        <w:t xml:space="preserve">. </w:t>
      </w:r>
    </w:p>
    <w:p w14:paraId="43F338CE" w14:textId="1ED52DD6" w:rsidR="00A11D24" w:rsidRPr="00A11D24" w:rsidRDefault="00A11D24" w:rsidP="006465BB">
      <w:pPr>
        <w:rPr>
          <w:b/>
          <w:bCs/>
        </w:rPr>
      </w:pPr>
      <w:r>
        <w:rPr>
          <w:b/>
          <w:bCs/>
        </w:rPr>
        <w:t xml:space="preserve">Proposal 1 – Specify the channel arrangement FDD, </w:t>
      </w:r>
      <w:r w:rsidRPr="00A11D24">
        <w:rPr>
          <w:b/>
          <w:bCs/>
        </w:rPr>
        <w:t>UL 1800-1810 MHz; DL 1820-1830 MHz</w:t>
      </w:r>
    </w:p>
    <w:p w14:paraId="3665B996" w14:textId="18D264FF" w:rsidR="00C63DC6" w:rsidRDefault="00C63DC6" w:rsidP="00A11D24">
      <w:r>
        <w:t xml:space="preserve">Section 4.2 </w:t>
      </w:r>
      <w:r w:rsidR="00A11D24">
        <w:t>also states “</w:t>
      </w:r>
      <w:r w:rsidRPr="00A11D24">
        <w:rPr>
          <w:i/>
          <w:iCs/>
        </w:rPr>
        <w:t>In order to facilitate assignment of a range of frequencies and bandwidths in the available spectrum, centre frequencies may be assigned on a 125 kHz grid. The centre frequency shall be chosen such that the occupied bandwidth of the emission is contained within the frequency band 1800-1830 MHz</w:t>
      </w:r>
      <w:r w:rsidRPr="00A11D24">
        <w:t>.</w:t>
      </w:r>
      <w:r w:rsidR="00A11D24" w:rsidRPr="00A11D24">
        <w:t>”</w:t>
      </w:r>
    </w:p>
    <w:p w14:paraId="357C4E80" w14:textId="5A7950B2" w:rsidR="00C63DC6" w:rsidRDefault="00A11D24" w:rsidP="00A11D24">
      <w:r>
        <w:t>This is not in line with the assumption in 3GPP of a 100 kHz channel raster. However, the Regulator in their clarification stated “</w:t>
      </w:r>
      <w:r w:rsidR="00C63DC6" w:rsidRPr="00A11D24">
        <w:rPr>
          <w:i/>
          <w:iCs/>
        </w:rPr>
        <w:t>I note that an alternate possibility could also be to adopt a channel plan based on a 100 kHz raster, once it would be defined by 3GPP</w:t>
      </w:r>
      <w:r w:rsidR="00C63DC6" w:rsidRPr="00A11D24">
        <w:t>.</w:t>
      </w:r>
      <w:r w:rsidRPr="00A11D24">
        <w:t>”</w:t>
      </w:r>
    </w:p>
    <w:p w14:paraId="7B199022" w14:textId="727657F4" w:rsidR="00A11D24" w:rsidRDefault="00A11D24" w:rsidP="00A11D24">
      <w:r>
        <w:t>Therefore, it is proposed to specify for the new band a 100 kHz channel raster and subsequently request the Regulator to adapt the rules.</w:t>
      </w:r>
    </w:p>
    <w:p w14:paraId="373C9971" w14:textId="6D14A812" w:rsidR="00A11D24" w:rsidRPr="00A11D24" w:rsidRDefault="00A11D24" w:rsidP="00A11D24">
      <w:pPr>
        <w:rPr>
          <w:b/>
          <w:bCs/>
        </w:rPr>
      </w:pPr>
      <w:r w:rsidRPr="00A11D24">
        <w:rPr>
          <w:b/>
          <w:bCs/>
        </w:rPr>
        <w:t>Observation 3 – the regulation is not in line with the 3GPP channel raster, but the Regulator indicated the willingness to adapt it after completion of the work in 3GPP</w:t>
      </w:r>
    </w:p>
    <w:p w14:paraId="4C80B14D" w14:textId="1F5DF46A" w:rsidR="00A11D24" w:rsidRPr="00A11D24" w:rsidRDefault="00A11D24" w:rsidP="00A11D24">
      <w:pPr>
        <w:rPr>
          <w:b/>
          <w:bCs/>
        </w:rPr>
      </w:pPr>
      <w:r w:rsidRPr="00A11D24">
        <w:rPr>
          <w:b/>
          <w:bCs/>
        </w:rPr>
        <w:t xml:space="preserve">Proposal 2 – specify a 100 kHz channel raster </w:t>
      </w:r>
    </w:p>
    <w:p w14:paraId="72A1D3C6" w14:textId="447E3744" w:rsidR="00564DF7" w:rsidRDefault="00564DF7" w:rsidP="005F649D">
      <w:r>
        <w:t xml:space="preserve">Section 5.2 </w:t>
      </w:r>
      <w:r w:rsidR="005F649D">
        <w:t>states “</w:t>
      </w:r>
      <w:r w:rsidRPr="005F649D">
        <w:rPr>
          <w:i/>
          <w:iCs/>
        </w:rPr>
        <w:t>The transmitter power delivered to the antenna input shall not exceed 2 W in any 1 MHz segment within the channel bandwidth.</w:t>
      </w:r>
      <w:r w:rsidR="005F649D" w:rsidRPr="005F649D">
        <w:rPr>
          <w:i/>
          <w:iCs/>
        </w:rPr>
        <w:t xml:space="preserve"> </w:t>
      </w:r>
      <w:r w:rsidRPr="005F649D">
        <w:rPr>
          <w:i/>
          <w:iCs/>
        </w:rPr>
        <w:t>An increase in transmitter power over the above specified limit may be permitted if technical justification is provided. However, the power delivered to the antenna input shall not exceed 20 W (+ 13 dBW) per channel</w:t>
      </w:r>
      <w:r w:rsidRPr="005F649D">
        <w:t>.</w:t>
      </w:r>
      <w:r w:rsidR="005F649D">
        <w:t>”</w:t>
      </w:r>
    </w:p>
    <w:p w14:paraId="2E326CBA" w14:textId="61D7A93D" w:rsidR="00510505" w:rsidRDefault="00EC7510" w:rsidP="006465BB">
      <w:r>
        <w:t xml:space="preserve">Moreover </w:t>
      </w:r>
      <w:r w:rsidR="00564DF7">
        <w:t xml:space="preserve">Section 5.2.1 </w:t>
      </w:r>
      <w:r>
        <w:t>states “</w:t>
      </w:r>
      <w:r w:rsidR="00564DF7" w:rsidRPr="00EC7510">
        <w:rPr>
          <w:i/>
          <w:iCs/>
        </w:rPr>
        <w:t>Digital systems shall normally have a minimum spectral efficiency of 1 bit/s/Hz on a single polarization. At the discretion of ISED’s regional offices, digital systems with a lower spectral efficiency may be permitted on a case-by-case basis if suitable technical justification is provided</w:t>
      </w:r>
      <w:r w:rsidR="00564DF7" w:rsidRPr="00EC7510">
        <w:t>.</w:t>
      </w:r>
      <w:r w:rsidRPr="00EC7510">
        <w:t>”</w:t>
      </w:r>
    </w:p>
    <w:p w14:paraId="5609B7B1" w14:textId="7EEB1908" w:rsidR="00EC7510" w:rsidRPr="00EC7510" w:rsidRDefault="00EC7510" w:rsidP="00EC7510">
      <w:r>
        <w:t xml:space="preserve">Finally </w:t>
      </w:r>
      <w:r w:rsidRPr="00EC7510">
        <w:t xml:space="preserve">Section 7 </w:t>
      </w:r>
      <w:r>
        <w:t>states “</w:t>
      </w:r>
      <w:r w:rsidRPr="00EC7510">
        <w:rPr>
          <w:i/>
          <w:iCs/>
        </w:rPr>
        <w:t>The maximum equivalent isotropically radiated power (e.i.r.p.) from the antenna shall not, in any case, exceed +55 dBW per RF channel</w:t>
      </w:r>
      <w:r w:rsidRPr="00EC7510">
        <w:t>.</w:t>
      </w:r>
      <w:r>
        <w:t>”</w:t>
      </w:r>
    </w:p>
    <w:p w14:paraId="71985BD9" w14:textId="3F44B322" w:rsidR="00EC7510" w:rsidRPr="00EC7510" w:rsidRDefault="00EC7510" w:rsidP="006465BB">
      <w:pPr>
        <w:rPr>
          <w:b/>
          <w:bCs/>
        </w:rPr>
      </w:pPr>
      <w:r w:rsidRPr="00EC7510">
        <w:rPr>
          <w:b/>
          <w:bCs/>
        </w:rPr>
        <w:t>Observation 4 – The recommended transmitter power allow</w:t>
      </w:r>
      <w:r w:rsidR="007E0A63">
        <w:rPr>
          <w:b/>
          <w:bCs/>
        </w:rPr>
        <w:t>s</w:t>
      </w:r>
      <w:r w:rsidRPr="00EC7510">
        <w:rPr>
          <w:b/>
          <w:bCs/>
        </w:rPr>
        <w:t xml:space="preserve"> the deployment of wide area base stations</w:t>
      </w:r>
    </w:p>
    <w:p w14:paraId="12FEA37B" w14:textId="05F0C62D" w:rsidR="00564DF7" w:rsidRPr="00EC7510" w:rsidRDefault="00564DF7" w:rsidP="00EC7510">
      <w:r>
        <w:t xml:space="preserve">Section 5.2.2 </w:t>
      </w:r>
      <w:r w:rsidR="00EC7510">
        <w:t>states “</w:t>
      </w:r>
      <w:r w:rsidRPr="00EC7510">
        <w:rPr>
          <w:i/>
          <w:iCs/>
        </w:rPr>
        <w:t>In the 1 MHz bands immediately adjacent to the upper and lower limits of the authorized bandwidth, the mean power of emission in any band equal to 1% of the authorized bandwidth shall be attenuated by 43 + 10 log10 (mean output power in watts) dB.</w:t>
      </w:r>
      <w:r w:rsidR="00EC7510" w:rsidRPr="00EC7510">
        <w:rPr>
          <w:i/>
          <w:iCs/>
        </w:rPr>
        <w:t xml:space="preserve"> </w:t>
      </w:r>
      <w:r w:rsidRPr="00EC7510">
        <w:rPr>
          <w:i/>
          <w:iCs/>
        </w:rPr>
        <w:t xml:space="preserve">Beyond the first 1 MHz bands immediately adjacent to the upper and </w:t>
      </w:r>
      <w:r w:rsidRPr="00EC7510">
        <w:rPr>
          <w:i/>
          <w:iCs/>
        </w:rPr>
        <w:lastRenderedPageBreak/>
        <w:t>lower limits of the authorized bandwidth, the mean power of emission in a bandwidth that is equal to 1 MHz shall be attenuated by 43 + 10 log10 (mean output power in watts) dB</w:t>
      </w:r>
      <w:r w:rsidRPr="00EC7510">
        <w:t>.</w:t>
      </w:r>
      <w:r w:rsidR="00EC7510" w:rsidRPr="00EC7510">
        <w:t>”</w:t>
      </w:r>
    </w:p>
    <w:p w14:paraId="4C678122" w14:textId="7C66E1F2" w:rsidR="00EC7510" w:rsidRDefault="00EC7510" w:rsidP="00EC7510">
      <w:pPr>
        <w:rPr>
          <w:b/>
          <w:bCs/>
        </w:rPr>
      </w:pPr>
      <w:r w:rsidRPr="00EC7510">
        <w:rPr>
          <w:b/>
          <w:bCs/>
        </w:rPr>
        <w:t xml:space="preserve">Observation </w:t>
      </w:r>
      <w:r>
        <w:rPr>
          <w:b/>
          <w:bCs/>
        </w:rPr>
        <w:t>5</w:t>
      </w:r>
      <w:r w:rsidRPr="00EC7510">
        <w:rPr>
          <w:b/>
          <w:bCs/>
        </w:rPr>
        <w:t xml:space="preserve"> – The </w:t>
      </w:r>
      <w:r>
        <w:rPr>
          <w:b/>
          <w:bCs/>
        </w:rPr>
        <w:t>regulation provides out-of-band emission limits</w:t>
      </w:r>
    </w:p>
    <w:p w14:paraId="11F70D8F" w14:textId="172B3F04" w:rsidR="00EC7510" w:rsidRPr="00EC7510" w:rsidRDefault="00EC7510" w:rsidP="00EC7510">
      <w:pPr>
        <w:rPr>
          <w:b/>
          <w:bCs/>
        </w:rPr>
      </w:pPr>
      <w:r>
        <w:rPr>
          <w:b/>
          <w:bCs/>
        </w:rPr>
        <w:t>Proposal 3 -specify the most stringent values between the current regulation and 3GPP out-of-band limits for band 3</w:t>
      </w:r>
    </w:p>
    <w:p w14:paraId="3AE68111" w14:textId="3C8EAEBC" w:rsidR="00564DF7" w:rsidRPr="00EC7510" w:rsidRDefault="00564DF7" w:rsidP="00EC7510">
      <w:r>
        <w:t xml:space="preserve">Section 6.2 </w:t>
      </w:r>
      <w:r w:rsidR="00EC7510">
        <w:t>states “</w:t>
      </w:r>
      <w:r w:rsidRPr="00EC7510">
        <w:rPr>
          <w:i/>
          <w:iCs/>
        </w:rPr>
        <w:t>The use of directional antennas is encouraged to reduce interference and facilitate network planning; however, omnidirectional antennas are permitted in some cases</w:t>
      </w:r>
      <w:r w:rsidRPr="00EC7510">
        <w:t>.</w:t>
      </w:r>
      <w:r w:rsidR="00EC7510">
        <w:t>”; “</w:t>
      </w:r>
      <w:r w:rsidRPr="00EC7510">
        <w:rPr>
          <w:i/>
          <w:iCs/>
        </w:rPr>
        <w:t>The gain of base station antennas for point-to-multipoint systems shall be greater than or equal to 7 dBi. Omnidirectional antennas are permitted if they respect this minimum gain</w:t>
      </w:r>
      <w:r w:rsidRPr="00EC7510">
        <w:t>.</w:t>
      </w:r>
      <w:r w:rsidR="00EC7510" w:rsidRPr="00EC7510">
        <w:t>”; “</w:t>
      </w:r>
      <w:r w:rsidRPr="00EC7510">
        <w:rPr>
          <w:i/>
          <w:iCs/>
        </w:rPr>
        <w:t>If the transmitter power density at the antenna input is greater than or equal to 0.25 W/MHz, a terminal station shall make use of a directional antenna, and the antenna gain shall be greater than or equal to 12 dBi. In addition, the 3 dB beam width shall not exceed 30° in vertical and horizontal polarizations, and the front-to-back ratio shall be at least 20 dB.</w:t>
      </w:r>
      <w:r w:rsidR="00EC7510" w:rsidRPr="00EC7510">
        <w:rPr>
          <w:i/>
          <w:iCs/>
        </w:rPr>
        <w:t xml:space="preserve"> </w:t>
      </w:r>
      <w:r w:rsidRPr="00EC7510">
        <w:rPr>
          <w:i/>
          <w:iCs/>
        </w:rPr>
        <w:t>If the transmitter power density at the antenna input is less than 0.25 W/MHz, omnidirectional and directional antennas are permitted</w:t>
      </w:r>
      <w:r w:rsidRPr="00EC7510">
        <w:t>.</w:t>
      </w:r>
      <w:r w:rsidR="00EC7510" w:rsidRPr="00EC7510">
        <w:t>”</w:t>
      </w:r>
    </w:p>
    <w:p w14:paraId="0B0069E4" w14:textId="215781FC" w:rsidR="00EC7510" w:rsidRDefault="00EC7510" w:rsidP="00EC7510">
      <w:pPr>
        <w:rPr>
          <w:b/>
          <w:bCs/>
        </w:rPr>
      </w:pPr>
      <w:r w:rsidRPr="00EC7510">
        <w:rPr>
          <w:b/>
          <w:bCs/>
        </w:rPr>
        <w:t xml:space="preserve">Observation </w:t>
      </w:r>
      <w:r>
        <w:rPr>
          <w:b/>
          <w:bCs/>
        </w:rPr>
        <w:t>6</w:t>
      </w:r>
      <w:r w:rsidRPr="00EC7510">
        <w:rPr>
          <w:b/>
          <w:bCs/>
        </w:rPr>
        <w:t xml:space="preserve"> – The </w:t>
      </w:r>
      <w:r>
        <w:rPr>
          <w:b/>
          <w:bCs/>
        </w:rPr>
        <w:t>regulation allows the use o</w:t>
      </w:r>
      <w:r w:rsidR="005376B1">
        <w:rPr>
          <w:b/>
          <w:bCs/>
        </w:rPr>
        <w:t>f UEs with omni directional antennas and power class of 23 dBm. The use of large devices (CPEs) with directional antennas is encouraged.</w:t>
      </w:r>
    </w:p>
    <w:p w14:paraId="3F8BEA58" w14:textId="3DBDE7E1" w:rsidR="009C37D0" w:rsidRDefault="00FA01C7" w:rsidP="009C37D0">
      <w:pPr>
        <w:pStyle w:val="Titolo1"/>
        <w:tabs>
          <w:tab w:val="clear" w:pos="432"/>
          <w:tab w:val="num" w:pos="522"/>
        </w:tabs>
        <w:ind w:left="522" w:hanging="522"/>
        <w:rPr>
          <w:lang w:val="en-US"/>
        </w:rPr>
      </w:pPr>
      <w:r>
        <w:rPr>
          <w:lang w:val="en-US"/>
        </w:rPr>
        <w:t>Conclusion</w:t>
      </w:r>
    </w:p>
    <w:p w14:paraId="02CF9287" w14:textId="0D784B88" w:rsidR="007E0A63" w:rsidRDefault="007E0A63" w:rsidP="001903FE">
      <w:pPr>
        <w:ind w:right="1"/>
        <w:rPr>
          <w:lang w:val="en-US"/>
        </w:rPr>
      </w:pPr>
      <w:r>
        <w:rPr>
          <w:lang w:val="en-US"/>
        </w:rPr>
        <w:t>This document provides the status of the current regulation and a clarification letter from the Canadian Regulator. Based on that, the following observation and proposals are made:</w:t>
      </w:r>
    </w:p>
    <w:p w14:paraId="285CDAC2" w14:textId="77777777" w:rsidR="007E0A63" w:rsidRPr="0099295F" w:rsidRDefault="007E0A63" w:rsidP="007E0A63">
      <w:pPr>
        <w:rPr>
          <w:b/>
          <w:bCs/>
        </w:rPr>
      </w:pPr>
      <w:r w:rsidRPr="0099295F">
        <w:rPr>
          <w:b/>
          <w:bCs/>
        </w:rPr>
        <w:t>Observation 1 – the regulation is relevant to fixed point-to-point and point-to-multipoint digital radio systems</w:t>
      </w:r>
    </w:p>
    <w:p w14:paraId="24A9C5C7" w14:textId="77777777" w:rsidR="007E0A63" w:rsidRDefault="007E0A63" w:rsidP="007E0A63">
      <w:pPr>
        <w:rPr>
          <w:b/>
          <w:bCs/>
        </w:rPr>
      </w:pPr>
      <w:r w:rsidRPr="00A11D24">
        <w:rPr>
          <w:b/>
          <w:bCs/>
        </w:rPr>
        <w:t xml:space="preserve">Observation 2 – the definition of the channel arrangement (UL 1800-1810 MHz; DL 1820-1830 MHz) is considered feasible with state of the art components, by assuming large devices (CPEs) and margins as requested by the regulation. </w:t>
      </w:r>
    </w:p>
    <w:p w14:paraId="201531D2" w14:textId="77777777" w:rsidR="007E0A63" w:rsidRPr="00A11D24" w:rsidRDefault="007E0A63" w:rsidP="007E0A63">
      <w:pPr>
        <w:rPr>
          <w:b/>
          <w:bCs/>
        </w:rPr>
      </w:pPr>
      <w:r>
        <w:rPr>
          <w:b/>
          <w:bCs/>
        </w:rPr>
        <w:t xml:space="preserve">Proposal 1 – Specify the channel arrangement FDD, </w:t>
      </w:r>
      <w:r w:rsidRPr="00A11D24">
        <w:rPr>
          <w:b/>
          <w:bCs/>
        </w:rPr>
        <w:t>UL 1800-1810 MHz; DL 1820-1830 MHz</w:t>
      </w:r>
    </w:p>
    <w:p w14:paraId="175CAEA6" w14:textId="77777777" w:rsidR="007E0A63" w:rsidRPr="00A11D24" w:rsidRDefault="007E0A63" w:rsidP="007E0A63">
      <w:pPr>
        <w:rPr>
          <w:b/>
          <w:bCs/>
        </w:rPr>
      </w:pPr>
      <w:r w:rsidRPr="00A11D24">
        <w:rPr>
          <w:b/>
          <w:bCs/>
        </w:rPr>
        <w:t>Observation 3 – the regulation is not in line with the 3GPP channel raster, but the Regulator indicated the willingness to adapt it after completion of the work in 3GPP</w:t>
      </w:r>
    </w:p>
    <w:p w14:paraId="59A4DCD0" w14:textId="77777777" w:rsidR="007E0A63" w:rsidRPr="00A11D24" w:rsidRDefault="007E0A63" w:rsidP="007E0A63">
      <w:pPr>
        <w:rPr>
          <w:b/>
          <w:bCs/>
        </w:rPr>
      </w:pPr>
      <w:r w:rsidRPr="00A11D24">
        <w:rPr>
          <w:b/>
          <w:bCs/>
        </w:rPr>
        <w:t xml:space="preserve">Proposal 2 – specify a 100 kHz channel raster </w:t>
      </w:r>
    </w:p>
    <w:p w14:paraId="0DA232B5" w14:textId="77777777" w:rsidR="007E0A63" w:rsidRPr="00EC7510" w:rsidRDefault="007E0A63" w:rsidP="007E0A63">
      <w:pPr>
        <w:rPr>
          <w:b/>
          <w:bCs/>
        </w:rPr>
      </w:pPr>
      <w:r w:rsidRPr="00EC7510">
        <w:rPr>
          <w:b/>
          <w:bCs/>
        </w:rPr>
        <w:t>Observation 4 – The recommended transmitter power allow</w:t>
      </w:r>
      <w:r>
        <w:rPr>
          <w:b/>
          <w:bCs/>
        </w:rPr>
        <w:t>s</w:t>
      </w:r>
      <w:r w:rsidRPr="00EC7510">
        <w:rPr>
          <w:b/>
          <w:bCs/>
        </w:rPr>
        <w:t xml:space="preserve"> the deployment of wide area base stations</w:t>
      </w:r>
    </w:p>
    <w:p w14:paraId="1B20A3AA" w14:textId="77777777" w:rsidR="005D5ADE" w:rsidRDefault="005D5ADE" w:rsidP="005D5ADE">
      <w:pPr>
        <w:rPr>
          <w:b/>
          <w:bCs/>
        </w:rPr>
      </w:pPr>
      <w:r w:rsidRPr="00EC7510">
        <w:rPr>
          <w:b/>
          <w:bCs/>
        </w:rPr>
        <w:t xml:space="preserve">Observation </w:t>
      </w:r>
      <w:r>
        <w:rPr>
          <w:b/>
          <w:bCs/>
        </w:rPr>
        <w:t>5</w:t>
      </w:r>
      <w:r w:rsidRPr="00EC7510">
        <w:rPr>
          <w:b/>
          <w:bCs/>
        </w:rPr>
        <w:t xml:space="preserve"> – The </w:t>
      </w:r>
      <w:r>
        <w:rPr>
          <w:b/>
          <w:bCs/>
        </w:rPr>
        <w:t>regulation provides out-of-band emission limits</w:t>
      </w:r>
    </w:p>
    <w:p w14:paraId="4E3368F4" w14:textId="77777777" w:rsidR="005D5ADE" w:rsidRPr="00EC7510" w:rsidRDefault="005D5ADE" w:rsidP="005D5ADE">
      <w:pPr>
        <w:rPr>
          <w:b/>
          <w:bCs/>
        </w:rPr>
      </w:pPr>
      <w:r>
        <w:rPr>
          <w:b/>
          <w:bCs/>
        </w:rPr>
        <w:t>Proposal 3 -specify the most stringent values between the current regulation and 3GPP out-of-band limits for band 3</w:t>
      </w:r>
    </w:p>
    <w:p w14:paraId="45469B18" w14:textId="77777777" w:rsidR="005D5ADE" w:rsidRDefault="005D5ADE" w:rsidP="005D5ADE">
      <w:pPr>
        <w:rPr>
          <w:b/>
          <w:bCs/>
        </w:rPr>
      </w:pPr>
      <w:r w:rsidRPr="00EC7510">
        <w:rPr>
          <w:b/>
          <w:bCs/>
        </w:rPr>
        <w:t xml:space="preserve">Observation </w:t>
      </w:r>
      <w:r>
        <w:rPr>
          <w:b/>
          <w:bCs/>
        </w:rPr>
        <w:t>6</w:t>
      </w:r>
      <w:r w:rsidRPr="00EC7510">
        <w:rPr>
          <w:b/>
          <w:bCs/>
        </w:rPr>
        <w:t xml:space="preserve"> – The </w:t>
      </w:r>
      <w:r>
        <w:rPr>
          <w:b/>
          <w:bCs/>
        </w:rPr>
        <w:t>regulation allows the use of UEs with omni directional antennas and power class of 23 dBm. The use of large devices (CPEs) with directional antennas is encouraged.</w:t>
      </w:r>
    </w:p>
    <w:p w14:paraId="370EE77B" w14:textId="7034EC14" w:rsidR="0090577D" w:rsidRDefault="0090577D" w:rsidP="00505D2D">
      <w:pPr>
        <w:pStyle w:val="Titolo1"/>
        <w:numPr>
          <w:ilvl w:val="0"/>
          <w:numId w:val="0"/>
        </w:numPr>
        <w:ind w:left="432" w:hanging="432"/>
        <w:rPr>
          <w:lang w:val="en-US"/>
        </w:rPr>
      </w:pPr>
      <w:r>
        <w:rPr>
          <w:lang w:val="en-US"/>
        </w:rPr>
        <w:t>Reference</w:t>
      </w:r>
    </w:p>
    <w:p w14:paraId="612FB374" w14:textId="49976C7C" w:rsidR="007D54C6" w:rsidRDefault="007E424D" w:rsidP="00D23312">
      <w:pPr>
        <w:numPr>
          <w:ilvl w:val="0"/>
          <w:numId w:val="2"/>
        </w:numPr>
        <w:tabs>
          <w:tab w:val="left" w:pos="1080"/>
        </w:tabs>
        <w:rPr>
          <w:lang w:val="en-US" w:eastAsia="x-none"/>
        </w:rPr>
      </w:pPr>
      <w:bookmarkStart w:id="0"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r w:rsidRPr="007E424D">
        <w:rPr>
          <w:lang w:val="en-US" w:eastAsia="x-none"/>
        </w:rPr>
        <w:t>Novamint, Sequans, Semtech, Telit, Ubiik</w:t>
      </w:r>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37"/>
      <w:footerReference w:type="default" r:id="rId3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5879E" w14:textId="77777777" w:rsidR="00CF6F5B" w:rsidRDefault="00CF6F5B">
      <w:r>
        <w:separator/>
      </w:r>
    </w:p>
  </w:endnote>
  <w:endnote w:type="continuationSeparator" w:id="0">
    <w:p w14:paraId="1CF16133" w14:textId="77777777" w:rsidR="00CF6F5B" w:rsidRDefault="00CF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46E7" w14:textId="77777777" w:rsidR="00CF6F5B" w:rsidRDefault="00CF6F5B">
      <w:r>
        <w:separator/>
      </w:r>
    </w:p>
  </w:footnote>
  <w:footnote w:type="continuationSeparator" w:id="0">
    <w:p w14:paraId="40FBC13C" w14:textId="77777777" w:rsidR="00CF6F5B" w:rsidRDefault="00CF6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17009C"/>
    <w:multiLevelType w:val="multilevel"/>
    <w:tmpl w:val="021AF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77802"/>
    <w:multiLevelType w:val="multilevel"/>
    <w:tmpl w:val="7BFCF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4F59F0"/>
    <w:multiLevelType w:val="multilevel"/>
    <w:tmpl w:val="904ADE7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none"/>
      <w:pStyle w:val="Titolo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Titolo5"/>
      <w:lvlText w:val="%1.%2.%3.%4%5.%6"/>
      <w:lvlJc w:val="left"/>
      <w:pPr>
        <w:tabs>
          <w:tab w:val="num" w:pos="1436"/>
        </w:tabs>
        <w:ind w:left="1436"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0C3FD6"/>
    <w:multiLevelType w:val="hybridMultilevel"/>
    <w:tmpl w:val="DC72B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CB0286"/>
    <w:multiLevelType w:val="hybridMultilevel"/>
    <w:tmpl w:val="18EA34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867F9"/>
    <w:multiLevelType w:val="multilevel"/>
    <w:tmpl w:val="3274E7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10"/>
  </w:num>
  <w:num w:numId="3">
    <w:abstractNumId w:val="12"/>
  </w:num>
  <w:num w:numId="4">
    <w:abstractNumId w:val="14"/>
  </w:num>
  <w:num w:numId="5">
    <w:abstractNumId w:val="9"/>
  </w:num>
  <w:num w:numId="6">
    <w:abstractNumId w:val="3"/>
  </w:num>
  <w:num w:numId="7">
    <w:abstractNumId w:val="0"/>
  </w:num>
  <w:num w:numId="8">
    <w:abstractNumId w:val="11"/>
  </w:num>
  <w:num w:numId="9">
    <w:abstractNumId w:val="4"/>
  </w:num>
  <w:num w:numId="10">
    <w:abstractNumId w:val="7"/>
  </w:num>
  <w:num w:numId="11">
    <w:abstractNumId w:val="15"/>
  </w:num>
  <w:num w:numId="12">
    <w:abstractNumId w:val="1"/>
  </w:num>
  <w:num w:numId="13">
    <w:abstractNumId w:val="13"/>
  </w:num>
  <w:num w:numId="14">
    <w:abstractNumId w:val="16"/>
  </w:num>
  <w:num w:numId="15">
    <w:abstractNumId w:val="8"/>
  </w:num>
  <w:num w:numId="16">
    <w:abstractNumId w:val="5"/>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9AD"/>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1DCD"/>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1CD"/>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0F7D"/>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1C"/>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8D8"/>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3C7"/>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505"/>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6B1"/>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0AC9"/>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4DF7"/>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5ADE"/>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49D"/>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C5F"/>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BF4"/>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0A63"/>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AD3"/>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9EA"/>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3CBF"/>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2E4"/>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295F"/>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81E"/>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68"/>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D24"/>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B89"/>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892"/>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0A9"/>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DC6"/>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9B1"/>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147"/>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3E16"/>
    <w:rsid w:val="00CF438D"/>
    <w:rsid w:val="00CF4485"/>
    <w:rsid w:val="00CF46FD"/>
    <w:rsid w:val="00CF4BAE"/>
    <w:rsid w:val="00CF4C82"/>
    <w:rsid w:val="00CF525D"/>
    <w:rsid w:val="00CF53F3"/>
    <w:rsid w:val="00CF5FDE"/>
    <w:rsid w:val="00CF6354"/>
    <w:rsid w:val="00CF65B9"/>
    <w:rsid w:val="00CF670E"/>
    <w:rsid w:val="00CF69C5"/>
    <w:rsid w:val="00CF6E0A"/>
    <w:rsid w:val="00CF6F5B"/>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741"/>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D3A"/>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219"/>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AE4"/>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510"/>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8CF"/>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ACD"/>
    <w:rsid w:val="00F04D2A"/>
    <w:rsid w:val="00F0573E"/>
    <w:rsid w:val="00F0574F"/>
    <w:rsid w:val="00F05AE4"/>
    <w:rsid w:val="00F05D3A"/>
    <w:rsid w:val="00F05F8A"/>
    <w:rsid w:val="00F0623C"/>
    <w:rsid w:val="00F06291"/>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9DA"/>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Cit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uiPriority w:val="99"/>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uiPriority w:val="99"/>
    <w:qFormat/>
    <w:rsid w:val="00F1468E"/>
    <w:pPr>
      <w:numPr>
        <w:ilvl w:val="5"/>
      </w:numPr>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uiPriority w:val="99"/>
    <w:qFormat/>
    <w:rsid w:val="00F1468E"/>
    <w:pPr>
      <w:numPr>
        <w:ilvl w:val="6"/>
      </w:numPr>
      <w:outlineLvl w:val="6"/>
    </w:pPr>
  </w:style>
  <w:style w:type="paragraph" w:styleId="Titolo8">
    <w:name w:val="heading 8"/>
    <w:basedOn w:val="Titolo1"/>
    <w:next w:val="Normale"/>
    <w:link w:val="Titolo8Carattere"/>
    <w:uiPriority w:val="99"/>
    <w:qFormat/>
    <w:rsid w:val="00F1468E"/>
    <w:pPr>
      <w:numPr>
        <w:ilvl w:val="7"/>
      </w:numPr>
      <w:outlineLvl w:val="7"/>
    </w:pPr>
  </w:style>
  <w:style w:type="paragraph" w:styleId="Titolo9">
    <w:name w:val="heading 9"/>
    <w:basedOn w:val="Titolo8"/>
    <w:next w:val="Normale"/>
    <w:uiPriority w:val="99"/>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uiPriority w:val="99"/>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uiPriority w:val="99"/>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3"/>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uiPriority w:val="99"/>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10"/>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numPr>
        <w:ilvl w:val="0"/>
        <w:numId w:val="0"/>
      </w:numPr>
      <w:spacing w:before="24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mrgn-bttm-lg">
    <w:name w:val="mrgn-bttm-lg"/>
    <w:basedOn w:val="Normale"/>
    <w:rsid w:val="008419EA"/>
    <w:pPr>
      <w:spacing w:before="100" w:beforeAutospacing="1" w:after="100" w:afterAutospacing="1"/>
    </w:pPr>
    <w:rPr>
      <w:sz w:val="24"/>
      <w:szCs w:val="24"/>
      <w:lang w:eastAsia="en-GB"/>
    </w:rPr>
  </w:style>
  <w:style w:type="paragraph" w:customStyle="1" w:styleId="mrgn-tp-md">
    <w:name w:val="mrgn-tp-md"/>
    <w:basedOn w:val="Normale"/>
    <w:rsid w:val="008419EA"/>
    <w:pPr>
      <w:spacing w:before="100" w:beforeAutospacing="1" w:after="100" w:afterAutospacing="1"/>
    </w:pPr>
    <w:rPr>
      <w:sz w:val="24"/>
      <w:szCs w:val="24"/>
      <w:lang w:eastAsia="en-GB"/>
    </w:rPr>
  </w:style>
  <w:style w:type="character" w:customStyle="1" w:styleId="nowrap">
    <w:name w:val="nowrap"/>
    <w:basedOn w:val="Carpredefinitoparagrafo"/>
    <w:rsid w:val="008419EA"/>
  </w:style>
  <w:style w:type="character" w:styleId="CitazioneHTML">
    <w:name w:val="HTML Cite"/>
    <w:basedOn w:val="Carpredefinitoparagrafo"/>
    <w:uiPriority w:val="99"/>
    <w:unhideWhenUsed/>
    <w:rsid w:val="008419EA"/>
    <w:rPr>
      <w:i/>
      <w:iCs/>
    </w:rPr>
  </w:style>
  <w:style w:type="paragraph" w:customStyle="1" w:styleId="mrgn-tp-xl">
    <w:name w:val="mrgn-tp-xl"/>
    <w:basedOn w:val="Normale"/>
    <w:rsid w:val="008419EA"/>
    <w:pPr>
      <w:spacing w:before="100" w:beforeAutospacing="1" w:after="100" w:afterAutospacing="1"/>
    </w:pPr>
    <w:rPr>
      <w:sz w:val="24"/>
      <w:szCs w:val="24"/>
      <w:lang w:eastAsia="en-GB"/>
    </w:rPr>
  </w:style>
  <w:style w:type="paragraph" w:customStyle="1" w:styleId="mrgn-bttm-md">
    <w:name w:val="mrgn-bttm-md"/>
    <w:basedOn w:val="Normale"/>
    <w:rsid w:val="008419EA"/>
    <w:pPr>
      <w:spacing w:before="100" w:beforeAutospacing="1" w:after="100" w:afterAutospacing="1"/>
    </w:pPr>
    <w:rPr>
      <w:sz w:val="24"/>
      <w:szCs w:val="24"/>
      <w:lang w:eastAsia="en-GB"/>
    </w:rPr>
  </w:style>
  <w:style w:type="paragraph" w:customStyle="1" w:styleId="small">
    <w:name w:val="small"/>
    <w:basedOn w:val="Normale"/>
    <w:rsid w:val="008419EA"/>
    <w:pPr>
      <w:spacing w:before="100" w:beforeAutospacing="1" w:after="100" w:afterAutospacing="1"/>
    </w:pPr>
    <w:rPr>
      <w:sz w:val="24"/>
      <w:szCs w:val="24"/>
      <w:lang w:eastAsia="en-GB"/>
    </w:rPr>
  </w:style>
  <w:style w:type="character" w:customStyle="1" w:styleId="wb-inv">
    <w:name w:val="wb-inv"/>
    <w:basedOn w:val="Carpredefinitoparagrafo"/>
    <w:rsid w:val="008419EA"/>
  </w:style>
  <w:style w:type="character" w:customStyle="1" w:styleId="wb-init">
    <w:name w:val="wb-init"/>
    <w:basedOn w:val="Carpredefinitoparagrafo"/>
    <w:rsid w:val="00841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24723766">
      <w:bodyDiv w:val="1"/>
      <w:marLeft w:val="0"/>
      <w:marRight w:val="0"/>
      <w:marTop w:val="0"/>
      <w:marBottom w:val="0"/>
      <w:divBdr>
        <w:top w:val="none" w:sz="0" w:space="0" w:color="auto"/>
        <w:left w:val="none" w:sz="0" w:space="0" w:color="auto"/>
        <w:bottom w:val="none" w:sz="0" w:space="0" w:color="auto"/>
        <w:right w:val="none" w:sz="0" w:space="0" w:color="auto"/>
      </w:divBdr>
      <w:divsChild>
        <w:div w:id="1348479753">
          <w:marLeft w:val="0"/>
          <w:marRight w:val="0"/>
          <w:marTop w:val="0"/>
          <w:marBottom w:val="0"/>
          <w:divBdr>
            <w:top w:val="none" w:sz="0" w:space="0" w:color="auto"/>
            <w:left w:val="none" w:sz="0" w:space="0" w:color="auto"/>
            <w:bottom w:val="none" w:sz="0" w:space="0" w:color="auto"/>
            <w:right w:val="none" w:sz="0" w:space="0" w:color="auto"/>
          </w:divBdr>
          <w:divsChild>
            <w:div w:id="1547985847">
              <w:marLeft w:val="0"/>
              <w:marRight w:val="0"/>
              <w:marTop w:val="0"/>
              <w:marBottom w:val="0"/>
              <w:divBdr>
                <w:top w:val="none" w:sz="0" w:space="0" w:color="auto"/>
                <w:left w:val="none" w:sz="0" w:space="0" w:color="auto"/>
                <w:bottom w:val="none" w:sz="0" w:space="0" w:color="auto"/>
                <w:right w:val="none" w:sz="0" w:space="0" w:color="auto"/>
              </w:divBdr>
              <w:divsChild>
                <w:div w:id="2368734">
                  <w:marLeft w:val="-225"/>
                  <w:marRight w:val="-225"/>
                  <w:marTop w:val="0"/>
                  <w:marBottom w:val="0"/>
                  <w:divBdr>
                    <w:top w:val="none" w:sz="0" w:space="0" w:color="auto"/>
                    <w:left w:val="none" w:sz="0" w:space="0" w:color="auto"/>
                    <w:bottom w:val="none" w:sz="0" w:space="0" w:color="auto"/>
                    <w:right w:val="none" w:sz="0" w:space="0" w:color="auto"/>
                  </w:divBdr>
                  <w:divsChild>
                    <w:div w:id="328287726">
                      <w:marLeft w:val="0"/>
                      <w:marRight w:val="0"/>
                      <w:marTop w:val="0"/>
                      <w:marBottom w:val="0"/>
                      <w:divBdr>
                        <w:top w:val="none" w:sz="0" w:space="0" w:color="auto"/>
                        <w:left w:val="none" w:sz="0" w:space="0" w:color="auto"/>
                        <w:bottom w:val="none" w:sz="0" w:space="0" w:color="auto"/>
                        <w:right w:val="none" w:sz="0" w:space="0" w:color="auto"/>
                      </w:divBdr>
                      <w:divsChild>
                        <w:div w:id="36972767">
                          <w:marLeft w:val="0"/>
                          <w:marRight w:val="0"/>
                          <w:marTop w:val="0"/>
                          <w:marBottom w:val="0"/>
                          <w:divBdr>
                            <w:top w:val="none" w:sz="0" w:space="0" w:color="auto"/>
                            <w:left w:val="none" w:sz="0" w:space="0" w:color="auto"/>
                            <w:bottom w:val="none" w:sz="0" w:space="0" w:color="auto"/>
                            <w:right w:val="none" w:sz="0" w:space="0" w:color="auto"/>
                          </w:divBdr>
                          <w:divsChild>
                            <w:div w:id="1815180446">
                              <w:marLeft w:val="0"/>
                              <w:marRight w:val="0"/>
                              <w:marTop w:val="0"/>
                              <w:marBottom w:val="0"/>
                              <w:divBdr>
                                <w:top w:val="none" w:sz="0" w:space="0" w:color="auto"/>
                                <w:left w:val="none" w:sz="0" w:space="0" w:color="auto"/>
                                <w:bottom w:val="none" w:sz="0" w:space="0" w:color="auto"/>
                                <w:right w:val="none" w:sz="0" w:space="0" w:color="auto"/>
                              </w:divBdr>
                              <w:divsChild>
                                <w:div w:id="946349765">
                                  <w:marLeft w:val="0"/>
                                  <w:marRight w:val="0"/>
                                  <w:marTop w:val="0"/>
                                  <w:marBottom w:val="0"/>
                                  <w:divBdr>
                                    <w:top w:val="none" w:sz="0" w:space="0" w:color="auto"/>
                                    <w:left w:val="none" w:sz="0" w:space="0" w:color="auto"/>
                                    <w:bottom w:val="none" w:sz="0" w:space="0" w:color="auto"/>
                                    <w:right w:val="none" w:sz="0" w:space="0" w:color="auto"/>
                                  </w:divBdr>
                                  <w:divsChild>
                                    <w:div w:id="1365248843">
                                      <w:marLeft w:val="-225"/>
                                      <w:marRight w:val="-225"/>
                                      <w:marTop w:val="450"/>
                                      <w:marBottom w:val="0"/>
                                      <w:divBdr>
                                        <w:top w:val="none" w:sz="0" w:space="0" w:color="auto"/>
                                        <w:left w:val="none" w:sz="0" w:space="0" w:color="auto"/>
                                        <w:bottom w:val="none" w:sz="0" w:space="0" w:color="auto"/>
                                        <w:right w:val="none" w:sz="0" w:space="0" w:color="auto"/>
                                      </w:divBdr>
                                      <w:divsChild>
                                        <w:div w:id="163802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329747">
                      <w:marLeft w:val="-225"/>
                      <w:marRight w:val="-225"/>
                      <w:marTop w:val="0"/>
                      <w:marBottom w:val="0"/>
                      <w:divBdr>
                        <w:top w:val="none" w:sz="0" w:space="0" w:color="auto"/>
                        <w:left w:val="none" w:sz="0" w:space="0" w:color="auto"/>
                        <w:bottom w:val="none" w:sz="0" w:space="0" w:color="auto"/>
                        <w:right w:val="none" w:sz="0" w:space="0" w:color="auto"/>
                      </w:divBdr>
                      <w:divsChild>
                        <w:div w:id="1413159179">
                          <w:marLeft w:val="0"/>
                          <w:marRight w:val="0"/>
                          <w:marTop w:val="0"/>
                          <w:marBottom w:val="0"/>
                          <w:divBdr>
                            <w:top w:val="none" w:sz="0" w:space="0" w:color="auto"/>
                            <w:left w:val="none" w:sz="0" w:space="0" w:color="auto"/>
                            <w:bottom w:val="none" w:sz="0" w:space="0" w:color="auto"/>
                            <w:right w:val="none" w:sz="0" w:space="0" w:color="auto"/>
                          </w:divBdr>
                          <w:divsChild>
                            <w:div w:id="943266850">
                              <w:marLeft w:val="-225"/>
                              <w:marRight w:val="-225"/>
                              <w:marTop w:val="0"/>
                              <w:marBottom w:val="0"/>
                              <w:divBdr>
                                <w:top w:val="none" w:sz="0" w:space="0" w:color="auto"/>
                                <w:left w:val="none" w:sz="0" w:space="0" w:color="auto"/>
                                <w:bottom w:val="none" w:sz="0" w:space="0" w:color="auto"/>
                                <w:right w:val="none" w:sz="0" w:space="0" w:color="auto"/>
                              </w:divBdr>
                              <w:divsChild>
                                <w:div w:id="1764299552">
                                  <w:marLeft w:val="0"/>
                                  <w:marRight w:val="0"/>
                                  <w:marTop w:val="0"/>
                                  <w:marBottom w:val="75"/>
                                  <w:divBdr>
                                    <w:top w:val="none" w:sz="0" w:space="0" w:color="auto"/>
                                    <w:left w:val="none" w:sz="0" w:space="0" w:color="auto"/>
                                    <w:bottom w:val="none" w:sz="0" w:space="0" w:color="auto"/>
                                    <w:right w:val="none" w:sz="0" w:space="0" w:color="auto"/>
                                  </w:divBdr>
                                </w:div>
                                <w:div w:id="106734174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015957346">
              <w:marLeft w:val="0"/>
              <w:marRight w:val="0"/>
              <w:marTop w:val="0"/>
              <w:marBottom w:val="0"/>
              <w:divBdr>
                <w:top w:val="none" w:sz="0" w:space="0" w:color="auto"/>
                <w:left w:val="none" w:sz="0" w:space="0" w:color="auto"/>
                <w:bottom w:val="none" w:sz="0" w:space="0" w:color="auto"/>
                <w:right w:val="none" w:sz="0" w:space="0" w:color="auto"/>
              </w:divBdr>
              <w:divsChild>
                <w:div w:id="1820146825">
                  <w:marLeft w:val="0"/>
                  <w:marRight w:val="0"/>
                  <w:marTop w:val="0"/>
                  <w:marBottom w:val="0"/>
                  <w:divBdr>
                    <w:top w:val="none" w:sz="0" w:space="0" w:color="auto"/>
                    <w:left w:val="none" w:sz="0" w:space="0" w:color="auto"/>
                    <w:bottom w:val="none" w:sz="0" w:space="0" w:color="auto"/>
                    <w:right w:val="none" w:sz="0" w:space="0" w:color="auto"/>
                  </w:divBdr>
                  <w:divsChild>
                    <w:div w:id="16528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926815">
              <w:marLeft w:val="0"/>
              <w:marRight w:val="0"/>
              <w:marTop w:val="0"/>
              <w:marBottom w:val="0"/>
              <w:divBdr>
                <w:top w:val="none" w:sz="0" w:space="0" w:color="auto"/>
                <w:left w:val="none" w:sz="0" w:space="0" w:color="auto"/>
                <w:bottom w:val="none" w:sz="0" w:space="0" w:color="auto"/>
                <w:right w:val="none" w:sz="0" w:space="0" w:color="auto"/>
              </w:divBdr>
              <w:divsChild>
                <w:div w:id="17239572">
                  <w:marLeft w:val="0"/>
                  <w:marRight w:val="0"/>
                  <w:marTop w:val="0"/>
                  <w:marBottom w:val="0"/>
                  <w:divBdr>
                    <w:top w:val="none" w:sz="0" w:space="0" w:color="auto"/>
                    <w:left w:val="none" w:sz="0" w:space="0" w:color="auto"/>
                    <w:bottom w:val="none" w:sz="0" w:space="0" w:color="auto"/>
                    <w:right w:val="none" w:sz="0" w:space="0" w:color="auto"/>
                  </w:divBdr>
                  <w:divsChild>
                    <w:div w:id="1286306538">
                      <w:marLeft w:val="-225"/>
                      <w:marRight w:val="-225"/>
                      <w:marTop w:val="0"/>
                      <w:marBottom w:val="0"/>
                      <w:divBdr>
                        <w:top w:val="none" w:sz="0" w:space="0" w:color="auto"/>
                        <w:left w:val="none" w:sz="0" w:space="0" w:color="auto"/>
                        <w:bottom w:val="none" w:sz="0" w:space="0" w:color="auto"/>
                        <w:right w:val="none" w:sz="0" w:space="0" w:color="auto"/>
                      </w:divBdr>
                      <w:divsChild>
                        <w:div w:id="147864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7565999">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0243295">
      <w:bodyDiv w:val="1"/>
      <w:marLeft w:val="0"/>
      <w:marRight w:val="0"/>
      <w:marTop w:val="0"/>
      <w:marBottom w:val="0"/>
      <w:divBdr>
        <w:top w:val="none" w:sz="0" w:space="0" w:color="auto"/>
        <w:left w:val="none" w:sz="0" w:space="0" w:color="auto"/>
        <w:bottom w:val="none" w:sz="0" w:space="0" w:color="auto"/>
        <w:right w:val="none" w:sz="0" w:space="0" w:color="auto"/>
      </w:divBdr>
    </w:div>
    <w:div w:id="559753566">
      <w:bodyDiv w:val="1"/>
      <w:marLeft w:val="0"/>
      <w:marRight w:val="0"/>
      <w:marTop w:val="0"/>
      <w:marBottom w:val="0"/>
      <w:divBdr>
        <w:top w:val="none" w:sz="0" w:space="0" w:color="auto"/>
        <w:left w:val="none" w:sz="0" w:space="0" w:color="auto"/>
        <w:bottom w:val="none" w:sz="0" w:space="0" w:color="auto"/>
        <w:right w:val="none" w:sz="0" w:space="0" w:color="auto"/>
      </w:divBdr>
      <w:divsChild>
        <w:div w:id="716779816">
          <w:marLeft w:val="0"/>
          <w:marRight w:val="0"/>
          <w:marTop w:val="0"/>
          <w:marBottom w:val="0"/>
          <w:divBdr>
            <w:top w:val="none" w:sz="0" w:space="0" w:color="auto"/>
            <w:left w:val="none" w:sz="0" w:space="0" w:color="auto"/>
            <w:bottom w:val="none" w:sz="0" w:space="0" w:color="auto"/>
            <w:right w:val="none" w:sz="0" w:space="0" w:color="auto"/>
          </w:divBdr>
        </w:div>
        <w:div w:id="1854025755">
          <w:marLeft w:val="0"/>
          <w:marRight w:val="0"/>
          <w:marTop w:val="0"/>
          <w:marBottom w:val="0"/>
          <w:divBdr>
            <w:top w:val="none" w:sz="0" w:space="0" w:color="auto"/>
            <w:left w:val="none" w:sz="0" w:space="0" w:color="auto"/>
            <w:bottom w:val="none" w:sz="0" w:space="0" w:color="auto"/>
            <w:right w:val="none" w:sz="0" w:space="0" w:color="auto"/>
          </w:divBdr>
          <w:divsChild>
            <w:div w:id="338891283">
              <w:marLeft w:val="0"/>
              <w:marRight w:val="0"/>
              <w:marTop w:val="0"/>
              <w:marBottom w:val="0"/>
              <w:divBdr>
                <w:top w:val="none" w:sz="0" w:space="0" w:color="auto"/>
                <w:left w:val="none" w:sz="0" w:space="0" w:color="auto"/>
                <w:bottom w:val="none" w:sz="0" w:space="0" w:color="auto"/>
                <w:right w:val="none" w:sz="0" w:space="0" w:color="auto"/>
              </w:divBdr>
              <w:divsChild>
                <w:div w:id="305397940">
                  <w:marLeft w:val="0"/>
                  <w:marRight w:val="0"/>
                  <w:marTop w:val="0"/>
                  <w:marBottom w:val="0"/>
                  <w:divBdr>
                    <w:top w:val="none" w:sz="0" w:space="0" w:color="auto"/>
                    <w:left w:val="none" w:sz="0" w:space="0" w:color="auto"/>
                    <w:bottom w:val="none" w:sz="0" w:space="0" w:color="auto"/>
                    <w:right w:val="none" w:sz="0" w:space="0" w:color="auto"/>
                  </w:divBdr>
                  <w:divsChild>
                    <w:div w:id="156587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13294291">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31267560">
      <w:bodyDiv w:val="1"/>
      <w:marLeft w:val="0"/>
      <w:marRight w:val="0"/>
      <w:marTop w:val="0"/>
      <w:marBottom w:val="0"/>
      <w:divBdr>
        <w:top w:val="none" w:sz="0" w:space="0" w:color="auto"/>
        <w:left w:val="none" w:sz="0" w:space="0" w:color="auto"/>
        <w:bottom w:val="none" w:sz="0" w:space="0" w:color="auto"/>
        <w:right w:val="none" w:sz="0" w:space="0" w:color="auto"/>
      </w:divBdr>
    </w:div>
    <w:div w:id="758600611">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1011892">
      <w:bodyDiv w:val="1"/>
      <w:marLeft w:val="0"/>
      <w:marRight w:val="0"/>
      <w:marTop w:val="0"/>
      <w:marBottom w:val="0"/>
      <w:divBdr>
        <w:top w:val="none" w:sz="0" w:space="0" w:color="auto"/>
        <w:left w:val="none" w:sz="0" w:space="0" w:color="auto"/>
        <w:bottom w:val="none" w:sz="0" w:space="0" w:color="auto"/>
        <w:right w:val="none" w:sz="0" w:space="0" w:color="auto"/>
      </w:divBdr>
      <w:divsChild>
        <w:div w:id="1407922525">
          <w:marLeft w:val="-225"/>
          <w:marRight w:val="-225"/>
          <w:marTop w:val="450"/>
          <w:marBottom w:val="450"/>
          <w:divBdr>
            <w:top w:val="none" w:sz="0" w:space="0" w:color="auto"/>
            <w:left w:val="none" w:sz="0" w:space="0" w:color="auto"/>
            <w:bottom w:val="none" w:sz="0" w:space="0" w:color="auto"/>
            <w:right w:val="none" w:sz="0" w:space="0" w:color="auto"/>
          </w:divBdr>
          <w:divsChild>
            <w:div w:id="728455656">
              <w:marLeft w:val="0"/>
              <w:marRight w:val="0"/>
              <w:marTop w:val="0"/>
              <w:marBottom w:val="0"/>
              <w:divBdr>
                <w:top w:val="none" w:sz="0" w:space="0" w:color="auto"/>
                <w:left w:val="none" w:sz="0" w:space="0" w:color="auto"/>
                <w:bottom w:val="none" w:sz="0" w:space="0" w:color="auto"/>
                <w:right w:val="none" w:sz="0" w:space="0" w:color="auto"/>
              </w:divBdr>
            </w:div>
            <w:div w:id="310141714">
              <w:marLeft w:val="0"/>
              <w:marRight w:val="0"/>
              <w:marTop w:val="0"/>
              <w:marBottom w:val="0"/>
              <w:divBdr>
                <w:top w:val="none" w:sz="0" w:space="0" w:color="auto"/>
                <w:left w:val="none" w:sz="0" w:space="0" w:color="auto"/>
                <w:bottom w:val="none" w:sz="0" w:space="0" w:color="auto"/>
                <w:right w:val="none" w:sz="0" w:space="0" w:color="auto"/>
              </w:divBdr>
            </w:div>
          </w:divsChild>
        </w:div>
        <w:div w:id="1813987307">
          <w:marLeft w:val="-225"/>
          <w:marRight w:val="-225"/>
          <w:marTop w:val="225"/>
          <w:marBottom w:val="450"/>
          <w:divBdr>
            <w:top w:val="none" w:sz="0" w:space="0" w:color="auto"/>
            <w:left w:val="none" w:sz="0" w:space="0" w:color="auto"/>
            <w:bottom w:val="none" w:sz="0" w:space="0" w:color="auto"/>
            <w:right w:val="none" w:sz="0" w:space="0" w:color="auto"/>
          </w:divBdr>
          <w:divsChild>
            <w:div w:id="1097406066">
              <w:marLeft w:val="0"/>
              <w:marRight w:val="0"/>
              <w:marTop w:val="0"/>
              <w:marBottom w:val="0"/>
              <w:divBdr>
                <w:top w:val="none" w:sz="0" w:space="0" w:color="auto"/>
                <w:left w:val="none" w:sz="0" w:space="0" w:color="auto"/>
                <w:bottom w:val="none" w:sz="0" w:space="0" w:color="auto"/>
                <w:right w:val="none" w:sz="0" w:space="0" w:color="auto"/>
              </w:divBdr>
            </w:div>
            <w:div w:id="79043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9502122">
      <w:bodyDiv w:val="1"/>
      <w:marLeft w:val="0"/>
      <w:marRight w:val="0"/>
      <w:marTop w:val="0"/>
      <w:marBottom w:val="0"/>
      <w:divBdr>
        <w:top w:val="none" w:sz="0" w:space="0" w:color="auto"/>
        <w:left w:val="none" w:sz="0" w:space="0" w:color="auto"/>
        <w:bottom w:val="none" w:sz="0" w:space="0" w:color="auto"/>
        <w:right w:val="none" w:sz="0" w:space="0" w:color="auto"/>
      </w:divBdr>
      <w:divsChild>
        <w:div w:id="2007630849">
          <w:marLeft w:val="0"/>
          <w:marRight w:val="0"/>
          <w:marTop w:val="0"/>
          <w:marBottom w:val="0"/>
          <w:divBdr>
            <w:top w:val="none" w:sz="0" w:space="0" w:color="auto"/>
            <w:left w:val="none" w:sz="0" w:space="0" w:color="auto"/>
            <w:bottom w:val="none" w:sz="0" w:space="0" w:color="auto"/>
            <w:right w:val="none" w:sz="0" w:space="0" w:color="auto"/>
          </w:divBdr>
        </w:div>
        <w:div w:id="828667000">
          <w:marLeft w:val="714"/>
          <w:marRight w:val="0"/>
          <w:marTop w:val="0"/>
          <w:marBottom w:val="0"/>
          <w:divBdr>
            <w:top w:val="none" w:sz="0" w:space="0" w:color="auto"/>
            <w:left w:val="none" w:sz="0" w:space="0" w:color="auto"/>
            <w:bottom w:val="none" w:sz="0" w:space="0" w:color="auto"/>
            <w:right w:val="none" w:sz="0" w:space="0" w:color="auto"/>
          </w:divBdr>
        </w:div>
      </w:divsChild>
    </w:div>
    <w:div w:id="1090005524">
      <w:bodyDiv w:val="1"/>
      <w:marLeft w:val="0"/>
      <w:marRight w:val="0"/>
      <w:marTop w:val="0"/>
      <w:marBottom w:val="0"/>
      <w:divBdr>
        <w:top w:val="none" w:sz="0" w:space="0" w:color="auto"/>
        <w:left w:val="none" w:sz="0" w:space="0" w:color="auto"/>
        <w:bottom w:val="none" w:sz="0" w:space="0" w:color="auto"/>
        <w:right w:val="none" w:sz="0" w:space="0" w:color="auto"/>
      </w:divBdr>
    </w:div>
    <w:div w:id="1142968879">
      <w:bodyDiv w:val="1"/>
      <w:marLeft w:val="0"/>
      <w:marRight w:val="0"/>
      <w:marTop w:val="0"/>
      <w:marBottom w:val="0"/>
      <w:divBdr>
        <w:top w:val="none" w:sz="0" w:space="0" w:color="auto"/>
        <w:left w:val="none" w:sz="0" w:space="0" w:color="auto"/>
        <w:bottom w:val="none" w:sz="0" w:space="0" w:color="auto"/>
        <w:right w:val="none" w:sz="0" w:space="0" w:color="auto"/>
      </w:divBdr>
    </w:div>
    <w:div w:id="115900574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62108636">
      <w:bodyDiv w:val="1"/>
      <w:marLeft w:val="0"/>
      <w:marRight w:val="0"/>
      <w:marTop w:val="0"/>
      <w:marBottom w:val="0"/>
      <w:divBdr>
        <w:top w:val="none" w:sz="0" w:space="0" w:color="auto"/>
        <w:left w:val="none" w:sz="0" w:space="0" w:color="auto"/>
        <w:bottom w:val="none" w:sz="0" w:space="0" w:color="auto"/>
        <w:right w:val="none" w:sz="0" w:space="0" w:color="auto"/>
      </w:divBdr>
      <w:divsChild>
        <w:div w:id="1999648727">
          <w:marLeft w:val="0"/>
          <w:marRight w:val="0"/>
          <w:marTop w:val="0"/>
          <w:marBottom w:val="0"/>
          <w:divBdr>
            <w:top w:val="none" w:sz="0" w:space="0" w:color="auto"/>
            <w:left w:val="none" w:sz="0" w:space="0" w:color="auto"/>
            <w:bottom w:val="none" w:sz="0" w:space="0" w:color="auto"/>
            <w:right w:val="none" w:sz="0" w:space="0" w:color="auto"/>
          </w:divBdr>
          <w:divsChild>
            <w:div w:id="117918178">
              <w:marLeft w:val="0"/>
              <w:marRight w:val="0"/>
              <w:marTop w:val="0"/>
              <w:marBottom w:val="0"/>
              <w:divBdr>
                <w:top w:val="none" w:sz="0" w:space="0" w:color="auto"/>
                <w:left w:val="none" w:sz="0" w:space="0" w:color="auto"/>
                <w:bottom w:val="none" w:sz="0" w:space="0" w:color="auto"/>
                <w:right w:val="none" w:sz="0" w:space="0" w:color="auto"/>
              </w:divBdr>
              <w:divsChild>
                <w:div w:id="1121151170">
                  <w:marLeft w:val="-225"/>
                  <w:marRight w:val="-225"/>
                  <w:marTop w:val="0"/>
                  <w:marBottom w:val="0"/>
                  <w:divBdr>
                    <w:top w:val="none" w:sz="0" w:space="0" w:color="auto"/>
                    <w:left w:val="none" w:sz="0" w:space="0" w:color="auto"/>
                    <w:bottom w:val="none" w:sz="0" w:space="0" w:color="auto"/>
                    <w:right w:val="none" w:sz="0" w:space="0" w:color="auto"/>
                  </w:divBdr>
                  <w:divsChild>
                    <w:div w:id="1677920446">
                      <w:marLeft w:val="0"/>
                      <w:marRight w:val="0"/>
                      <w:marTop w:val="0"/>
                      <w:marBottom w:val="0"/>
                      <w:divBdr>
                        <w:top w:val="none" w:sz="0" w:space="0" w:color="auto"/>
                        <w:left w:val="none" w:sz="0" w:space="0" w:color="auto"/>
                        <w:bottom w:val="none" w:sz="0" w:space="0" w:color="auto"/>
                        <w:right w:val="none" w:sz="0" w:space="0" w:color="auto"/>
                      </w:divBdr>
                      <w:divsChild>
                        <w:div w:id="319893893">
                          <w:marLeft w:val="0"/>
                          <w:marRight w:val="0"/>
                          <w:marTop w:val="0"/>
                          <w:marBottom w:val="0"/>
                          <w:divBdr>
                            <w:top w:val="none" w:sz="0" w:space="0" w:color="auto"/>
                            <w:left w:val="none" w:sz="0" w:space="0" w:color="auto"/>
                            <w:bottom w:val="none" w:sz="0" w:space="0" w:color="auto"/>
                            <w:right w:val="none" w:sz="0" w:space="0" w:color="auto"/>
                          </w:divBdr>
                          <w:divsChild>
                            <w:div w:id="784882288">
                              <w:marLeft w:val="0"/>
                              <w:marRight w:val="0"/>
                              <w:marTop w:val="0"/>
                              <w:marBottom w:val="0"/>
                              <w:divBdr>
                                <w:top w:val="none" w:sz="0" w:space="0" w:color="auto"/>
                                <w:left w:val="none" w:sz="0" w:space="0" w:color="auto"/>
                                <w:bottom w:val="none" w:sz="0" w:space="0" w:color="auto"/>
                                <w:right w:val="none" w:sz="0" w:space="0" w:color="auto"/>
                              </w:divBdr>
                              <w:divsChild>
                                <w:div w:id="1041979643">
                                  <w:marLeft w:val="0"/>
                                  <w:marRight w:val="0"/>
                                  <w:marTop w:val="0"/>
                                  <w:marBottom w:val="0"/>
                                  <w:divBdr>
                                    <w:top w:val="none" w:sz="0" w:space="0" w:color="auto"/>
                                    <w:left w:val="none" w:sz="0" w:space="0" w:color="auto"/>
                                    <w:bottom w:val="none" w:sz="0" w:space="0" w:color="auto"/>
                                    <w:right w:val="none" w:sz="0" w:space="0" w:color="auto"/>
                                  </w:divBdr>
                                  <w:divsChild>
                                    <w:div w:id="906764515">
                                      <w:marLeft w:val="-225"/>
                                      <w:marRight w:val="-225"/>
                                      <w:marTop w:val="450"/>
                                      <w:marBottom w:val="0"/>
                                      <w:divBdr>
                                        <w:top w:val="none" w:sz="0" w:space="0" w:color="auto"/>
                                        <w:left w:val="none" w:sz="0" w:space="0" w:color="auto"/>
                                        <w:bottom w:val="none" w:sz="0" w:space="0" w:color="auto"/>
                                        <w:right w:val="none" w:sz="0" w:space="0" w:color="auto"/>
                                      </w:divBdr>
                                      <w:divsChild>
                                        <w:div w:id="1423792432">
                                          <w:marLeft w:val="0"/>
                                          <w:marRight w:val="0"/>
                                          <w:marTop w:val="0"/>
                                          <w:marBottom w:val="0"/>
                                          <w:divBdr>
                                            <w:top w:val="none" w:sz="0" w:space="0" w:color="auto"/>
                                            <w:left w:val="none" w:sz="0" w:space="0" w:color="auto"/>
                                            <w:bottom w:val="none" w:sz="0" w:space="0" w:color="auto"/>
                                            <w:right w:val="none" w:sz="0" w:space="0" w:color="auto"/>
                                          </w:divBdr>
                                          <w:divsChild>
                                            <w:div w:id="295990151">
                                              <w:marLeft w:val="-225"/>
                                              <w:marRight w:val="-225"/>
                                              <w:marTop w:val="450"/>
                                              <w:marBottom w:val="0"/>
                                              <w:divBdr>
                                                <w:top w:val="none" w:sz="0" w:space="0" w:color="auto"/>
                                                <w:left w:val="none" w:sz="0" w:space="0" w:color="auto"/>
                                                <w:bottom w:val="none" w:sz="0" w:space="0" w:color="auto"/>
                                                <w:right w:val="none" w:sz="0" w:space="0" w:color="auto"/>
                                              </w:divBdr>
                                              <w:divsChild>
                                                <w:div w:id="1152985832">
                                                  <w:marLeft w:val="0"/>
                                                  <w:marRight w:val="0"/>
                                                  <w:marTop w:val="0"/>
                                                  <w:marBottom w:val="0"/>
                                                  <w:divBdr>
                                                    <w:top w:val="none" w:sz="0" w:space="0" w:color="auto"/>
                                                    <w:left w:val="none" w:sz="0" w:space="0" w:color="auto"/>
                                                    <w:bottom w:val="none" w:sz="0" w:space="0" w:color="auto"/>
                                                    <w:right w:val="none" w:sz="0" w:space="0" w:color="auto"/>
                                                  </w:divBdr>
                                                </w:div>
                                                <w:div w:id="660816597">
                                                  <w:marLeft w:val="0"/>
                                                  <w:marRight w:val="0"/>
                                                  <w:marTop w:val="0"/>
                                                  <w:marBottom w:val="0"/>
                                                  <w:divBdr>
                                                    <w:top w:val="none" w:sz="0" w:space="0" w:color="auto"/>
                                                    <w:left w:val="none" w:sz="0" w:space="0" w:color="auto"/>
                                                    <w:bottom w:val="none" w:sz="0" w:space="0" w:color="auto"/>
                                                    <w:right w:val="none" w:sz="0" w:space="0" w:color="auto"/>
                                                  </w:divBdr>
                                                </w:div>
                                              </w:divsChild>
                                            </w:div>
                                            <w:div w:id="849107418">
                                              <w:marLeft w:val="-225"/>
                                              <w:marRight w:val="-225"/>
                                              <w:marTop w:val="225"/>
                                              <w:marBottom w:val="0"/>
                                              <w:divBdr>
                                                <w:top w:val="none" w:sz="0" w:space="0" w:color="auto"/>
                                                <w:left w:val="none" w:sz="0" w:space="0" w:color="auto"/>
                                                <w:bottom w:val="none" w:sz="0" w:space="0" w:color="auto"/>
                                                <w:right w:val="none" w:sz="0" w:space="0" w:color="auto"/>
                                              </w:divBdr>
                                              <w:divsChild>
                                                <w:div w:id="763037841">
                                                  <w:marLeft w:val="0"/>
                                                  <w:marRight w:val="0"/>
                                                  <w:marTop w:val="0"/>
                                                  <w:marBottom w:val="0"/>
                                                  <w:divBdr>
                                                    <w:top w:val="none" w:sz="0" w:space="0" w:color="auto"/>
                                                    <w:left w:val="none" w:sz="0" w:space="0" w:color="auto"/>
                                                    <w:bottom w:val="none" w:sz="0" w:space="0" w:color="auto"/>
                                                    <w:right w:val="none" w:sz="0" w:space="0" w:color="auto"/>
                                                  </w:divBdr>
                                                </w:div>
                                                <w:div w:id="865295234">
                                                  <w:marLeft w:val="0"/>
                                                  <w:marRight w:val="0"/>
                                                  <w:marTop w:val="0"/>
                                                  <w:marBottom w:val="0"/>
                                                  <w:divBdr>
                                                    <w:top w:val="none" w:sz="0" w:space="0" w:color="auto"/>
                                                    <w:left w:val="none" w:sz="0" w:space="0" w:color="auto"/>
                                                    <w:bottom w:val="none" w:sz="0" w:space="0" w:color="auto"/>
                                                    <w:right w:val="none" w:sz="0" w:space="0" w:color="auto"/>
                                                  </w:divBdr>
                                                </w:div>
                                              </w:divsChild>
                                            </w:div>
                                            <w:div w:id="1889801367">
                                              <w:marLeft w:val="-225"/>
                                              <w:marRight w:val="-225"/>
                                              <w:marTop w:val="225"/>
                                              <w:marBottom w:val="0"/>
                                              <w:divBdr>
                                                <w:top w:val="none" w:sz="0" w:space="0" w:color="auto"/>
                                                <w:left w:val="none" w:sz="0" w:space="0" w:color="auto"/>
                                                <w:bottom w:val="none" w:sz="0" w:space="0" w:color="auto"/>
                                                <w:right w:val="none" w:sz="0" w:space="0" w:color="auto"/>
                                              </w:divBdr>
                                              <w:divsChild>
                                                <w:div w:id="663358773">
                                                  <w:marLeft w:val="0"/>
                                                  <w:marRight w:val="0"/>
                                                  <w:marTop w:val="0"/>
                                                  <w:marBottom w:val="0"/>
                                                  <w:divBdr>
                                                    <w:top w:val="none" w:sz="0" w:space="0" w:color="auto"/>
                                                    <w:left w:val="none" w:sz="0" w:space="0" w:color="auto"/>
                                                    <w:bottom w:val="none" w:sz="0" w:space="0" w:color="auto"/>
                                                    <w:right w:val="none" w:sz="0" w:space="0" w:color="auto"/>
                                                  </w:divBdr>
                                                </w:div>
                                                <w:div w:id="779684988">
                                                  <w:marLeft w:val="0"/>
                                                  <w:marRight w:val="0"/>
                                                  <w:marTop w:val="0"/>
                                                  <w:marBottom w:val="0"/>
                                                  <w:divBdr>
                                                    <w:top w:val="none" w:sz="0" w:space="0" w:color="auto"/>
                                                    <w:left w:val="none" w:sz="0" w:space="0" w:color="auto"/>
                                                    <w:bottom w:val="none" w:sz="0" w:space="0" w:color="auto"/>
                                                    <w:right w:val="none" w:sz="0" w:space="0" w:color="auto"/>
                                                  </w:divBdr>
                                                </w:div>
                                              </w:divsChild>
                                            </w:div>
                                            <w:div w:id="108400287">
                                              <w:marLeft w:val="-225"/>
                                              <w:marRight w:val="-225"/>
                                              <w:marTop w:val="225"/>
                                              <w:marBottom w:val="0"/>
                                              <w:divBdr>
                                                <w:top w:val="none" w:sz="0" w:space="0" w:color="auto"/>
                                                <w:left w:val="none" w:sz="0" w:space="0" w:color="auto"/>
                                                <w:bottom w:val="none" w:sz="0" w:space="0" w:color="auto"/>
                                                <w:right w:val="none" w:sz="0" w:space="0" w:color="auto"/>
                                              </w:divBdr>
                                              <w:divsChild>
                                                <w:div w:id="1715497776">
                                                  <w:marLeft w:val="0"/>
                                                  <w:marRight w:val="0"/>
                                                  <w:marTop w:val="0"/>
                                                  <w:marBottom w:val="0"/>
                                                  <w:divBdr>
                                                    <w:top w:val="none" w:sz="0" w:space="0" w:color="auto"/>
                                                    <w:left w:val="none" w:sz="0" w:space="0" w:color="auto"/>
                                                    <w:bottom w:val="none" w:sz="0" w:space="0" w:color="auto"/>
                                                    <w:right w:val="none" w:sz="0" w:space="0" w:color="auto"/>
                                                  </w:divBdr>
                                                </w:div>
                                                <w:div w:id="1225484979">
                                                  <w:marLeft w:val="0"/>
                                                  <w:marRight w:val="0"/>
                                                  <w:marTop w:val="0"/>
                                                  <w:marBottom w:val="0"/>
                                                  <w:divBdr>
                                                    <w:top w:val="none" w:sz="0" w:space="0" w:color="auto"/>
                                                    <w:left w:val="none" w:sz="0" w:space="0" w:color="auto"/>
                                                    <w:bottom w:val="none" w:sz="0" w:space="0" w:color="auto"/>
                                                    <w:right w:val="none" w:sz="0" w:space="0" w:color="auto"/>
                                                  </w:divBdr>
                                                </w:div>
                                              </w:divsChild>
                                            </w:div>
                                            <w:div w:id="756556615">
                                              <w:marLeft w:val="-225"/>
                                              <w:marRight w:val="-225"/>
                                              <w:marTop w:val="225"/>
                                              <w:marBottom w:val="0"/>
                                              <w:divBdr>
                                                <w:top w:val="none" w:sz="0" w:space="0" w:color="auto"/>
                                                <w:left w:val="none" w:sz="0" w:space="0" w:color="auto"/>
                                                <w:bottom w:val="none" w:sz="0" w:space="0" w:color="auto"/>
                                                <w:right w:val="none" w:sz="0" w:space="0" w:color="auto"/>
                                              </w:divBdr>
                                              <w:divsChild>
                                                <w:div w:id="1754083423">
                                                  <w:marLeft w:val="0"/>
                                                  <w:marRight w:val="0"/>
                                                  <w:marTop w:val="0"/>
                                                  <w:marBottom w:val="0"/>
                                                  <w:divBdr>
                                                    <w:top w:val="none" w:sz="0" w:space="0" w:color="auto"/>
                                                    <w:left w:val="none" w:sz="0" w:space="0" w:color="auto"/>
                                                    <w:bottom w:val="none" w:sz="0" w:space="0" w:color="auto"/>
                                                    <w:right w:val="none" w:sz="0" w:space="0" w:color="auto"/>
                                                  </w:divBdr>
                                                </w:div>
                                                <w:div w:id="930315040">
                                                  <w:marLeft w:val="0"/>
                                                  <w:marRight w:val="0"/>
                                                  <w:marTop w:val="0"/>
                                                  <w:marBottom w:val="0"/>
                                                  <w:divBdr>
                                                    <w:top w:val="none" w:sz="0" w:space="0" w:color="auto"/>
                                                    <w:left w:val="none" w:sz="0" w:space="0" w:color="auto"/>
                                                    <w:bottom w:val="none" w:sz="0" w:space="0" w:color="auto"/>
                                                    <w:right w:val="none" w:sz="0" w:space="0" w:color="auto"/>
                                                  </w:divBdr>
                                                </w:div>
                                              </w:divsChild>
                                            </w:div>
                                            <w:div w:id="82191307">
                                              <w:marLeft w:val="-225"/>
                                              <w:marRight w:val="-225"/>
                                              <w:marTop w:val="225"/>
                                              <w:marBottom w:val="0"/>
                                              <w:divBdr>
                                                <w:top w:val="none" w:sz="0" w:space="0" w:color="auto"/>
                                                <w:left w:val="none" w:sz="0" w:space="0" w:color="auto"/>
                                                <w:bottom w:val="none" w:sz="0" w:space="0" w:color="auto"/>
                                                <w:right w:val="none" w:sz="0" w:space="0" w:color="auto"/>
                                              </w:divBdr>
                                              <w:divsChild>
                                                <w:div w:id="2062822309">
                                                  <w:marLeft w:val="0"/>
                                                  <w:marRight w:val="0"/>
                                                  <w:marTop w:val="0"/>
                                                  <w:marBottom w:val="0"/>
                                                  <w:divBdr>
                                                    <w:top w:val="none" w:sz="0" w:space="0" w:color="auto"/>
                                                    <w:left w:val="none" w:sz="0" w:space="0" w:color="auto"/>
                                                    <w:bottom w:val="none" w:sz="0" w:space="0" w:color="auto"/>
                                                    <w:right w:val="none" w:sz="0" w:space="0" w:color="auto"/>
                                                  </w:divBdr>
                                                </w:div>
                                                <w:div w:id="1668289597">
                                                  <w:marLeft w:val="0"/>
                                                  <w:marRight w:val="0"/>
                                                  <w:marTop w:val="0"/>
                                                  <w:marBottom w:val="0"/>
                                                  <w:divBdr>
                                                    <w:top w:val="none" w:sz="0" w:space="0" w:color="auto"/>
                                                    <w:left w:val="none" w:sz="0" w:space="0" w:color="auto"/>
                                                    <w:bottom w:val="none" w:sz="0" w:space="0" w:color="auto"/>
                                                    <w:right w:val="none" w:sz="0" w:space="0" w:color="auto"/>
                                                  </w:divBdr>
                                                </w:div>
                                              </w:divsChild>
                                            </w:div>
                                            <w:div w:id="1201673631">
                                              <w:marLeft w:val="-225"/>
                                              <w:marRight w:val="-225"/>
                                              <w:marTop w:val="225"/>
                                              <w:marBottom w:val="0"/>
                                              <w:divBdr>
                                                <w:top w:val="none" w:sz="0" w:space="0" w:color="auto"/>
                                                <w:left w:val="none" w:sz="0" w:space="0" w:color="auto"/>
                                                <w:bottom w:val="none" w:sz="0" w:space="0" w:color="auto"/>
                                                <w:right w:val="none" w:sz="0" w:space="0" w:color="auto"/>
                                              </w:divBdr>
                                              <w:divsChild>
                                                <w:div w:id="824205463">
                                                  <w:marLeft w:val="0"/>
                                                  <w:marRight w:val="0"/>
                                                  <w:marTop w:val="0"/>
                                                  <w:marBottom w:val="0"/>
                                                  <w:divBdr>
                                                    <w:top w:val="none" w:sz="0" w:space="0" w:color="auto"/>
                                                    <w:left w:val="none" w:sz="0" w:space="0" w:color="auto"/>
                                                    <w:bottom w:val="none" w:sz="0" w:space="0" w:color="auto"/>
                                                    <w:right w:val="none" w:sz="0" w:space="0" w:color="auto"/>
                                                  </w:divBdr>
                                                </w:div>
                                                <w:div w:id="771242053">
                                                  <w:marLeft w:val="0"/>
                                                  <w:marRight w:val="0"/>
                                                  <w:marTop w:val="0"/>
                                                  <w:marBottom w:val="0"/>
                                                  <w:divBdr>
                                                    <w:top w:val="none" w:sz="0" w:space="0" w:color="auto"/>
                                                    <w:left w:val="none" w:sz="0" w:space="0" w:color="auto"/>
                                                    <w:bottom w:val="none" w:sz="0" w:space="0" w:color="auto"/>
                                                    <w:right w:val="none" w:sz="0" w:space="0" w:color="auto"/>
                                                  </w:divBdr>
                                                </w:div>
                                              </w:divsChild>
                                            </w:div>
                                            <w:div w:id="1267540088">
                                              <w:marLeft w:val="-225"/>
                                              <w:marRight w:val="-225"/>
                                              <w:marTop w:val="225"/>
                                              <w:marBottom w:val="225"/>
                                              <w:divBdr>
                                                <w:top w:val="none" w:sz="0" w:space="0" w:color="auto"/>
                                                <w:left w:val="none" w:sz="0" w:space="0" w:color="auto"/>
                                                <w:bottom w:val="none" w:sz="0" w:space="0" w:color="auto"/>
                                                <w:right w:val="none" w:sz="0" w:space="0" w:color="auto"/>
                                              </w:divBdr>
                                              <w:divsChild>
                                                <w:div w:id="35811011">
                                                  <w:marLeft w:val="0"/>
                                                  <w:marRight w:val="0"/>
                                                  <w:marTop w:val="0"/>
                                                  <w:marBottom w:val="0"/>
                                                  <w:divBdr>
                                                    <w:top w:val="none" w:sz="0" w:space="0" w:color="auto"/>
                                                    <w:left w:val="none" w:sz="0" w:space="0" w:color="auto"/>
                                                    <w:bottom w:val="none" w:sz="0" w:space="0" w:color="auto"/>
                                                    <w:right w:val="none" w:sz="0" w:space="0" w:color="auto"/>
                                                  </w:divBdr>
                                                </w:div>
                                                <w:div w:id="1231496960">
                                                  <w:marLeft w:val="0"/>
                                                  <w:marRight w:val="0"/>
                                                  <w:marTop w:val="0"/>
                                                  <w:marBottom w:val="0"/>
                                                  <w:divBdr>
                                                    <w:top w:val="none" w:sz="0" w:space="0" w:color="auto"/>
                                                    <w:left w:val="none" w:sz="0" w:space="0" w:color="auto"/>
                                                    <w:bottom w:val="none" w:sz="0" w:space="0" w:color="auto"/>
                                                    <w:right w:val="none" w:sz="0" w:space="0" w:color="auto"/>
                                                  </w:divBdr>
                                                </w:div>
                                              </w:divsChild>
                                            </w:div>
                                            <w:div w:id="778453100">
                                              <w:marLeft w:val="-225"/>
                                              <w:marRight w:val="-225"/>
                                              <w:marTop w:val="225"/>
                                              <w:marBottom w:val="0"/>
                                              <w:divBdr>
                                                <w:top w:val="none" w:sz="0" w:space="0" w:color="auto"/>
                                                <w:left w:val="none" w:sz="0" w:space="0" w:color="auto"/>
                                                <w:bottom w:val="none" w:sz="0" w:space="0" w:color="auto"/>
                                                <w:right w:val="none" w:sz="0" w:space="0" w:color="auto"/>
                                              </w:divBdr>
                                              <w:divsChild>
                                                <w:div w:id="506866990">
                                                  <w:marLeft w:val="0"/>
                                                  <w:marRight w:val="0"/>
                                                  <w:marTop w:val="0"/>
                                                  <w:marBottom w:val="0"/>
                                                  <w:divBdr>
                                                    <w:top w:val="none" w:sz="0" w:space="0" w:color="auto"/>
                                                    <w:left w:val="none" w:sz="0" w:space="0" w:color="auto"/>
                                                    <w:bottom w:val="none" w:sz="0" w:space="0" w:color="auto"/>
                                                    <w:right w:val="none" w:sz="0" w:space="0" w:color="auto"/>
                                                  </w:divBdr>
                                                </w:div>
                                                <w:div w:id="1595749618">
                                                  <w:marLeft w:val="0"/>
                                                  <w:marRight w:val="0"/>
                                                  <w:marTop w:val="0"/>
                                                  <w:marBottom w:val="0"/>
                                                  <w:divBdr>
                                                    <w:top w:val="none" w:sz="0" w:space="0" w:color="auto"/>
                                                    <w:left w:val="none" w:sz="0" w:space="0" w:color="auto"/>
                                                    <w:bottom w:val="none" w:sz="0" w:space="0" w:color="auto"/>
                                                    <w:right w:val="none" w:sz="0" w:space="0" w:color="auto"/>
                                                  </w:divBdr>
                                                </w:div>
                                              </w:divsChild>
                                            </w:div>
                                            <w:div w:id="971595391">
                                              <w:marLeft w:val="-225"/>
                                              <w:marRight w:val="-225"/>
                                              <w:marTop w:val="0"/>
                                              <w:marBottom w:val="0"/>
                                              <w:divBdr>
                                                <w:top w:val="none" w:sz="0" w:space="0" w:color="auto"/>
                                                <w:left w:val="none" w:sz="0" w:space="0" w:color="auto"/>
                                                <w:bottom w:val="none" w:sz="0" w:space="0" w:color="auto"/>
                                                <w:right w:val="none" w:sz="0" w:space="0" w:color="auto"/>
                                              </w:divBdr>
                                              <w:divsChild>
                                                <w:div w:id="255722199">
                                                  <w:marLeft w:val="0"/>
                                                  <w:marRight w:val="0"/>
                                                  <w:marTop w:val="0"/>
                                                  <w:marBottom w:val="0"/>
                                                  <w:divBdr>
                                                    <w:top w:val="none" w:sz="0" w:space="0" w:color="auto"/>
                                                    <w:left w:val="none" w:sz="0" w:space="0" w:color="auto"/>
                                                    <w:bottom w:val="none" w:sz="0" w:space="0" w:color="auto"/>
                                                    <w:right w:val="none" w:sz="0" w:space="0" w:color="auto"/>
                                                  </w:divBdr>
                                                </w:div>
                                                <w:div w:id="1755668375">
                                                  <w:marLeft w:val="0"/>
                                                  <w:marRight w:val="0"/>
                                                  <w:marTop w:val="0"/>
                                                  <w:marBottom w:val="0"/>
                                                  <w:divBdr>
                                                    <w:top w:val="none" w:sz="0" w:space="0" w:color="auto"/>
                                                    <w:left w:val="none" w:sz="0" w:space="0" w:color="auto"/>
                                                    <w:bottom w:val="none" w:sz="0" w:space="0" w:color="auto"/>
                                                    <w:right w:val="none" w:sz="0" w:space="0" w:color="auto"/>
                                                  </w:divBdr>
                                                </w:div>
                                              </w:divsChild>
                                            </w:div>
                                            <w:div w:id="1312637708">
                                              <w:marLeft w:val="-225"/>
                                              <w:marRight w:val="-225"/>
                                              <w:marTop w:val="0"/>
                                              <w:marBottom w:val="0"/>
                                              <w:divBdr>
                                                <w:top w:val="none" w:sz="0" w:space="0" w:color="auto"/>
                                                <w:left w:val="none" w:sz="0" w:space="0" w:color="auto"/>
                                                <w:bottom w:val="none" w:sz="0" w:space="0" w:color="auto"/>
                                                <w:right w:val="none" w:sz="0" w:space="0" w:color="auto"/>
                                              </w:divBdr>
                                              <w:divsChild>
                                                <w:div w:id="1421020623">
                                                  <w:marLeft w:val="0"/>
                                                  <w:marRight w:val="0"/>
                                                  <w:marTop w:val="0"/>
                                                  <w:marBottom w:val="0"/>
                                                  <w:divBdr>
                                                    <w:top w:val="none" w:sz="0" w:space="0" w:color="auto"/>
                                                    <w:left w:val="none" w:sz="0" w:space="0" w:color="auto"/>
                                                    <w:bottom w:val="none" w:sz="0" w:space="0" w:color="auto"/>
                                                    <w:right w:val="none" w:sz="0" w:space="0" w:color="auto"/>
                                                  </w:divBdr>
                                                </w:div>
                                                <w:div w:id="1083604009">
                                                  <w:marLeft w:val="0"/>
                                                  <w:marRight w:val="0"/>
                                                  <w:marTop w:val="0"/>
                                                  <w:marBottom w:val="0"/>
                                                  <w:divBdr>
                                                    <w:top w:val="none" w:sz="0" w:space="0" w:color="auto"/>
                                                    <w:left w:val="none" w:sz="0" w:space="0" w:color="auto"/>
                                                    <w:bottom w:val="none" w:sz="0" w:space="0" w:color="auto"/>
                                                    <w:right w:val="none" w:sz="0" w:space="0" w:color="auto"/>
                                                  </w:divBdr>
                                                </w:div>
                                              </w:divsChild>
                                            </w:div>
                                            <w:div w:id="1614242285">
                                              <w:marLeft w:val="-225"/>
                                              <w:marRight w:val="-225"/>
                                              <w:marTop w:val="0"/>
                                              <w:marBottom w:val="0"/>
                                              <w:divBdr>
                                                <w:top w:val="none" w:sz="0" w:space="0" w:color="auto"/>
                                                <w:left w:val="none" w:sz="0" w:space="0" w:color="auto"/>
                                                <w:bottom w:val="none" w:sz="0" w:space="0" w:color="auto"/>
                                                <w:right w:val="none" w:sz="0" w:space="0" w:color="auto"/>
                                              </w:divBdr>
                                              <w:divsChild>
                                                <w:div w:id="1299140017">
                                                  <w:marLeft w:val="0"/>
                                                  <w:marRight w:val="0"/>
                                                  <w:marTop w:val="0"/>
                                                  <w:marBottom w:val="0"/>
                                                  <w:divBdr>
                                                    <w:top w:val="none" w:sz="0" w:space="0" w:color="auto"/>
                                                    <w:left w:val="none" w:sz="0" w:space="0" w:color="auto"/>
                                                    <w:bottom w:val="none" w:sz="0" w:space="0" w:color="auto"/>
                                                    <w:right w:val="none" w:sz="0" w:space="0" w:color="auto"/>
                                                  </w:divBdr>
                                                </w:div>
                                                <w:div w:id="770853819">
                                                  <w:marLeft w:val="0"/>
                                                  <w:marRight w:val="0"/>
                                                  <w:marTop w:val="0"/>
                                                  <w:marBottom w:val="0"/>
                                                  <w:divBdr>
                                                    <w:top w:val="none" w:sz="0" w:space="0" w:color="auto"/>
                                                    <w:left w:val="none" w:sz="0" w:space="0" w:color="auto"/>
                                                    <w:bottom w:val="none" w:sz="0" w:space="0" w:color="auto"/>
                                                    <w:right w:val="none" w:sz="0" w:space="0" w:color="auto"/>
                                                  </w:divBdr>
                                                </w:div>
                                              </w:divsChild>
                                            </w:div>
                                            <w:div w:id="274023939">
                                              <w:marLeft w:val="-225"/>
                                              <w:marRight w:val="-225"/>
                                              <w:marTop w:val="450"/>
                                              <w:marBottom w:val="450"/>
                                              <w:divBdr>
                                                <w:top w:val="single" w:sz="6" w:space="0" w:color="CCCCCC"/>
                                                <w:left w:val="single" w:sz="6" w:space="11" w:color="CCCCCC"/>
                                                <w:bottom w:val="single" w:sz="6" w:space="0" w:color="CCCCCC"/>
                                                <w:right w:val="single" w:sz="6" w:space="11" w:color="CCCCCC"/>
                                              </w:divBdr>
                                              <w:divsChild>
                                                <w:div w:id="1909068200">
                                                  <w:marLeft w:val="0"/>
                                                  <w:marRight w:val="0"/>
                                                  <w:marTop w:val="0"/>
                                                  <w:marBottom w:val="0"/>
                                                  <w:divBdr>
                                                    <w:top w:val="none" w:sz="0" w:space="0" w:color="auto"/>
                                                    <w:left w:val="none" w:sz="0" w:space="0" w:color="auto"/>
                                                    <w:bottom w:val="none" w:sz="0" w:space="0" w:color="auto"/>
                                                    <w:right w:val="none" w:sz="0" w:space="0" w:color="auto"/>
                                                  </w:divBdr>
                                                </w:div>
                                                <w:div w:id="1542205854">
                                                  <w:marLeft w:val="714"/>
                                                  <w:marRight w:val="0"/>
                                                  <w:marTop w:val="0"/>
                                                  <w:marBottom w:val="0"/>
                                                  <w:divBdr>
                                                    <w:top w:val="none" w:sz="0" w:space="0" w:color="auto"/>
                                                    <w:left w:val="none" w:sz="0" w:space="0" w:color="auto"/>
                                                    <w:bottom w:val="none" w:sz="0" w:space="0" w:color="auto"/>
                                                    <w:right w:val="none" w:sz="0" w:space="0" w:color="auto"/>
                                                  </w:divBdr>
                                                </w:div>
                                              </w:divsChild>
                                            </w:div>
                                            <w:div w:id="1945267060">
                                              <w:marLeft w:val="-225"/>
                                              <w:marRight w:val="-225"/>
                                              <w:marTop w:val="450"/>
                                              <w:marBottom w:val="450"/>
                                              <w:divBdr>
                                                <w:top w:val="single" w:sz="6" w:space="0" w:color="CCCCCC"/>
                                                <w:left w:val="single" w:sz="6" w:space="11" w:color="CCCCCC"/>
                                                <w:bottom w:val="single" w:sz="6" w:space="0" w:color="CCCCCC"/>
                                                <w:right w:val="single" w:sz="6" w:space="11" w:color="CCCCCC"/>
                                              </w:divBdr>
                                              <w:divsChild>
                                                <w:div w:id="2123383208">
                                                  <w:marLeft w:val="0"/>
                                                  <w:marRight w:val="0"/>
                                                  <w:marTop w:val="0"/>
                                                  <w:marBottom w:val="0"/>
                                                  <w:divBdr>
                                                    <w:top w:val="none" w:sz="0" w:space="0" w:color="auto"/>
                                                    <w:left w:val="none" w:sz="0" w:space="0" w:color="auto"/>
                                                    <w:bottom w:val="none" w:sz="0" w:space="0" w:color="auto"/>
                                                    <w:right w:val="none" w:sz="0" w:space="0" w:color="auto"/>
                                                  </w:divBdr>
                                                </w:div>
                                                <w:div w:id="1414815463">
                                                  <w:marLeft w:val="714"/>
                                                  <w:marRight w:val="0"/>
                                                  <w:marTop w:val="0"/>
                                                  <w:marBottom w:val="0"/>
                                                  <w:divBdr>
                                                    <w:top w:val="none" w:sz="0" w:space="0" w:color="auto"/>
                                                    <w:left w:val="none" w:sz="0" w:space="0" w:color="auto"/>
                                                    <w:bottom w:val="none" w:sz="0" w:space="0" w:color="auto"/>
                                                    <w:right w:val="none" w:sz="0" w:space="0" w:color="auto"/>
                                                  </w:divBdr>
                                                </w:div>
                                              </w:divsChild>
                                            </w:div>
                                            <w:div w:id="662320063">
                                              <w:marLeft w:val="-225"/>
                                              <w:marRight w:val="-225"/>
                                              <w:marTop w:val="450"/>
                                              <w:marBottom w:val="450"/>
                                              <w:divBdr>
                                                <w:top w:val="single" w:sz="6" w:space="0" w:color="CCCCCC"/>
                                                <w:left w:val="single" w:sz="6" w:space="11" w:color="CCCCCC"/>
                                                <w:bottom w:val="single" w:sz="6" w:space="0" w:color="CCCCCC"/>
                                                <w:right w:val="single" w:sz="6" w:space="11" w:color="CCCCCC"/>
                                              </w:divBdr>
                                              <w:divsChild>
                                                <w:div w:id="1959601059">
                                                  <w:marLeft w:val="0"/>
                                                  <w:marRight w:val="0"/>
                                                  <w:marTop w:val="0"/>
                                                  <w:marBottom w:val="0"/>
                                                  <w:divBdr>
                                                    <w:top w:val="none" w:sz="0" w:space="0" w:color="auto"/>
                                                    <w:left w:val="none" w:sz="0" w:space="0" w:color="auto"/>
                                                    <w:bottom w:val="none" w:sz="0" w:space="0" w:color="auto"/>
                                                    <w:right w:val="none" w:sz="0" w:space="0" w:color="auto"/>
                                                  </w:divBdr>
                                                </w:div>
                                                <w:div w:id="648249030">
                                                  <w:marLeft w:val="714"/>
                                                  <w:marRight w:val="0"/>
                                                  <w:marTop w:val="0"/>
                                                  <w:marBottom w:val="0"/>
                                                  <w:divBdr>
                                                    <w:top w:val="none" w:sz="0" w:space="0" w:color="auto"/>
                                                    <w:left w:val="none" w:sz="0" w:space="0" w:color="auto"/>
                                                    <w:bottom w:val="none" w:sz="0" w:space="0" w:color="auto"/>
                                                    <w:right w:val="none" w:sz="0" w:space="0" w:color="auto"/>
                                                  </w:divBdr>
                                                </w:div>
                                              </w:divsChild>
                                            </w:div>
                                            <w:div w:id="1670594937">
                                              <w:marLeft w:val="0"/>
                                              <w:marRight w:val="0"/>
                                              <w:marTop w:val="225"/>
                                              <w:marBottom w:val="225"/>
                                              <w:divBdr>
                                                <w:top w:val="none" w:sz="0" w:space="0" w:color="auto"/>
                                                <w:left w:val="none" w:sz="0" w:space="0" w:color="auto"/>
                                                <w:bottom w:val="none" w:sz="0" w:space="0" w:color="auto"/>
                                                <w:right w:val="none" w:sz="0" w:space="0" w:color="auto"/>
                                              </w:divBdr>
                                            </w:div>
                                            <w:div w:id="1209218989">
                                              <w:marLeft w:val="-225"/>
                                              <w:marRight w:val="-225"/>
                                              <w:marTop w:val="450"/>
                                              <w:marBottom w:val="450"/>
                                              <w:divBdr>
                                                <w:top w:val="single" w:sz="6" w:space="0" w:color="CCCCCC"/>
                                                <w:left w:val="single" w:sz="6" w:space="11" w:color="CCCCCC"/>
                                                <w:bottom w:val="single" w:sz="6" w:space="0" w:color="CCCCCC"/>
                                                <w:right w:val="single" w:sz="6" w:space="11" w:color="CCCCCC"/>
                                              </w:divBdr>
                                            </w:div>
                                            <w:div w:id="1825508436">
                                              <w:marLeft w:val="-225"/>
                                              <w:marRight w:val="-225"/>
                                              <w:marTop w:val="450"/>
                                              <w:marBottom w:val="450"/>
                                              <w:divBdr>
                                                <w:top w:val="none" w:sz="0" w:space="0" w:color="auto"/>
                                                <w:left w:val="none" w:sz="0" w:space="0" w:color="auto"/>
                                                <w:bottom w:val="none" w:sz="0" w:space="0" w:color="auto"/>
                                                <w:right w:val="none" w:sz="0" w:space="0" w:color="auto"/>
                                              </w:divBdr>
                                              <w:divsChild>
                                                <w:div w:id="1977298503">
                                                  <w:marLeft w:val="0"/>
                                                  <w:marRight w:val="0"/>
                                                  <w:marTop w:val="0"/>
                                                  <w:marBottom w:val="0"/>
                                                  <w:divBdr>
                                                    <w:top w:val="none" w:sz="0" w:space="0" w:color="auto"/>
                                                    <w:left w:val="none" w:sz="0" w:space="0" w:color="auto"/>
                                                    <w:bottom w:val="none" w:sz="0" w:space="0" w:color="auto"/>
                                                    <w:right w:val="none" w:sz="0" w:space="0" w:color="auto"/>
                                                  </w:divBdr>
                                                </w:div>
                                                <w:div w:id="516970665">
                                                  <w:marLeft w:val="0"/>
                                                  <w:marRight w:val="0"/>
                                                  <w:marTop w:val="0"/>
                                                  <w:marBottom w:val="0"/>
                                                  <w:divBdr>
                                                    <w:top w:val="none" w:sz="0" w:space="0" w:color="auto"/>
                                                    <w:left w:val="none" w:sz="0" w:space="0" w:color="auto"/>
                                                    <w:bottom w:val="none" w:sz="0" w:space="0" w:color="auto"/>
                                                    <w:right w:val="none" w:sz="0" w:space="0" w:color="auto"/>
                                                  </w:divBdr>
                                                </w:div>
                                              </w:divsChild>
                                            </w:div>
                                            <w:div w:id="1653680535">
                                              <w:marLeft w:val="-225"/>
                                              <w:marRight w:val="-225"/>
                                              <w:marTop w:val="225"/>
                                              <w:marBottom w:val="450"/>
                                              <w:divBdr>
                                                <w:top w:val="none" w:sz="0" w:space="0" w:color="auto"/>
                                                <w:left w:val="none" w:sz="0" w:space="0" w:color="auto"/>
                                                <w:bottom w:val="none" w:sz="0" w:space="0" w:color="auto"/>
                                                <w:right w:val="none" w:sz="0" w:space="0" w:color="auto"/>
                                              </w:divBdr>
                                              <w:divsChild>
                                                <w:div w:id="20670254">
                                                  <w:marLeft w:val="0"/>
                                                  <w:marRight w:val="0"/>
                                                  <w:marTop w:val="0"/>
                                                  <w:marBottom w:val="0"/>
                                                  <w:divBdr>
                                                    <w:top w:val="none" w:sz="0" w:space="0" w:color="auto"/>
                                                    <w:left w:val="none" w:sz="0" w:space="0" w:color="auto"/>
                                                    <w:bottom w:val="none" w:sz="0" w:space="0" w:color="auto"/>
                                                    <w:right w:val="none" w:sz="0" w:space="0" w:color="auto"/>
                                                  </w:divBdr>
                                                </w:div>
                                                <w:div w:id="1520125212">
                                                  <w:marLeft w:val="0"/>
                                                  <w:marRight w:val="0"/>
                                                  <w:marTop w:val="0"/>
                                                  <w:marBottom w:val="0"/>
                                                  <w:divBdr>
                                                    <w:top w:val="none" w:sz="0" w:space="0" w:color="auto"/>
                                                    <w:left w:val="none" w:sz="0" w:space="0" w:color="auto"/>
                                                    <w:bottom w:val="none" w:sz="0" w:space="0" w:color="auto"/>
                                                    <w:right w:val="none" w:sz="0" w:space="0" w:color="auto"/>
                                                  </w:divBdr>
                                                </w:div>
                                              </w:divsChild>
                                            </w:div>
                                            <w:div w:id="1258517298">
                                              <w:marLeft w:val="-225"/>
                                              <w:marRight w:val="-225"/>
                                              <w:marTop w:val="225"/>
                                              <w:marBottom w:val="225"/>
                                              <w:divBdr>
                                                <w:top w:val="none" w:sz="0" w:space="0" w:color="auto"/>
                                                <w:left w:val="none" w:sz="0" w:space="0" w:color="auto"/>
                                                <w:bottom w:val="none" w:sz="0" w:space="0" w:color="auto"/>
                                                <w:right w:val="none" w:sz="0" w:space="0" w:color="auto"/>
                                              </w:divBdr>
                                              <w:divsChild>
                                                <w:div w:id="199903322">
                                                  <w:marLeft w:val="0"/>
                                                  <w:marRight w:val="0"/>
                                                  <w:marTop w:val="0"/>
                                                  <w:marBottom w:val="0"/>
                                                  <w:divBdr>
                                                    <w:top w:val="none" w:sz="0" w:space="0" w:color="auto"/>
                                                    <w:left w:val="none" w:sz="0" w:space="0" w:color="auto"/>
                                                    <w:bottom w:val="none" w:sz="0" w:space="0" w:color="auto"/>
                                                    <w:right w:val="none" w:sz="0" w:space="0" w:color="auto"/>
                                                  </w:divBdr>
                                                </w:div>
                                              </w:divsChild>
                                            </w:div>
                                            <w:div w:id="181883872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989332">
                      <w:marLeft w:val="-225"/>
                      <w:marRight w:val="-225"/>
                      <w:marTop w:val="0"/>
                      <w:marBottom w:val="0"/>
                      <w:divBdr>
                        <w:top w:val="none" w:sz="0" w:space="0" w:color="auto"/>
                        <w:left w:val="none" w:sz="0" w:space="0" w:color="auto"/>
                        <w:bottom w:val="none" w:sz="0" w:space="0" w:color="auto"/>
                        <w:right w:val="none" w:sz="0" w:space="0" w:color="auto"/>
                      </w:divBdr>
                      <w:divsChild>
                        <w:div w:id="1914242604">
                          <w:marLeft w:val="0"/>
                          <w:marRight w:val="0"/>
                          <w:marTop w:val="0"/>
                          <w:marBottom w:val="0"/>
                          <w:divBdr>
                            <w:top w:val="none" w:sz="0" w:space="0" w:color="auto"/>
                            <w:left w:val="none" w:sz="0" w:space="0" w:color="auto"/>
                            <w:bottom w:val="none" w:sz="0" w:space="0" w:color="auto"/>
                            <w:right w:val="none" w:sz="0" w:space="0" w:color="auto"/>
                          </w:divBdr>
                          <w:divsChild>
                            <w:div w:id="778064948">
                              <w:marLeft w:val="-225"/>
                              <w:marRight w:val="-225"/>
                              <w:marTop w:val="0"/>
                              <w:marBottom w:val="0"/>
                              <w:divBdr>
                                <w:top w:val="none" w:sz="0" w:space="0" w:color="auto"/>
                                <w:left w:val="none" w:sz="0" w:space="0" w:color="auto"/>
                                <w:bottom w:val="none" w:sz="0" w:space="0" w:color="auto"/>
                                <w:right w:val="none" w:sz="0" w:space="0" w:color="auto"/>
                              </w:divBdr>
                              <w:divsChild>
                                <w:div w:id="1743407921">
                                  <w:marLeft w:val="0"/>
                                  <w:marRight w:val="0"/>
                                  <w:marTop w:val="0"/>
                                  <w:marBottom w:val="75"/>
                                  <w:divBdr>
                                    <w:top w:val="none" w:sz="0" w:space="0" w:color="auto"/>
                                    <w:left w:val="none" w:sz="0" w:space="0" w:color="auto"/>
                                    <w:bottom w:val="none" w:sz="0" w:space="0" w:color="auto"/>
                                    <w:right w:val="none" w:sz="0" w:space="0" w:color="auto"/>
                                  </w:divBdr>
                                </w:div>
                                <w:div w:id="108036725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268856637">
              <w:marLeft w:val="0"/>
              <w:marRight w:val="0"/>
              <w:marTop w:val="0"/>
              <w:marBottom w:val="0"/>
              <w:divBdr>
                <w:top w:val="none" w:sz="0" w:space="0" w:color="auto"/>
                <w:left w:val="none" w:sz="0" w:space="0" w:color="auto"/>
                <w:bottom w:val="none" w:sz="0" w:space="0" w:color="auto"/>
                <w:right w:val="none" w:sz="0" w:space="0" w:color="auto"/>
              </w:divBdr>
              <w:divsChild>
                <w:div w:id="2010479131">
                  <w:marLeft w:val="0"/>
                  <w:marRight w:val="0"/>
                  <w:marTop w:val="0"/>
                  <w:marBottom w:val="0"/>
                  <w:divBdr>
                    <w:top w:val="none" w:sz="0" w:space="0" w:color="auto"/>
                    <w:left w:val="none" w:sz="0" w:space="0" w:color="auto"/>
                    <w:bottom w:val="none" w:sz="0" w:space="0" w:color="auto"/>
                    <w:right w:val="none" w:sz="0" w:space="0" w:color="auto"/>
                  </w:divBdr>
                  <w:divsChild>
                    <w:div w:id="159346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32903">
              <w:marLeft w:val="0"/>
              <w:marRight w:val="0"/>
              <w:marTop w:val="0"/>
              <w:marBottom w:val="0"/>
              <w:divBdr>
                <w:top w:val="none" w:sz="0" w:space="0" w:color="auto"/>
                <w:left w:val="none" w:sz="0" w:space="0" w:color="auto"/>
                <w:bottom w:val="none" w:sz="0" w:space="0" w:color="auto"/>
                <w:right w:val="none" w:sz="0" w:space="0" w:color="auto"/>
              </w:divBdr>
              <w:divsChild>
                <w:div w:id="237832222">
                  <w:marLeft w:val="0"/>
                  <w:marRight w:val="0"/>
                  <w:marTop w:val="0"/>
                  <w:marBottom w:val="0"/>
                  <w:divBdr>
                    <w:top w:val="none" w:sz="0" w:space="0" w:color="auto"/>
                    <w:left w:val="none" w:sz="0" w:space="0" w:color="auto"/>
                    <w:bottom w:val="none" w:sz="0" w:space="0" w:color="auto"/>
                    <w:right w:val="none" w:sz="0" w:space="0" w:color="auto"/>
                  </w:divBdr>
                  <w:divsChild>
                    <w:div w:id="1955938863">
                      <w:marLeft w:val="-225"/>
                      <w:marRight w:val="-225"/>
                      <w:marTop w:val="0"/>
                      <w:marBottom w:val="0"/>
                      <w:divBdr>
                        <w:top w:val="none" w:sz="0" w:space="0" w:color="auto"/>
                        <w:left w:val="none" w:sz="0" w:space="0" w:color="auto"/>
                        <w:bottom w:val="none" w:sz="0" w:space="0" w:color="auto"/>
                        <w:right w:val="none" w:sz="0" w:space="0" w:color="auto"/>
                      </w:divBdr>
                      <w:divsChild>
                        <w:div w:id="19318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64938398">
      <w:bodyDiv w:val="1"/>
      <w:marLeft w:val="0"/>
      <w:marRight w:val="0"/>
      <w:marTop w:val="0"/>
      <w:marBottom w:val="0"/>
      <w:divBdr>
        <w:top w:val="none" w:sz="0" w:space="0" w:color="auto"/>
        <w:left w:val="none" w:sz="0" w:space="0" w:color="auto"/>
        <w:bottom w:val="none" w:sz="0" w:space="0" w:color="auto"/>
        <w:right w:val="none" w:sz="0" w:space="0" w:color="auto"/>
      </w:divBdr>
      <w:divsChild>
        <w:div w:id="943656389">
          <w:marLeft w:val="-225"/>
          <w:marRight w:val="-225"/>
          <w:marTop w:val="450"/>
          <w:marBottom w:val="450"/>
          <w:divBdr>
            <w:top w:val="single" w:sz="6" w:space="0" w:color="CCCCCC"/>
            <w:left w:val="single" w:sz="6" w:space="11" w:color="CCCCCC"/>
            <w:bottom w:val="single" w:sz="6" w:space="0" w:color="CCCCCC"/>
            <w:right w:val="single" w:sz="6" w:space="11" w:color="CCCCCC"/>
          </w:divBdr>
        </w:div>
      </w:divsChild>
    </w:div>
    <w:div w:id="1456213954">
      <w:bodyDiv w:val="1"/>
      <w:marLeft w:val="0"/>
      <w:marRight w:val="0"/>
      <w:marTop w:val="0"/>
      <w:marBottom w:val="0"/>
      <w:divBdr>
        <w:top w:val="none" w:sz="0" w:space="0" w:color="auto"/>
        <w:left w:val="none" w:sz="0" w:space="0" w:color="auto"/>
        <w:bottom w:val="none" w:sz="0" w:space="0" w:color="auto"/>
        <w:right w:val="none" w:sz="0" w:space="0" w:color="auto"/>
      </w:divBdr>
      <w:divsChild>
        <w:div w:id="1487622124">
          <w:marLeft w:val="0"/>
          <w:marRight w:val="0"/>
          <w:marTop w:val="0"/>
          <w:marBottom w:val="0"/>
          <w:divBdr>
            <w:top w:val="none" w:sz="0" w:space="0" w:color="auto"/>
            <w:left w:val="none" w:sz="0" w:space="0" w:color="auto"/>
            <w:bottom w:val="none" w:sz="0" w:space="0" w:color="auto"/>
            <w:right w:val="none" w:sz="0" w:space="0" w:color="auto"/>
          </w:divBdr>
        </w:div>
        <w:div w:id="622658743">
          <w:marLeft w:val="714"/>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6521616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8623481">
      <w:bodyDiv w:val="1"/>
      <w:marLeft w:val="0"/>
      <w:marRight w:val="0"/>
      <w:marTop w:val="0"/>
      <w:marBottom w:val="0"/>
      <w:divBdr>
        <w:top w:val="none" w:sz="0" w:space="0" w:color="auto"/>
        <w:left w:val="none" w:sz="0" w:space="0" w:color="auto"/>
        <w:bottom w:val="none" w:sz="0" w:space="0" w:color="auto"/>
        <w:right w:val="none" w:sz="0" w:space="0" w:color="auto"/>
      </w:divBdr>
      <w:divsChild>
        <w:div w:id="91828134">
          <w:marLeft w:val="-225"/>
          <w:marRight w:val="-225"/>
          <w:marTop w:val="450"/>
          <w:marBottom w:val="0"/>
          <w:divBdr>
            <w:top w:val="none" w:sz="0" w:space="0" w:color="auto"/>
            <w:left w:val="none" w:sz="0" w:space="0" w:color="auto"/>
            <w:bottom w:val="none" w:sz="0" w:space="0" w:color="auto"/>
            <w:right w:val="none" w:sz="0" w:space="0" w:color="auto"/>
          </w:divBdr>
          <w:divsChild>
            <w:div w:id="1241407913">
              <w:marLeft w:val="0"/>
              <w:marRight w:val="0"/>
              <w:marTop w:val="0"/>
              <w:marBottom w:val="0"/>
              <w:divBdr>
                <w:top w:val="none" w:sz="0" w:space="0" w:color="auto"/>
                <w:left w:val="none" w:sz="0" w:space="0" w:color="auto"/>
                <w:bottom w:val="none" w:sz="0" w:space="0" w:color="auto"/>
                <w:right w:val="none" w:sz="0" w:space="0" w:color="auto"/>
              </w:divBdr>
            </w:div>
            <w:div w:id="1063675037">
              <w:marLeft w:val="0"/>
              <w:marRight w:val="0"/>
              <w:marTop w:val="0"/>
              <w:marBottom w:val="0"/>
              <w:divBdr>
                <w:top w:val="none" w:sz="0" w:space="0" w:color="auto"/>
                <w:left w:val="none" w:sz="0" w:space="0" w:color="auto"/>
                <w:bottom w:val="none" w:sz="0" w:space="0" w:color="auto"/>
                <w:right w:val="none" w:sz="0" w:space="0" w:color="auto"/>
              </w:divBdr>
            </w:div>
          </w:divsChild>
        </w:div>
        <w:div w:id="1984843766">
          <w:marLeft w:val="-225"/>
          <w:marRight w:val="-225"/>
          <w:marTop w:val="225"/>
          <w:marBottom w:val="0"/>
          <w:divBdr>
            <w:top w:val="none" w:sz="0" w:space="0" w:color="auto"/>
            <w:left w:val="none" w:sz="0" w:space="0" w:color="auto"/>
            <w:bottom w:val="none" w:sz="0" w:space="0" w:color="auto"/>
            <w:right w:val="none" w:sz="0" w:space="0" w:color="auto"/>
          </w:divBdr>
          <w:divsChild>
            <w:div w:id="18051114">
              <w:marLeft w:val="0"/>
              <w:marRight w:val="0"/>
              <w:marTop w:val="0"/>
              <w:marBottom w:val="0"/>
              <w:divBdr>
                <w:top w:val="none" w:sz="0" w:space="0" w:color="auto"/>
                <w:left w:val="none" w:sz="0" w:space="0" w:color="auto"/>
                <w:bottom w:val="none" w:sz="0" w:space="0" w:color="auto"/>
                <w:right w:val="none" w:sz="0" w:space="0" w:color="auto"/>
              </w:divBdr>
            </w:div>
            <w:div w:id="755707316">
              <w:marLeft w:val="0"/>
              <w:marRight w:val="0"/>
              <w:marTop w:val="0"/>
              <w:marBottom w:val="0"/>
              <w:divBdr>
                <w:top w:val="none" w:sz="0" w:space="0" w:color="auto"/>
                <w:left w:val="none" w:sz="0" w:space="0" w:color="auto"/>
                <w:bottom w:val="none" w:sz="0" w:space="0" w:color="auto"/>
                <w:right w:val="none" w:sz="0" w:space="0" w:color="auto"/>
              </w:divBdr>
            </w:div>
          </w:divsChild>
        </w:div>
        <w:div w:id="1823698520">
          <w:marLeft w:val="-225"/>
          <w:marRight w:val="-225"/>
          <w:marTop w:val="225"/>
          <w:marBottom w:val="0"/>
          <w:divBdr>
            <w:top w:val="none" w:sz="0" w:space="0" w:color="auto"/>
            <w:left w:val="none" w:sz="0" w:space="0" w:color="auto"/>
            <w:bottom w:val="none" w:sz="0" w:space="0" w:color="auto"/>
            <w:right w:val="none" w:sz="0" w:space="0" w:color="auto"/>
          </w:divBdr>
          <w:divsChild>
            <w:div w:id="869339637">
              <w:marLeft w:val="0"/>
              <w:marRight w:val="0"/>
              <w:marTop w:val="0"/>
              <w:marBottom w:val="0"/>
              <w:divBdr>
                <w:top w:val="none" w:sz="0" w:space="0" w:color="auto"/>
                <w:left w:val="none" w:sz="0" w:space="0" w:color="auto"/>
                <w:bottom w:val="none" w:sz="0" w:space="0" w:color="auto"/>
                <w:right w:val="none" w:sz="0" w:space="0" w:color="auto"/>
              </w:divBdr>
            </w:div>
            <w:div w:id="1889680631">
              <w:marLeft w:val="0"/>
              <w:marRight w:val="0"/>
              <w:marTop w:val="0"/>
              <w:marBottom w:val="0"/>
              <w:divBdr>
                <w:top w:val="none" w:sz="0" w:space="0" w:color="auto"/>
                <w:left w:val="none" w:sz="0" w:space="0" w:color="auto"/>
                <w:bottom w:val="none" w:sz="0" w:space="0" w:color="auto"/>
                <w:right w:val="none" w:sz="0" w:space="0" w:color="auto"/>
              </w:divBdr>
            </w:div>
          </w:divsChild>
        </w:div>
        <w:div w:id="1862234708">
          <w:marLeft w:val="-225"/>
          <w:marRight w:val="-225"/>
          <w:marTop w:val="225"/>
          <w:marBottom w:val="0"/>
          <w:divBdr>
            <w:top w:val="none" w:sz="0" w:space="0" w:color="auto"/>
            <w:left w:val="none" w:sz="0" w:space="0" w:color="auto"/>
            <w:bottom w:val="none" w:sz="0" w:space="0" w:color="auto"/>
            <w:right w:val="none" w:sz="0" w:space="0" w:color="auto"/>
          </w:divBdr>
          <w:divsChild>
            <w:div w:id="1462651547">
              <w:marLeft w:val="0"/>
              <w:marRight w:val="0"/>
              <w:marTop w:val="0"/>
              <w:marBottom w:val="0"/>
              <w:divBdr>
                <w:top w:val="none" w:sz="0" w:space="0" w:color="auto"/>
                <w:left w:val="none" w:sz="0" w:space="0" w:color="auto"/>
                <w:bottom w:val="none" w:sz="0" w:space="0" w:color="auto"/>
                <w:right w:val="none" w:sz="0" w:space="0" w:color="auto"/>
              </w:divBdr>
            </w:div>
            <w:div w:id="857432127">
              <w:marLeft w:val="0"/>
              <w:marRight w:val="0"/>
              <w:marTop w:val="0"/>
              <w:marBottom w:val="0"/>
              <w:divBdr>
                <w:top w:val="none" w:sz="0" w:space="0" w:color="auto"/>
                <w:left w:val="none" w:sz="0" w:space="0" w:color="auto"/>
                <w:bottom w:val="none" w:sz="0" w:space="0" w:color="auto"/>
                <w:right w:val="none" w:sz="0" w:space="0" w:color="auto"/>
              </w:divBdr>
            </w:div>
          </w:divsChild>
        </w:div>
        <w:div w:id="1973290431">
          <w:marLeft w:val="-225"/>
          <w:marRight w:val="-225"/>
          <w:marTop w:val="225"/>
          <w:marBottom w:val="0"/>
          <w:divBdr>
            <w:top w:val="none" w:sz="0" w:space="0" w:color="auto"/>
            <w:left w:val="none" w:sz="0" w:space="0" w:color="auto"/>
            <w:bottom w:val="none" w:sz="0" w:space="0" w:color="auto"/>
            <w:right w:val="none" w:sz="0" w:space="0" w:color="auto"/>
          </w:divBdr>
          <w:divsChild>
            <w:div w:id="536546428">
              <w:marLeft w:val="0"/>
              <w:marRight w:val="0"/>
              <w:marTop w:val="0"/>
              <w:marBottom w:val="0"/>
              <w:divBdr>
                <w:top w:val="none" w:sz="0" w:space="0" w:color="auto"/>
                <w:left w:val="none" w:sz="0" w:space="0" w:color="auto"/>
                <w:bottom w:val="none" w:sz="0" w:space="0" w:color="auto"/>
                <w:right w:val="none" w:sz="0" w:space="0" w:color="auto"/>
              </w:divBdr>
            </w:div>
            <w:div w:id="178740710">
              <w:marLeft w:val="0"/>
              <w:marRight w:val="0"/>
              <w:marTop w:val="0"/>
              <w:marBottom w:val="0"/>
              <w:divBdr>
                <w:top w:val="none" w:sz="0" w:space="0" w:color="auto"/>
                <w:left w:val="none" w:sz="0" w:space="0" w:color="auto"/>
                <w:bottom w:val="none" w:sz="0" w:space="0" w:color="auto"/>
                <w:right w:val="none" w:sz="0" w:space="0" w:color="auto"/>
              </w:divBdr>
            </w:div>
          </w:divsChild>
        </w:div>
        <w:div w:id="1847816409">
          <w:marLeft w:val="-225"/>
          <w:marRight w:val="-225"/>
          <w:marTop w:val="225"/>
          <w:marBottom w:val="0"/>
          <w:divBdr>
            <w:top w:val="none" w:sz="0" w:space="0" w:color="auto"/>
            <w:left w:val="none" w:sz="0" w:space="0" w:color="auto"/>
            <w:bottom w:val="none" w:sz="0" w:space="0" w:color="auto"/>
            <w:right w:val="none" w:sz="0" w:space="0" w:color="auto"/>
          </w:divBdr>
          <w:divsChild>
            <w:div w:id="109670961">
              <w:marLeft w:val="0"/>
              <w:marRight w:val="0"/>
              <w:marTop w:val="0"/>
              <w:marBottom w:val="0"/>
              <w:divBdr>
                <w:top w:val="none" w:sz="0" w:space="0" w:color="auto"/>
                <w:left w:val="none" w:sz="0" w:space="0" w:color="auto"/>
                <w:bottom w:val="none" w:sz="0" w:space="0" w:color="auto"/>
                <w:right w:val="none" w:sz="0" w:space="0" w:color="auto"/>
              </w:divBdr>
            </w:div>
            <w:div w:id="1709336980">
              <w:marLeft w:val="0"/>
              <w:marRight w:val="0"/>
              <w:marTop w:val="0"/>
              <w:marBottom w:val="0"/>
              <w:divBdr>
                <w:top w:val="none" w:sz="0" w:space="0" w:color="auto"/>
                <w:left w:val="none" w:sz="0" w:space="0" w:color="auto"/>
                <w:bottom w:val="none" w:sz="0" w:space="0" w:color="auto"/>
                <w:right w:val="none" w:sz="0" w:space="0" w:color="auto"/>
              </w:divBdr>
            </w:div>
          </w:divsChild>
        </w:div>
        <w:div w:id="150878811">
          <w:marLeft w:val="-225"/>
          <w:marRight w:val="-225"/>
          <w:marTop w:val="225"/>
          <w:marBottom w:val="0"/>
          <w:divBdr>
            <w:top w:val="none" w:sz="0" w:space="0" w:color="auto"/>
            <w:left w:val="none" w:sz="0" w:space="0" w:color="auto"/>
            <w:bottom w:val="none" w:sz="0" w:space="0" w:color="auto"/>
            <w:right w:val="none" w:sz="0" w:space="0" w:color="auto"/>
          </w:divBdr>
          <w:divsChild>
            <w:div w:id="1641228940">
              <w:marLeft w:val="0"/>
              <w:marRight w:val="0"/>
              <w:marTop w:val="0"/>
              <w:marBottom w:val="0"/>
              <w:divBdr>
                <w:top w:val="none" w:sz="0" w:space="0" w:color="auto"/>
                <w:left w:val="none" w:sz="0" w:space="0" w:color="auto"/>
                <w:bottom w:val="none" w:sz="0" w:space="0" w:color="auto"/>
                <w:right w:val="none" w:sz="0" w:space="0" w:color="auto"/>
              </w:divBdr>
            </w:div>
            <w:div w:id="1657689494">
              <w:marLeft w:val="0"/>
              <w:marRight w:val="0"/>
              <w:marTop w:val="0"/>
              <w:marBottom w:val="0"/>
              <w:divBdr>
                <w:top w:val="none" w:sz="0" w:space="0" w:color="auto"/>
                <w:left w:val="none" w:sz="0" w:space="0" w:color="auto"/>
                <w:bottom w:val="none" w:sz="0" w:space="0" w:color="auto"/>
                <w:right w:val="none" w:sz="0" w:space="0" w:color="auto"/>
              </w:divBdr>
            </w:div>
          </w:divsChild>
        </w:div>
        <w:div w:id="1149443124">
          <w:marLeft w:val="-225"/>
          <w:marRight w:val="-225"/>
          <w:marTop w:val="225"/>
          <w:marBottom w:val="225"/>
          <w:divBdr>
            <w:top w:val="none" w:sz="0" w:space="0" w:color="auto"/>
            <w:left w:val="none" w:sz="0" w:space="0" w:color="auto"/>
            <w:bottom w:val="none" w:sz="0" w:space="0" w:color="auto"/>
            <w:right w:val="none" w:sz="0" w:space="0" w:color="auto"/>
          </w:divBdr>
          <w:divsChild>
            <w:div w:id="1573005939">
              <w:marLeft w:val="0"/>
              <w:marRight w:val="0"/>
              <w:marTop w:val="0"/>
              <w:marBottom w:val="0"/>
              <w:divBdr>
                <w:top w:val="none" w:sz="0" w:space="0" w:color="auto"/>
                <w:left w:val="none" w:sz="0" w:space="0" w:color="auto"/>
                <w:bottom w:val="none" w:sz="0" w:space="0" w:color="auto"/>
                <w:right w:val="none" w:sz="0" w:space="0" w:color="auto"/>
              </w:divBdr>
            </w:div>
            <w:div w:id="271280397">
              <w:marLeft w:val="0"/>
              <w:marRight w:val="0"/>
              <w:marTop w:val="0"/>
              <w:marBottom w:val="0"/>
              <w:divBdr>
                <w:top w:val="none" w:sz="0" w:space="0" w:color="auto"/>
                <w:left w:val="none" w:sz="0" w:space="0" w:color="auto"/>
                <w:bottom w:val="none" w:sz="0" w:space="0" w:color="auto"/>
                <w:right w:val="none" w:sz="0" w:space="0" w:color="auto"/>
              </w:divBdr>
            </w:div>
          </w:divsChild>
        </w:div>
        <w:div w:id="1745031881">
          <w:marLeft w:val="-225"/>
          <w:marRight w:val="-225"/>
          <w:marTop w:val="225"/>
          <w:marBottom w:val="0"/>
          <w:divBdr>
            <w:top w:val="none" w:sz="0" w:space="0" w:color="auto"/>
            <w:left w:val="none" w:sz="0" w:space="0" w:color="auto"/>
            <w:bottom w:val="none" w:sz="0" w:space="0" w:color="auto"/>
            <w:right w:val="none" w:sz="0" w:space="0" w:color="auto"/>
          </w:divBdr>
          <w:divsChild>
            <w:div w:id="595365">
              <w:marLeft w:val="0"/>
              <w:marRight w:val="0"/>
              <w:marTop w:val="0"/>
              <w:marBottom w:val="0"/>
              <w:divBdr>
                <w:top w:val="none" w:sz="0" w:space="0" w:color="auto"/>
                <w:left w:val="none" w:sz="0" w:space="0" w:color="auto"/>
                <w:bottom w:val="none" w:sz="0" w:space="0" w:color="auto"/>
                <w:right w:val="none" w:sz="0" w:space="0" w:color="auto"/>
              </w:divBdr>
            </w:div>
            <w:div w:id="1626278151">
              <w:marLeft w:val="0"/>
              <w:marRight w:val="0"/>
              <w:marTop w:val="0"/>
              <w:marBottom w:val="0"/>
              <w:divBdr>
                <w:top w:val="none" w:sz="0" w:space="0" w:color="auto"/>
                <w:left w:val="none" w:sz="0" w:space="0" w:color="auto"/>
                <w:bottom w:val="none" w:sz="0" w:space="0" w:color="auto"/>
                <w:right w:val="none" w:sz="0" w:space="0" w:color="auto"/>
              </w:divBdr>
            </w:div>
          </w:divsChild>
        </w:div>
        <w:div w:id="2136479191">
          <w:marLeft w:val="-225"/>
          <w:marRight w:val="-225"/>
          <w:marTop w:val="0"/>
          <w:marBottom w:val="0"/>
          <w:divBdr>
            <w:top w:val="none" w:sz="0" w:space="0" w:color="auto"/>
            <w:left w:val="none" w:sz="0" w:space="0" w:color="auto"/>
            <w:bottom w:val="none" w:sz="0" w:space="0" w:color="auto"/>
            <w:right w:val="none" w:sz="0" w:space="0" w:color="auto"/>
          </w:divBdr>
          <w:divsChild>
            <w:div w:id="966277401">
              <w:marLeft w:val="0"/>
              <w:marRight w:val="0"/>
              <w:marTop w:val="0"/>
              <w:marBottom w:val="0"/>
              <w:divBdr>
                <w:top w:val="none" w:sz="0" w:space="0" w:color="auto"/>
                <w:left w:val="none" w:sz="0" w:space="0" w:color="auto"/>
                <w:bottom w:val="none" w:sz="0" w:space="0" w:color="auto"/>
                <w:right w:val="none" w:sz="0" w:space="0" w:color="auto"/>
              </w:divBdr>
            </w:div>
            <w:div w:id="389232527">
              <w:marLeft w:val="0"/>
              <w:marRight w:val="0"/>
              <w:marTop w:val="0"/>
              <w:marBottom w:val="0"/>
              <w:divBdr>
                <w:top w:val="none" w:sz="0" w:space="0" w:color="auto"/>
                <w:left w:val="none" w:sz="0" w:space="0" w:color="auto"/>
                <w:bottom w:val="none" w:sz="0" w:space="0" w:color="auto"/>
                <w:right w:val="none" w:sz="0" w:space="0" w:color="auto"/>
              </w:divBdr>
            </w:div>
          </w:divsChild>
        </w:div>
        <w:div w:id="1268001712">
          <w:marLeft w:val="-225"/>
          <w:marRight w:val="-225"/>
          <w:marTop w:val="0"/>
          <w:marBottom w:val="0"/>
          <w:divBdr>
            <w:top w:val="none" w:sz="0" w:space="0" w:color="auto"/>
            <w:left w:val="none" w:sz="0" w:space="0" w:color="auto"/>
            <w:bottom w:val="none" w:sz="0" w:space="0" w:color="auto"/>
            <w:right w:val="none" w:sz="0" w:space="0" w:color="auto"/>
          </w:divBdr>
          <w:divsChild>
            <w:div w:id="1760639001">
              <w:marLeft w:val="0"/>
              <w:marRight w:val="0"/>
              <w:marTop w:val="0"/>
              <w:marBottom w:val="0"/>
              <w:divBdr>
                <w:top w:val="none" w:sz="0" w:space="0" w:color="auto"/>
                <w:left w:val="none" w:sz="0" w:space="0" w:color="auto"/>
                <w:bottom w:val="none" w:sz="0" w:space="0" w:color="auto"/>
                <w:right w:val="none" w:sz="0" w:space="0" w:color="auto"/>
              </w:divBdr>
            </w:div>
            <w:div w:id="486214041">
              <w:marLeft w:val="0"/>
              <w:marRight w:val="0"/>
              <w:marTop w:val="0"/>
              <w:marBottom w:val="0"/>
              <w:divBdr>
                <w:top w:val="none" w:sz="0" w:space="0" w:color="auto"/>
                <w:left w:val="none" w:sz="0" w:space="0" w:color="auto"/>
                <w:bottom w:val="none" w:sz="0" w:space="0" w:color="auto"/>
                <w:right w:val="none" w:sz="0" w:space="0" w:color="auto"/>
              </w:divBdr>
            </w:div>
          </w:divsChild>
        </w:div>
        <w:div w:id="1338732438">
          <w:marLeft w:val="-225"/>
          <w:marRight w:val="-225"/>
          <w:marTop w:val="0"/>
          <w:marBottom w:val="0"/>
          <w:divBdr>
            <w:top w:val="none" w:sz="0" w:space="0" w:color="auto"/>
            <w:left w:val="none" w:sz="0" w:space="0" w:color="auto"/>
            <w:bottom w:val="none" w:sz="0" w:space="0" w:color="auto"/>
            <w:right w:val="none" w:sz="0" w:space="0" w:color="auto"/>
          </w:divBdr>
          <w:divsChild>
            <w:div w:id="32200193">
              <w:marLeft w:val="0"/>
              <w:marRight w:val="0"/>
              <w:marTop w:val="0"/>
              <w:marBottom w:val="0"/>
              <w:divBdr>
                <w:top w:val="none" w:sz="0" w:space="0" w:color="auto"/>
                <w:left w:val="none" w:sz="0" w:space="0" w:color="auto"/>
                <w:bottom w:val="none" w:sz="0" w:space="0" w:color="auto"/>
                <w:right w:val="none" w:sz="0" w:space="0" w:color="auto"/>
              </w:divBdr>
            </w:div>
            <w:div w:id="195108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67531736">
      <w:bodyDiv w:val="1"/>
      <w:marLeft w:val="0"/>
      <w:marRight w:val="0"/>
      <w:marTop w:val="0"/>
      <w:marBottom w:val="0"/>
      <w:divBdr>
        <w:top w:val="none" w:sz="0" w:space="0" w:color="auto"/>
        <w:left w:val="none" w:sz="0" w:space="0" w:color="auto"/>
        <w:bottom w:val="none" w:sz="0" w:space="0" w:color="auto"/>
        <w:right w:val="none" w:sz="0" w:space="0" w:color="auto"/>
      </w:divBdr>
      <w:divsChild>
        <w:div w:id="523903362">
          <w:marLeft w:val="0"/>
          <w:marRight w:val="0"/>
          <w:marTop w:val="0"/>
          <w:marBottom w:val="0"/>
          <w:divBdr>
            <w:top w:val="none" w:sz="0" w:space="0" w:color="auto"/>
            <w:left w:val="none" w:sz="0" w:space="0" w:color="auto"/>
            <w:bottom w:val="none" w:sz="0" w:space="0" w:color="auto"/>
            <w:right w:val="none" w:sz="0" w:space="0" w:color="auto"/>
          </w:divBdr>
        </w:div>
        <w:div w:id="2056925063">
          <w:marLeft w:val="714"/>
          <w:marRight w:val="0"/>
          <w:marTop w:val="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4350230">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67016257">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8848461">
      <w:bodyDiv w:val="1"/>
      <w:marLeft w:val="0"/>
      <w:marRight w:val="0"/>
      <w:marTop w:val="0"/>
      <w:marBottom w:val="0"/>
      <w:divBdr>
        <w:top w:val="none" w:sz="0" w:space="0" w:color="auto"/>
        <w:left w:val="none" w:sz="0" w:space="0" w:color="auto"/>
        <w:bottom w:val="none" w:sz="0" w:space="0" w:color="auto"/>
        <w:right w:val="none" w:sz="0" w:space="0" w:color="auto"/>
      </w:divBdr>
      <w:divsChild>
        <w:div w:id="1064714841">
          <w:marLeft w:val="0"/>
          <w:marRight w:val="0"/>
          <w:marTop w:val="0"/>
          <w:marBottom w:val="0"/>
          <w:divBdr>
            <w:top w:val="none" w:sz="0" w:space="0" w:color="auto"/>
            <w:left w:val="none" w:sz="0" w:space="0" w:color="auto"/>
            <w:bottom w:val="none" w:sz="0" w:space="0" w:color="auto"/>
            <w:right w:val="none" w:sz="0" w:space="0" w:color="auto"/>
          </w:divBdr>
          <w:divsChild>
            <w:div w:id="1067802946">
              <w:marLeft w:val="0"/>
              <w:marRight w:val="0"/>
              <w:marTop w:val="0"/>
              <w:marBottom w:val="0"/>
              <w:divBdr>
                <w:top w:val="none" w:sz="0" w:space="0" w:color="auto"/>
                <w:left w:val="none" w:sz="0" w:space="0" w:color="auto"/>
                <w:bottom w:val="none" w:sz="0" w:space="0" w:color="auto"/>
                <w:right w:val="none" w:sz="0" w:space="0" w:color="auto"/>
              </w:divBdr>
              <w:divsChild>
                <w:div w:id="1727335927">
                  <w:marLeft w:val="-225"/>
                  <w:marRight w:val="-225"/>
                  <w:marTop w:val="0"/>
                  <w:marBottom w:val="0"/>
                  <w:divBdr>
                    <w:top w:val="none" w:sz="0" w:space="0" w:color="auto"/>
                    <w:left w:val="none" w:sz="0" w:space="0" w:color="auto"/>
                    <w:bottom w:val="none" w:sz="0" w:space="0" w:color="auto"/>
                    <w:right w:val="none" w:sz="0" w:space="0" w:color="auto"/>
                  </w:divBdr>
                  <w:divsChild>
                    <w:div w:id="935718">
                      <w:marLeft w:val="0"/>
                      <w:marRight w:val="0"/>
                      <w:marTop w:val="0"/>
                      <w:marBottom w:val="0"/>
                      <w:divBdr>
                        <w:top w:val="none" w:sz="0" w:space="0" w:color="auto"/>
                        <w:left w:val="none" w:sz="0" w:space="0" w:color="auto"/>
                        <w:bottom w:val="none" w:sz="0" w:space="0" w:color="auto"/>
                        <w:right w:val="none" w:sz="0" w:space="0" w:color="auto"/>
                      </w:divBdr>
                      <w:divsChild>
                        <w:div w:id="1700085334">
                          <w:marLeft w:val="0"/>
                          <w:marRight w:val="0"/>
                          <w:marTop w:val="0"/>
                          <w:marBottom w:val="0"/>
                          <w:divBdr>
                            <w:top w:val="none" w:sz="0" w:space="0" w:color="auto"/>
                            <w:left w:val="none" w:sz="0" w:space="0" w:color="auto"/>
                            <w:bottom w:val="none" w:sz="0" w:space="0" w:color="auto"/>
                            <w:right w:val="none" w:sz="0" w:space="0" w:color="auto"/>
                          </w:divBdr>
                          <w:divsChild>
                            <w:div w:id="1026518213">
                              <w:marLeft w:val="0"/>
                              <w:marRight w:val="0"/>
                              <w:marTop w:val="0"/>
                              <w:marBottom w:val="0"/>
                              <w:divBdr>
                                <w:top w:val="none" w:sz="0" w:space="0" w:color="auto"/>
                                <w:left w:val="none" w:sz="0" w:space="0" w:color="auto"/>
                                <w:bottom w:val="none" w:sz="0" w:space="0" w:color="auto"/>
                                <w:right w:val="none" w:sz="0" w:space="0" w:color="auto"/>
                              </w:divBdr>
                              <w:divsChild>
                                <w:div w:id="1364668154">
                                  <w:marLeft w:val="0"/>
                                  <w:marRight w:val="0"/>
                                  <w:marTop w:val="0"/>
                                  <w:marBottom w:val="0"/>
                                  <w:divBdr>
                                    <w:top w:val="none" w:sz="0" w:space="0" w:color="auto"/>
                                    <w:left w:val="none" w:sz="0" w:space="0" w:color="auto"/>
                                    <w:bottom w:val="none" w:sz="0" w:space="0" w:color="auto"/>
                                    <w:right w:val="none" w:sz="0" w:space="0" w:color="auto"/>
                                  </w:divBdr>
                                  <w:divsChild>
                                    <w:div w:id="938294485">
                                      <w:marLeft w:val="-225"/>
                                      <w:marRight w:val="-225"/>
                                      <w:marTop w:val="450"/>
                                      <w:marBottom w:val="0"/>
                                      <w:divBdr>
                                        <w:top w:val="none" w:sz="0" w:space="0" w:color="auto"/>
                                        <w:left w:val="none" w:sz="0" w:space="0" w:color="auto"/>
                                        <w:bottom w:val="none" w:sz="0" w:space="0" w:color="auto"/>
                                        <w:right w:val="none" w:sz="0" w:space="0" w:color="auto"/>
                                      </w:divBdr>
                                      <w:divsChild>
                                        <w:div w:id="2027553510">
                                          <w:marLeft w:val="0"/>
                                          <w:marRight w:val="0"/>
                                          <w:marTop w:val="0"/>
                                          <w:marBottom w:val="0"/>
                                          <w:divBdr>
                                            <w:top w:val="none" w:sz="0" w:space="0" w:color="auto"/>
                                            <w:left w:val="none" w:sz="0" w:space="0" w:color="auto"/>
                                            <w:bottom w:val="none" w:sz="0" w:space="0" w:color="auto"/>
                                            <w:right w:val="none" w:sz="0" w:space="0" w:color="auto"/>
                                          </w:divBdr>
                                          <w:divsChild>
                                            <w:div w:id="64618910">
                                              <w:marLeft w:val="0"/>
                                              <w:marRight w:val="0"/>
                                              <w:marTop w:val="225"/>
                                              <w:marBottom w:val="225"/>
                                              <w:divBdr>
                                                <w:top w:val="none" w:sz="0" w:space="0" w:color="auto"/>
                                                <w:left w:val="none" w:sz="0" w:space="0" w:color="auto"/>
                                                <w:bottom w:val="none" w:sz="0" w:space="0" w:color="auto"/>
                                                <w:right w:val="none" w:sz="0" w:space="0" w:color="auto"/>
                                              </w:divBdr>
                                            </w:div>
                                            <w:div w:id="438721478">
                                              <w:marLeft w:val="-225"/>
                                              <w:marRight w:val="-225"/>
                                              <w:marTop w:val="450"/>
                                              <w:marBottom w:val="450"/>
                                              <w:divBdr>
                                                <w:top w:val="single" w:sz="6" w:space="0" w:color="CCCCCC"/>
                                                <w:left w:val="single" w:sz="6" w:space="11" w:color="CCCCCC"/>
                                                <w:bottom w:val="single" w:sz="6" w:space="0" w:color="CCCCCC"/>
                                                <w:right w:val="single" w:sz="6" w:space="11" w:color="CCCCCC"/>
                                              </w:divBdr>
                                            </w:div>
                                            <w:div w:id="1988318525">
                                              <w:marLeft w:val="-225"/>
                                              <w:marRight w:val="-225"/>
                                              <w:marTop w:val="450"/>
                                              <w:marBottom w:val="450"/>
                                              <w:divBdr>
                                                <w:top w:val="none" w:sz="0" w:space="0" w:color="auto"/>
                                                <w:left w:val="none" w:sz="0" w:space="0" w:color="auto"/>
                                                <w:bottom w:val="none" w:sz="0" w:space="0" w:color="auto"/>
                                                <w:right w:val="none" w:sz="0" w:space="0" w:color="auto"/>
                                              </w:divBdr>
                                              <w:divsChild>
                                                <w:div w:id="1517305239">
                                                  <w:marLeft w:val="0"/>
                                                  <w:marRight w:val="0"/>
                                                  <w:marTop w:val="0"/>
                                                  <w:marBottom w:val="0"/>
                                                  <w:divBdr>
                                                    <w:top w:val="none" w:sz="0" w:space="0" w:color="auto"/>
                                                    <w:left w:val="none" w:sz="0" w:space="0" w:color="auto"/>
                                                    <w:bottom w:val="none" w:sz="0" w:space="0" w:color="auto"/>
                                                    <w:right w:val="none" w:sz="0" w:space="0" w:color="auto"/>
                                                  </w:divBdr>
                                                </w:div>
                                                <w:div w:id="649140899">
                                                  <w:marLeft w:val="0"/>
                                                  <w:marRight w:val="0"/>
                                                  <w:marTop w:val="0"/>
                                                  <w:marBottom w:val="0"/>
                                                  <w:divBdr>
                                                    <w:top w:val="none" w:sz="0" w:space="0" w:color="auto"/>
                                                    <w:left w:val="none" w:sz="0" w:space="0" w:color="auto"/>
                                                    <w:bottom w:val="none" w:sz="0" w:space="0" w:color="auto"/>
                                                    <w:right w:val="none" w:sz="0" w:space="0" w:color="auto"/>
                                                  </w:divBdr>
                                                </w:div>
                                              </w:divsChild>
                                            </w:div>
                                            <w:div w:id="1417286736">
                                              <w:marLeft w:val="-225"/>
                                              <w:marRight w:val="-225"/>
                                              <w:marTop w:val="225"/>
                                              <w:marBottom w:val="450"/>
                                              <w:divBdr>
                                                <w:top w:val="none" w:sz="0" w:space="0" w:color="auto"/>
                                                <w:left w:val="none" w:sz="0" w:space="0" w:color="auto"/>
                                                <w:bottom w:val="none" w:sz="0" w:space="0" w:color="auto"/>
                                                <w:right w:val="none" w:sz="0" w:space="0" w:color="auto"/>
                                              </w:divBdr>
                                              <w:divsChild>
                                                <w:div w:id="400756951">
                                                  <w:marLeft w:val="0"/>
                                                  <w:marRight w:val="0"/>
                                                  <w:marTop w:val="0"/>
                                                  <w:marBottom w:val="0"/>
                                                  <w:divBdr>
                                                    <w:top w:val="none" w:sz="0" w:space="0" w:color="auto"/>
                                                    <w:left w:val="none" w:sz="0" w:space="0" w:color="auto"/>
                                                    <w:bottom w:val="none" w:sz="0" w:space="0" w:color="auto"/>
                                                    <w:right w:val="none" w:sz="0" w:space="0" w:color="auto"/>
                                                  </w:divBdr>
                                                </w:div>
                                                <w:div w:id="1829901065">
                                                  <w:marLeft w:val="0"/>
                                                  <w:marRight w:val="0"/>
                                                  <w:marTop w:val="0"/>
                                                  <w:marBottom w:val="0"/>
                                                  <w:divBdr>
                                                    <w:top w:val="none" w:sz="0" w:space="0" w:color="auto"/>
                                                    <w:left w:val="none" w:sz="0" w:space="0" w:color="auto"/>
                                                    <w:bottom w:val="none" w:sz="0" w:space="0" w:color="auto"/>
                                                    <w:right w:val="none" w:sz="0" w:space="0" w:color="auto"/>
                                                  </w:divBdr>
                                                </w:div>
                                              </w:divsChild>
                                            </w:div>
                                            <w:div w:id="1162087908">
                                              <w:marLeft w:val="-225"/>
                                              <w:marRight w:val="-225"/>
                                              <w:marTop w:val="225"/>
                                              <w:marBottom w:val="225"/>
                                              <w:divBdr>
                                                <w:top w:val="none" w:sz="0" w:space="0" w:color="auto"/>
                                                <w:left w:val="none" w:sz="0" w:space="0" w:color="auto"/>
                                                <w:bottom w:val="none" w:sz="0" w:space="0" w:color="auto"/>
                                                <w:right w:val="none" w:sz="0" w:space="0" w:color="auto"/>
                                              </w:divBdr>
                                              <w:divsChild>
                                                <w:div w:id="1567718751">
                                                  <w:marLeft w:val="0"/>
                                                  <w:marRight w:val="0"/>
                                                  <w:marTop w:val="0"/>
                                                  <w:marBottom w:val="0"/>
                                                  <w:divBdr>
                                                    <w:top w:val="none" w:sz="0" w:space="0" w:color="auto"/>
                                                    <w:left w:val="none" w:sz="0" w:space="0" w:color="auto"/>
                                                    <w:bottom w:val="none" w:sz="0" w:space="0" w:color="auto"/>
                                                    <w:right w:val="none" w:sz="0" w:space="0" w:color="auto"/>
                                                  </w:divBdr>
                                                </w:div>
                                              </w:divsChild>
                                            </w:div>
                                            <w:div w:id="27074487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710356">
                      <w:marLeft w:val="-225"/>
                      <w:marRight w:val="-225"/>
                      <w:marTop w:val="0"/>
                      <w:marBottom w:val="0"/>
                      <w:divBdr>
                        <w:top w:val="none" w:sz="0" w:space="0" w:color="auto"/>
                        <w:left w:val="none" w:sz="0" w:space="0" w:color="auto"/>
                        <w:bottom w:val="none" w:sz="0" w:space="0" w:color="auto"/>
                        <w:right w:val="none" w:sz="0" w:space="0" w:color="auto"/>
                      </w:divBdr>
                      <w:divsChild>
                        <w:div w:id="401870528">
                          <w:marLeft w:val="0"/>
                          <w:marRight w:val="0"/>
                          <w:marTop w:val="0"/>
                          <w:marBottom w:val="0"/>
                          <w:divBdr>
                            <w:top w:val="none" w:sz="0" w:space="0" w:color="auto"/>
                            <w:left w:val="none" w:sz="0" w:space="0" w:color="auto"/>
                            <w:bottom w:val="none" w:sz="0" w:space="0" w:color="auto"/>
                            <w:right w:val="none" w:sz="0" w:space="0" w:color="auto"/>
                          </w:divBdr>
                          <w:divsChild>
                            <w:div w:id="1094087935">
                              <w:marLeft w:val="-225"/>
                              <w:marRight w:val="-225"/>
                              <w:marTop w:val="0"/>
                              <w:marBottom w:val="0"/>
                              <w:divBdr>
                                <w:top w:val="none" w:sz="0" w:space="0" w:color="auto"/>
                                <w:left w:val="none" w:sz="0" w:space="0" w:color="auto"/>
                                <w:bottom w:val="none" w:sz="0" w:space="0" w:color="auto"/>
                                <w:right w:val="none" w:sz="0" w:space="0" w:color="auto"/>
                              </w:divBdr>
                              <w:divsChild>
                                <w:div w:id="134757357">
                                  <w:marLeft w:val="0"/>
                                  <w:marRight w:val="0"/>
                                  <w:marTop w:val="0"/>
                                  <w:marBottom w:val="75"/>
                                  <w:divBdr>
                                    <w:top w:val="none" w:sz="0" w:space="0" w:color="auto"/>
                                    <w:left w:val="none" w:sz="0" w:space="0" w:color="auto"/>
                                    <w:bottom w:val="none" w:sz="0" w:space="0" w:color="auto"/>
                                    <w:right w:val="none" w:sz="0" w:space="0" w:color="auto"/>
                                  </w:divBdr>
                                </w:div>
                                <w:div w:id="41729400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637995118">
              <w:marLeft w:val="0"/>
              <w:marRight w:val="0"/>
              <w:marTop w:val="0"/>
              <w:marBottom w:val="0"/>
              <w:divBdr>
                <w:top w:val="none" w:sz="0" w:space="0" w:color="auto"/>
                <w:left w:val="none" w:sz="0" w:space="0" w:color="auto"/>
                <w:bottom w:val="none" w:sz="0" w:space="0" w:color="auto"/>
                <w:right w:val="none" w:sz="0" w:space="0" w:color="auto"/>
              </w:divBdr>
              <w:divsChild>
                <w:div w:id="1604847060">
                  <w:marLeft w:val="0"/>
                  <w:marRight w:val="0"/>
                  <w:marTop w:val="0"/>
                  <w:marBottom w:val="0"/>
                  <w:divBdr>
                    <w:top w:val="none" w:sz="0" w:space="0" w:color="auto"/>
                    <w:left w:val="none" w:sz="0" w:space="0" w:color="auto"/>
                    <w:bottom w:val="none" w:sz="0" w:space="0" w:color="auto"/>
                    <w:right w:val="none" w:sz="0" w:space="0" w:color="auto"/>
                  </w:divBdr>
                  <w:divsChild>
                    <w:div w:id="119789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20213">
              <w:marLeft w:val="0"/>
              <w:marRight w:val="0"/>
              <w:marTop w:val="0"/>
              <w:marBottom w:val="0"/>
              <w:divBdr>
                <w:top w:val="none" w:sz="0" w:space="0" w:color="auto"/>
                <w:left w:val="none" w:sz="0" w:space="0" w:color="auto"/>
                <w:bottom w:val="none" w:sz="0" w:space="0" w:color="auto"/>
                <w:right w:val="none" w:sz="0" w:space="0" w:color="auto"/>
              </w:divBdr>
              <w:divsChild>
                <w:div w:id="457576364">
                  <w:marLeft w:val="0"/>
                  <w:marRight w:val="0"/>
                  <w:marTop w:val="0"/>
                  <w:marBottom w:val="0"/>
                  <w:divBdr>
                    <w:top w:val="none" w:sz="0" w:space="0" w:color="auto"/>
                    <w:left w:val="none" w:sz="0" w:space="0" w:color="auto"/>
                    <w:bottom w:val="none" w:sz="0" w:space="0" w:color="auto"/>
                    <w:right w:val="none" w:sz="0" w:space="0" w:color="auto"/>
                  </w:divBdr>
                  <w:divsChild>
                    <w:div w:id="1622303902">
                      <w:marLeft w:val="-225"/>
                      <w:marRight w:val="-225"/>
                      <w:marTop w:val="0"/>
                      <w:marBottom w:val="0"/>
                      <w:divBdr>
                        <w:top w:val="none" w:sz="0" w:space="0" w:color="auto"/>
                        <w:left w:val="none" w:sz="0" w:space="0" w:color="auto"/>
                        <w:bottom w:val="none" w:sz="0" w:space="0" w:color="auto"/>
                        <w:right w:val="none" w:sz="0" w:space="0" w:color="auto"/>
                      </w:divBdr>
                      <w:divsChild>
                        <w:div w:id="134736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sed-isde.canada.ca/site/spectrum-management-telecommunications/en/official-publications/policies/spectrum-utilization-policies-sp/sp-1-20-ghz-revisions-microwave-spectrum-utilization-policies-range-1-20-ghz-sf09086" TargetMode="External"/><Relationship Id="rId18" Type="http://schemas.openxmlformats.org/officeDocument/2006/relationships/hyperlink" Target="https://ised-isde.canada.ca/site/spectrum-management-telecommunications/en/official-publications/legislation-regulations-and-treaties/terrestrial-radiocom-agreements-and-arrangements-traa/arrangement-d" TargetMode="External"/><Relationship Id="rId26"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39" Type="http://schemas.openxmlformats.org/officeDocument/2006/relationships/fontTable" Target="fontTable.xml"/><Relationship Id="rId21" Type="http://schemas.openxmlformats.org/officeDocument/2006/relationships/hyperlink" Target="https://ised-isde.canada.ca/site/spectrum-management-telecommunications/en/rsp-113-application-procedures-planned-radio-stations-above-960-mhz-fixed-service" TargetMode="External"/><Relationship Id="rId34"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7" Type="http://schemas.openxmlformats.org/officeDocument/2006/relationships/endnotes" Target="endnotes.xml"/><Relationship Id="rId12" Type="http://schemas.openxmlformats.org/officeDocument/2006/relationships/hyperlink" Target="https://ised-isde.canada.ca/site/spectrum-management-telecommunications/en/official-publications/policies/spectrum-utilization-policies-sp/sp-gen-general-information-related-spectrum-utilization-and-radio-systems-policies" TargetMode="External"/><Relationship Id="rId17" Type="http://schemas.openxmlformats.org/officeDocument/2006/relationships/hyperlink" Target="https://ised-isde.canada.ca/site/spectrum-management-telecommunications/en/learn-more/key-documents/official-publications" TargetMode="External"/><Relationship Id="rId25" Type="http://schemas.openxmlformats.org/officeDocument/2006/relationships/hyperlink" Target="https://ised-isde.canada.ca/site/spectrum-management-telecommunications/en/devices-and-equipment/telecom-regulation-circulars-trc/trc-43-designation-emissions-class-station-and-nature-service" TargetMode="External"/><Relationship Id="rId33" Type="http://schemas.openxmlformats.org/officeDocument/2006/relationships/hyperlink" Target="https://ised-isde.canada.ca/site/spectrum-management-telecommunications/en/official-publications/policies/spectrum-utilization-policies-sp/sp-1-20-ghz-revisions-microwave-spectrum-utilization-policies-range-1-20-ghz-sf09086"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ic.gc.ca/spectrum" TargetMode="External"/><Relationship Id="rId20" Type="http://schemas.openxmlformats.org/officeDocument/2006/relationships/hyperlink" Target="https://ised-isde.canada.ca/site/spectrum-management-telecommunications/en/learn-more/key-documents/canadian-table-frequency-allocations"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ed-isde.canada.ca/site/spectrum-management-telecommunications/en/rsp-113-application-procedures-planned-radio-stations-above-960-mhz-fixed-service" TargetMode="External"/><Relationship Id="rId24" Type="http://schemas.openxmlformats.org/officeDocument/2006/relationships/hyperlink" Target="https://ised-isde.canada.ca/site/spectrum-management-telecommunications/en/official-publications/policies/spectrum-utilization-policies-sp/sp-gen-general-information-related-spectrum-utilization-and-radio-systems-policies" TargetMode="External"/><Relationship Id="rId32" Type="http://schemas.openxmlformats.org/officeDocument/2006/relationships/image" Target="media/image3.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sed-isde.canada.ca/site/spectrum-management-telecommunications/en/learn-more/key-documents/canadian-table-frequency-allocations" TargetMode="External"/><Relationship Id="rId23" Type="http://schemas.openxmlformats.org/officeDocument/2006/relationships/hyperlink" Target="https://ised-isde.canada.ca/site/spectrum-management-telecommunications/en/official-publications/policies/spectrum-utilization-policies-sp/sp-1-3-ghz-amendments-microwave-spectrum-utilization-policies-1-3-ghz-frequency-range-sf09101" TargetMode="External"/><Relationship Id="rId28"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36" Type="http://schemas.openxmlformats.org/officeDocument/2006/relationships/hyperlink" Target="https://ised-isde.canada.ca/site/spectrum-management-telecommunications/en/official-publications/legislation-regulations-and-treaties/terrestrial-radiocom-agreements-and-arrangements-traa/arrangement-d" TargetMode="External"/><Relationship Id="rId10" Type="http://schemas.openxmlformats.org/officeDocument/2006/relationships/hyperlink" Target="https://ised-isde.canada.ca/site/spectrum-management-telecommunications/en/official-publications/policies/spectrum-utilization-policies-sp/decisions-spectrum-utilization-policies-and-technical-requirements-related-backhaul" TargetMode="External"/><Relationship Id="rId19" Type="http://schemas.openxmlformats.org/officeDocument/2006/relationships/hyperlink" Target="https://ised-isde.canada.ca/site/spectrum-management-telecommunications/en/learn-more/key-documents/procedures/client-procedures-circulars-cpc/cpc-2-0-03-radiocommunication-and-broadcasting-antenna-systems"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14" Type="http://schemas.openxmlformats.org/officeDocument/2006/relationships/hyperlink" Target="http://laws.justice.gc.ca/eng/acts/R-2/FullText.html" TargetMode="External"/><Relationship Id="rId22" Type="http://schemas.openxmlformats.org/officeDocument/2006/relationships/hyperlink" Target="https://ised-isde.canada.ca/site/spectrum-management-telecommunications/en/official-publications/policies/spectrum-utilization-policies-sp/sp-1-20-ghz-revisions-microwave-spectrum-utilization-policies-range-1-20-ghz-2" TargetMode="External"/><Relationship Id="rId27"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30"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35"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8" Type="http://schemas.openxmlformats.org/officeDocument/2006/relationships/hyperlink" Target="https://ised-isde.canada.ca/site/spectrum-management-telecommunications/en/devices-and-equipment/standard-radio-system-plans-srsp/srsp-3017-technical-requirements-fixed-radio-systems-operating-bands-1700-1710-mhz-and-1780-1850-mhz"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6</TotalTime>
  <Pages>11</Pages>
  <Words>5559</Words>
  <Characters>31688</Characters>
  <Application>Microsoft Office Word</Application>
  <DocSecurity>0</DocSecurity>
  <Lines>264</Lines>
  <Paragraphs>74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37173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7</cp:revision>
  <cp:lastPrinted>2017-09-11T16:45:00Z</cp:lastPrinted>
  <dcterms:created xsi:type="dcterms:W3CDTF">2024-08-05T11:39:00Z</dcterms:created>
  <dcterms:modified xsi:type="dcterms:W3CDTF">2024-08-09T05:38:00Z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