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2A8FA0" w14:textId="6DACAEB7" w:rsidR="0020626B" w:rsidRDefault="0020626B" w:rsidP="0020626B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3GPP TSG-RAN WG4 Meeting #110bis</w:t>
      </w:r>
      <w:r>
        <w:rPr>
          <w:rFonts w:eastAsia="SimSun" w:cs="Arial"/>
          <w:sz w:val="24"/>
          <w:szCs w:val="24"/>
          <w:lang w:eastAsia="zh-CN"/>
        </w:rPr>
        <w:tab/>
      </w:r>
      <w:r w:rsidR="00BE762A" w:rsidRPr="00BE762A">
        <w:rPr>
          <w:rFonts w:eastAsia="SimSun" w:cs="Arial"/>
          <w:sz w:val="24"/>
          <w:szCs w:val="24"/>
          <w:lang w:eastAsia="zh-CN"/>
        </w:rPr>
        <w:t>R4-2406624</w:t>
      </w:r>
      <w:bookmarkStart w:id="0" w:name="_GoBack"/>
      <w:bookmarkEnd w:id="0"/>
    </w:p>
    <w:p w14:paraId="21D4CB89" w14:textId="77777777" w:rsidR="0020626B" w:rsidRDefault="0020626B" w:rsidP="0020626B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highlight w:val="yellow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Changsha, China, 15th – 19th April, 2024</w:t>
      </w:r>
    </w:p>
    <w:p w14:paraId="08D95B24" w14:textId="77777777" w:rsidR="0020626B" w:rsidRDefault="0020626B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</w:p>
    <w:p w14:paraId="65EBACB0" w14:textId="77777777" w:rsidR="00BE762A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BE762A" w:rsidRPr="00BE762A">
        <w:rPr>
          <w:rFonts w:ascii="Arial" w:hAnsi="Arial" w:cs="Arial"/>
          <w:sz w:val="22"/>
          <w:lang w:eastAsia="zh-CN"/>
        </w:rPr>
        <w:t xml:space="preserve">WF on clarification of multiple carrier operation for n100/n101 </w:t>
      </w:r>
    </w:p>
    <w:p w14:paraId="73AD8CE3" w14:textId="79344944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4E3FF3" w:rsidRPr="004E3FF3">
        <w:rPr>
          <w:rFonts w:ascii="Arial" w:hAnsi="Arial" w:cs="Arial"/>
          <w:sz w:val="22"/>
        </w:rPr>
        <w:t>9.10.1</w:t>
      </w:r>
    </w:p>
    <w:p w14:paraId="6402E503" w14:textId="5C1F9115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20626B" w:rsidRPr="00BB2723">
        <w:rPr>
          <w:rFonts w:ascii="Arial" w:hAnsi="Arial" w:cs="Arial"/>
          <w:sz w:val="22"/>
        </w:rPr>
        <w:t xml:space="preserve">Huawei, </w:t>
      </w:r>
      <w:proofErr w:type="spellStart"/>
      <w:r w:rsidR="0020626B" w:rsidRPr="00BB2723">
        <w:rPr>
          <w:rFonts w:ascii="Arial" w:hAnsi="Arial" w:cs="Arial"/>
          <w:sz w:val="22"/>
        </w:rPr>
        <w:t>HiSilicon</w:t>
      </w:r>
      <w:proofErr w:type="spellEnd"/>
      <w:r w:rsidR="008E478E">
        <w:rPr>
          <w:rFonts w:ascii="Arial" w:hAnsi="Arial" w:cs="Arial"/>
          <w:sz w:val="22"/>
        </w:rPr>
        <w:t xml:space="preserve">, </w:t>
      </w:r>
      <w:r w:rsidR="008E478E" w:rsidRPr="002F1048">
        <w:rPr>
          <w:rFonts w:ascii="Arial" w:hAnsi="Arial" w:cs="Arial"/>
          <w:sz w:val="22"/>
        </w:rPr>
        <w:t>Vodafone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75267C47" w14:textId="77777777" w:rsidR="006E73E2" w:rsidRPr="004E3FF3" w:rsidRDefault="006E73E2" w:rsidP="006E73E2">
      <w:pPr>
        <w:pStyle w:val="Heading1"/>
      </w:pPr>
      <w:r w:rsidRPr="004E3FF3">
        <w:t>Background</w:t>
      </w:r>
    </w:p>
    <w:p w14:paraId="43B578D7" w14:textId="2530D88B" w:rsidR="00AE40F0" w:rsidRDefault="004E3FF3" w:rsidP="00AE40F0">
      <w:r>
        <w:t xml:space="preserve">In relation to Rel-19 work item </w:t>
      </w:r>
      <w:r w:rsidRPr="00CF141D">
        <w:rPr>
          <w:rFonts w:eastAsia="SimSun"/>
          <w:lang w:eastAsia="zh-CN"/>
        </w:rPr>
        <w:t xml:space="preserve">on </w:t>
      </w:r>
      <w:r w:rsidRPr="00CF141D">
        <w:rPr>
          <w:lang w:eastAsia="zh-CN"/>
        </w:rPr>
        <w:t>NR channel BW less than 5MHz for TN (NR channel BW less than 5MHz for FR1 Phase 2</w:t>
      </w:r>
      <w:r w:rsidR="002F1747">
        <w:rPr>
          <w:lang w:eastAsia="zh-CN"/>
        </w:rPr>
        <w:t>;</w:t>
      </w:r>
      <w:r w:rsidR="00A22B48">
        <w:rPr>
          <w:lang w:eastAsia="zh-CN"/>
        </w:rPr>
        <w:t xml:space="preserve"> </w:t>
      </w:r>
      <w:r w:rsidR="002F1747">
        <w:rPr>
          <w:lang w:eastAsia="zh-CN"/>
        </w:rPr>
        <w:t>[1]</w:t>
      </w:r>
      <w:r w:rsidRPr="00CF141D">
        <w:rPr>
          <w:lang w:eastAsia="zh-CN"/>
        </w:rPr>
        <w:t>)</w:t>
      </w:r>
      <w:r w:rsidR="002F1747">
        <w:rPr>
          <w:lang w:eastAsia="zh-CN"/>
        </w:rPr>
        <w:t>, c</w:t>
      </w:r>
      <w:r w:rsidR="00AE40F0">
        <w:t>ontribution in [</w:t>
      </w:r>
      <w:r w:rsidR="002F1747">
        <w:t>2</w:t>
      </w:r>
      <w:r w:rsidR="00AE40F0">
        <w:t>] was discussed during RAN4#110-bis</w:t>
      </w:r>
      <w:r w:rsidR="00A22B48">
        <w:t xml:space="preserve">, highlighting on the following decision from </w:t>
      </w:r>
      <w:r w:rsidR="00A22B48" w:rsidRPr="00C55E86">
        <w:rPr>
          <w:lang w:eastAsia="zh-CN"/>
        </w:rPr>
        <w:t>ECC Decision (20)02</w:t>
      </w:r>
      <w:r w:rsidR="00A22B48">
        <w:rPr>
          <w:lang w:eastAsia="zh-CN"/>
        </w:rPr>
        <w:t xml:space="preserve"> [3]</w:t>
      </w:r>
      <w:r w:rsidR="00E771D3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381AC1" w14:paraId="0B364E81" w14:textId="77777777" w:rsidTr="00381AC1">
        <w:tc>
          <w:tcPr>
            <w:tcW w:w="10457" w:type="dxa"/>
          </w:tcPr>
          <w:p w14:paraId="293CFACE" w14:textId="77777777" w:rsidR="00381AC1" w:rsidRPr="00537091" w:rsidRDefault="00381AC1" w:rsidP="00381AC1">
            <w:pPr>
              <w:spacing w:line="360" w:lineRule="auto"/>
              <w:rPr>
                <w:i/>
              </w:rPr>
            </w:pPr>
            <w:r w:rsidRPr="00537091">
              <w:rPr>
                <w:i/>
              </w:rPr>
              <w:t>Decides</w:t>
            </w:r>
          </w:p>
          <w:p w14:paraId="0CE0129A" w14:textId="5E4474A3" w:rsidR="00381AC1" w:rsidRDefault="00381AC1" w:rsidP="00AE40F0">
            <w:r w:rsidRPr="00537091">
              <w:rPr>
                <w:i/>
                <w:lang w:val="en-US"/>
              </w:rPr>
              <w:t xml:space="preserve">4. </w:t>
            </w:r>
            <w:r w:rsidRPr="00133A44">
              <w:rPr>
                <w:b/>
                <w:i/>
                <w:lang w:val="en-US"/>
              </w:rPr>
              <w:t>that CEPT administrations wishing to allow multiple carriers using wideband technologies</w:t>
            </w:r>
            <w:r w:rsidRPr="00537091">
              <w:rPr>
                <w:i/>
                <w:lang w:val="en-US"/>
              </w:rPr>
              <w:t xml:space="preserve"> (i.e., LTE or NR, including NB-IoT) or higher </w:t>
            </w:r>
            <w:proofErr w:type="spellStart"/>
            <w:r w:rsidRPr="00537091">
              <w:rPr>
                <w:i/>
                <w:lang w:val="en-US"/>
              </w:rPr>
              <w:t>e.i.r.p</w:t>
            </w:r>
            <w:proofErr w:type="spellEnd"/>
            <w:r w:rsidRPr="00537091">
              <w:rPr>
                <w:i/>
                <w:lang w:val="en-US"/>
              </w:rPr>
              <w:t xml:space="preserve">. for RMR BS than stated in the technical conditions </w:t>
            </w:r>
            <w:r w:rsidRPr="00133A44">
              <w:rPr>
                <w:b/>
                <w:i/>
                <w:lang w:val="en-US"/>
              </w:rPr>
              <w:t>should consider the implementation of a coordination procedure or other mitigation measures</w:t>
            </w:r>
            <w:r w:rsidRPr="00537091">
              <w:rPr>
                <w:i/>
                <w:lang w:val="en-US"/>
              </w:rPr>
              <w:t>;</w:t>
            </w:r>
          </w:p>
        </w:tc>
      </w:tr>
    </w:tbl>
    <w:p w14:paraId="1B21D744" w14:textId="77777777" w:rsidR="00381AC1" w:rsidRDefault="00381AC1" w:rsidP="00AE40F0"/>
    <w:p w14:paraId="306E66C7" w14:textId="2C91339E" w:rsidR="00DC30FB" w:rsidRDefault="00DC30FB" w:rsidP="00AE40F0">
      <w:r w:rsidRPr="00DC30FB">
        <w:t>While the “</w:t>
      </w:r>
      <w:r w:rsidRPr="00DC30FB">
        <w:rPr>
          <w:i/>
          <w:lang w:val="en-US"/>
        </w:rPr>
        <w:t xml:space="preserve">higher </w:t>
      </w:r>
      <w:proofErr w:type="spellStart"/>
      <w:r w:rsidRPr="00DC30FB">
        <w:rPr>
          <w:i/>
          <w:lang w:val="en-US"/>
        </w:rPr>
        <w:t>e.i.r.p</w:t>
      </w:r>
      <w:proofErr w:type="spellEnd"/>
      <w:r w:rsidRPr="00DC30FB">
        <w:t xml:space="preserve">” case of the above referred Decides 4 in </w:t>
      </w:r>
      <w:proofErr w:type="gramStart"/>
      <w:r w:rsidRPr="00DC30FB">
        <w:t>ECC(</w:t>
      </w:r>
      <w:proofErr w:type="gramEnd"/>
      <w:r w:rsidRPr="00DC30FB">
        <w:t>20)02 has been already addressed in Rel-17 versions of TS 38.104 and TS 38.141-1, the “multiple carriers” case was not</w:t>
      </w:r>
      <w:r w:rsidR="00C043E0">
        <w:t xml:space="preserve"> reflected</w:t>
      </w:r>
      <w:r w:rsidRPr="00DC30FB">
        <w:t>.</w:t>
      </w:r>
      <w:r>
        <w:t xml:space="preserve"> </w:t>
      </w:r>
    </w:p>
    <w:p w14:paraId="607A940C" w14:textId="2B562ABE" w:rsidR="006E73E2" w:rsidRPr="004E3FF3" w:rsidRDefault="006E73E2" w:rsidP="006E73E2">
      <w:pPr>
        <w:pStyle w:val="Heading1"/>
      </w:pPr>
      <w:r>
        <w:t>Way Forward</w:t>
      </w:r>
    </w:p>
    <w:p w14:paraId="3364153E" w14:textId="65F959F2" w:rsidR="00F11E8B" w:rsidRDefault="00F11E8B" w:rsidP="00E771D3">
      <w:pPr>
        <w:rPr>
          <w:lang w:eastAsia="zh-CN"/>
        </w:rPr>
      </w:pPr>
      <w:bookmarkStart w:id="1" w:name="_Hlk164254337"/>
      <w:bookmarkStart w:id="2" w:name="_Hlk164231783"/>
      <w:r w:rsidRPr="003C691C">
        <w:rPr>
          <w:lang w:eastAsia="zh-CN"/>
        </w:rPr>
        <w:t xml:space="preserve">During RAN4#111, </w:t>
      </w:r>
      <w:r w:rsidR="00E771D3" w:rsidRPr="003C691C">
        <w:rPr>
          <w:lang w:eastAsia="zh-CN"/>
        </w:rPr>
        <w:t xml:space="preserve">RAN4 to </w:t>
      </w:r>
      <w:r w:rsidR="00506FFD" w:rsidRPr="003C691C">
        <w:rPr>
          <w:lang w:eastAsia="zh-CN"/>
        </w:rPr>
        <w:t xml:space="preserve">reflect </w:t>
      </w:r>
      <w:r w:rsidRPr="003C691C">
        <w:rPr>
          <w:lang w:eastAsia="zh-CN"/>
        </w:rPr>
        <w:t>the “</w:t>
      </w:r>
      <w:r w:rsidRPr="003C691C">
        <w:rPr>
          <w:i/>
          <w:lang w:eastAsia="zh-CN"/>
        </w:rPr>
        <w:t>multiple carriers using wideband technologies</w:t>
      </w:r>
      <w:r w:rsidRPr="003C691C">
        <w:rPr>
          <w:lang w:eastAsia="zh-CN"/>
        </w:rPr>
        <w:t>” wording and related considerations on “</w:t>
      </w:r>
      <w:r w:rsidRPr="003C691C">
        <w:rPr>
          <w:i/>
          <w:lang w:eastAsia="zh-CN"/>
        </w:rPr>
        <w:t xml:space="preserve">coordination procedure or other mitigation measures” </w:t>
      </w:r>
      <w:r w:rsidRPr="003C691C">
        <w:rPr>
          <w:lang w:eastAsia="zh-CN"/>
        </w:rPr>
        <w:t xml:space="preserve">from Decides 4 in </w:t>
      </w:r>
      <w:proofErr w:type="gramStart"/>
      <w:r w:rsidR="007E3AB6" w:rsidRPr="003C691C">
        <w:rPr>
          <w:lang w:eastAsia="zh-CN"/>
        </w:rPr>
        <w:t>ECC(</w:t>
      </w:r>
      <w:proofErr w:type="gramEnd"/>
      <w:r w:rsidR="007E3AB6" w:rsidRPr="003C691C">
        <w:rPr>
          <w:lang w:eastAsia="zh-CN"/>
        </w:rPr>
        <w:t>20)02</w:t>
      </w:r>
      <w:r w:rsidRPr="003C691C">
        <w:rPr>
          <w:lang w:eastAsia="zh-CN"/>
        </w:rPr>
        <w:t>, into Rel-17 versions of TS 38.104 and TS 38.141-1</w:t>
      </w:r>
      <w:r w:rsidR="00BE762A">
        <w:rPr>
          <w:lang w:eastAsia="zh-CN"/>
        </w:rPr>
        <w:t>, where the e</w:t>
      </w:r>
      <w:r w:rsidR="00506FFD" w:rsidRPr="003C691C">
        <w:rPr>
          <w:lang w:eastAsia="zh-CN"/>
        </w:rPr>
        <w:t xml:space="preserve">xact wording to be </w:t>
      </w:r>
      <w:r w:rsidRPr="003C691C">
        <w:rPr>
          <w:lang w:eastAsia="zh-CN"/>
        </w:rPr>
        <w:t xml:space="preserve">implemented in </w:t>
      </w:r>
      <w:r w:rsidR="003C691C" w:rsidRPr="003C691C">
        <w:rPr>
          <w:lang w:eastAsia="zh-CN"/>
        </w:rPr>
        <w:t xml:space="preserve">related </w:t>
      </w:r>
      <w:r w:rsidRPr="003C691C">
        <w:rPr>
          <w:lang w:eastAsia="zh-CN"/>
        </w:rPr>
        <w:t>CRs is FFS.</w:t>
      </w:r>
    </w:p>
    <w:p w14:paraId="77E98510" w14:textId="149A6729" w:rsidR="00F11E8B" w:rsidRDefault="00F11E8B" w:rsidP="00E771D3">
      <w:pPr>
        <w:rPr>
          <w:lang w:eastAsia="zh-CN"/>
        </w:rPr>
      </w:pPr>
      <w:r w:rsidRPr="003C691C">
        <w:rPr>
          <w:lang w:eastAsia="zh-CN"/>
        </w:rPr>
        <w:t xml:space="preserve">Further </w:t>
      </w:r>
      <w:r w:rsidR="003C691C" w:rsidRPr="003C691C">
        <w:rPr>
          <w:lang w:eastAsia="zh-CN"/>
        </w:rPr>
        <w:t xml:space="preserve">inputs on multi-carrier/CA aspects of </w:t>
      </w:r>
      <w:proofErr w:type="gramStart"/>
      <w:r w:rsidRPr="003C691C">
        <w:rPr>
          <w:lang w:eastAsia="zh-CN"/>
        </w:rPr>
        <w:t>ECC(</w:t>
      </w:r>
      <w:proofErr w:type="gramEnd"/>
      <w:r w:rsidRPr="003C691C">
        <w:rPr>
          <w:lang w:eastAsia="zh-CN"/>
        </w:rPr>
        <w:t>20)02</w:t>
      </w:r>
      <w:r w:rsidR="003C691C" w:rsidRPr="003C691C">
        <w:rPr>
          <w:lang w:eastAsia="zh-CN"/>
        </w:rPr>
        <w:t xml:space="preserve"> (and ECC report 313, ECC report 314) are encouraged.</w:t>
      </w:r>
    </w:p>
    <w:bookmarkEnd w:id="1"/>
    <w:p w14:paraId="0274526F" w14:textId="77777777" w:rsidR="003C691C" w:rsidRPr="003C691C" w:rsidRDefault="003C691C" w:rsidP="00E771D3">
      <w:pPr>
        <w:rPr>
          <w:lang w:eastAsia="zh-CN"/>
        </w:rPr>
      </w:pPr>
    </w:p>
    <w:bookmarkEnd w:id="2"/>
    <w:p w14:paraId="6E789858" w14:textId="02DBF63E" w:rsidR="009F520E" w:rsidRPr="00635D06" w:rsidRDefault="009F520E" w:rsidP="006258B4">
      <w:pPr>
        <w:pStyle w:val="Heading1"/>
      </w:pPr>
      <w:r w:rsidRPr="00635D06">
        <w:t>References</w:t>
      </w:r>
    </w:p>
    <w:p w14:paraId="50F741B6" w14:textId="745EBCFA" w:rsidR="002F1747" w:rsidRPr="004B1BFC" w:rsidRDefault="002F1747" w:rsidP="002F1747">
      <w:pPr>
        <w:rPr>
          <w:lang w:eastAsia="zh-CN"/>
        </w:rPr>
      </w:pPr>
      <w:r>
        <w:t>[1]</w:t>
      </w:r>
      <w:r w:rsidR="00674CCF">
        <w:t xml:space="preserve"> </w:t>
      </w:r>
      <w:r w:rsidRPr="00816495">
        <w:rPr>
          <w:lang w:eastAsia="zh-CN"/>
        </w:rPr>
        <w:t>RP-240832</w:t>
      </w:r>
      <w:r>
        <w:rPr>
          <w:lang w:eastAsia="zh-CN"/>
        </w:rPr>
        <w:tab/>
      </w:r>
      <w:r w:rsidRPr="00816495">
        <w:rPr>
          <w:lang w:eastAsia="zh-CN"/>
        </w:rPr>
        <w:t>WI resulting from discussion on NR channel BW less than 5MHz for TN</w:t>
      </w:r>
      <w:r>
        <w:rPr>
          <w:lang w:eastAsia="zh-CN"/>
        </w:rPr>
        <w:t xml:space="preserve">, </w:t>
      </w:r>
      <w:r w:rsidRPr="001D1326">
        <w:rPr>
          <w:lang w:eastAsia="zh-CN"/>
        </w:rPr>
        <w:t>NR channel BW less than 5MHz for FR1 Phase 2</w:t>
      </w:r>
      <w:r w:rsidRPr="001D1326">
        <w:rPr>
          <w:lang w:eastAsia="zh-CN"/>
        </w:rPr>
        <w:tab/>
      </w:r>
      <w:r>
        <w:rPr>
          <w:lang w:eastAsia="zh-CN"/>
        </w:rPr>
        <w:t>, W</w:t>
      </w:r>
      <w:r w:rsidRPr="004B1BFC">
        <w:rPr>
          <w:lang w:eastAsia="zh-CN"/>
        </w:rPr>
        <w:t>ID, RAN#103</w:t>
      </w:r>
    </w:p>
    <w:p w14:paraId="176B5998" w14:textId="0A7A4EB1" w:rsidR="00AE40F0" w:rsidRDefault="009F520E" w:rsidP="00AE40F0">
      <w:r w:rsidRPr="00AE40F0">
        <w:t>[</w:t>
      </w:r>
      <w:r w:rsidR="002F1747">
        <w:t>2</w:t>
      </w:r>
      <w:r w:rsidRPr="00AE40F0">
        <w:t>]</w:t>
      </w:r>
      <w:r w:rsidR="00674CCF">
        <w:t xml:space="preserve"> </w:t>
      </w:r>
      <w:r w:rsidR="00AE40F0" w:rsidRPr="00AE40F0">
        <w:t>R4-2406622</w:t>
      </w:r>
      <w:r w:rsidR="00AE40F0" w:rsidRPr="00AE40F0">
        <w:tab/>
        <w:t>Analysis of the ECC regulation for multi-carrier operation in n100/n101</w:t>
      </w:r>
      <w:r w:rsidR="00AE40F0" w:rsidRPr="00AE40F0">
        <w:tab/>
        <w:t xml:space="preserve">Huawei, </w:t>
      </w:r>
      <w:proofErr w:type="spellStart"/>
      <w:r w:rsidR="00AE40F0" w:rsidRPr="00AE40F0">
        <w:t>HiSilicon</w:t>
      </w:r>
      <w:proofErr w:type="spellEnd"/>
      <w:r w:rsidR="00AE40F0" w:rsidRPr="00AE40F0">
        <w:t xml:space="preserve">, Vodafone, Orange, </w:t>
      </w:r>
      <w:proofErr w:type="spellStart"/>
      <w:r w:rsidR="00AE40F0" w:rsidRPr="00AE40F0">
        <w:t>Telia</w:t>
      </w:r>
      <w:proofErr w:type="spellEnd"/>
      <w:r w:rsidR="00AE40F0" w:rsidRPr="00AE40F0">
        <w:t xml:space="preserve"> Company, Telefónica, Deutsche Telekom, KPN</w:t>
      </w:r>
    </w:p>
    <w:p w14:paraId="66D893DD" w14:textId="48DFDD7D" w:rsidR="005D3888" w:rsidRPr="009F520E" w:rsidRDefault="00A22B48" w:rsidP="005D3888">
      <w:pPr>
        <w:rPr>
          <w:lang w:eastAsia="zh-CN"/>
        </w:rPr>
      </w:pPr>
      <w:r>
        <w:rPr>
          <w:lang w:eastAsia="zh-CN"/>
        </w:rPr>
        <w:t>[3]</w:t>
      </w:r>
      <w:r w:rsidR="00674CCF">
        <w:rPr>
          <w:lang w:eastAsia="zh-CN"/>
        </w:rPr>
        <w:t xml:space="preserve"> </w:t>
      </w:r>
      <w:r w:rsidRPr="00C55E86">
        <w:rPr>
          <w:lang w:eastAsia="zh-CN"/>
        </w:rPr>
        <w:t xml:space="preserve">ECC Decision (20)02 </w:t>
      </w:r>
      <w:r>
        <w:rPr>
          <w:lang w:eastAsia="zh-CN"/>
        </w:rPr>
        <w:tab/>
      </w:r>
      <w:r w:rsidRPr="00C55E86">
        <w:rPr>
          <w:lang w:eastAsia="zh-CN"/>
        </w:rPr>
        <w:t>Harmonised use of the paired frequency bands 874.4-880.0 MHz and 919.4-925.0 MHz and of the unpaired frequency band 1900-1910 MHz for Railway Mobile Radio (RMR)</w:t>
      </w:r>
      <w:r>
        <w:rPr>
          <w:lang w:eastAsia="zh-CN"/>
        </w:rPr>
        <w:t>, 20.11.2020</w:t>
      </w:r>
    </w:p>
    <w:sectPr w:rsidR="005D3888" w:rsidRPr="009F520E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DDC44C" w14:textId="77777777" w:rsidR="00E072B3" w:rsidRPr="00A10429" w:rsidRDefault="00E072B3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23141DBE" w14:textId="77777777" w:rsidR="00E072B3" w:rsidRPr="00A10429" w:rsidRDefault="00E072B3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389088" w14:textId="77777777" w:rsidR="00E072B3" w:rsidRPr="00A10429" w:rsidRDefault="00E072B3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04771FB7" w14:textId="77777777" w:rsidR="00E072B3" w:rsidRPr="00A10429" w:rsidRDefault="00E072B3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B4850C5"/>
    <w:multiLevelType w:val="hybridMultilevel"/>
    <w:tmpl w:val="38BE50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1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3F8B0944"/>
    <w:multiLevelType w:val="hybridMultilevel"/>
    <w:tmpl w:val="EB9097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9452662"/>
    <w:multiLevelType w:val="hybridMultilevel"/>
    <w:tmpl w:val="763A1CF0"/>
    <w:lvl w:ilvl="0" w:tplc="8BC0C93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13C85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4CA9E7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4362D0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806EBA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8C4DA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532A95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396BE5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CF04F1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 w15:restartNumberingAfterBreak="0">
    <w:nsid w:val="558E615F"/>
    <w:multiLevelType w:val="hybridMultilevel"/>
    <w:tmpl w:val="5D82B6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5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D076811"/>
    <w:multiLevelType w:val="hybridMultilevel"/>
    <w:tmpl w:val="9362C1B8"/>
    <w:lvl w:ilvl="0" w:tplc="F2E8674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B37CB1"/>
    <w:multiLevelType w:val="hybridMultilevel"/>
    <w:tmpl w:val="B8563B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EE454F9"/>
    <w:multiLevelType w:val="hybridMultilevel"/>
    <w:tmpl w:val="EB58298A"/>
    <w:lvl w:ilvl="0" w:tplc="CB9EEF1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3"/>
  </w:num>
  <w:num w:numId="3">
    <w:abstractNumId w:val="25"/>
  </w:num>
  <w:num w:numId="4">
    <w:abstractNumId w:val="12"/>
  </w:num>
  <w:num w:numId="5">
    <w:abstractNumId w:val="4"/>
  </w:num>
  <w:num w:numId="6">
    <w:abstractNumId w:val="19"/>
  </w:num>
  <w:num w:numId="7">
    <w:abstractNumId w:val="3"/>
  </w:num>
  <w:num w:numId="8">
    <w:abstractNumId w:val="18"/>
  </w:num>
  <w:num w:numId="9">
    <w:abstractNumId w:val="28"/>
  </w:num>
  <w:num w:numId="10">
    <w:abstractNumId w:val="28"/>
  </w:num>
  <w:num w:numId="11">
    <w:abstractNumId w:val="1"/>
  </w:num>
  <w:num w:numId="12">
    <w:abstractNumId w:val="8"/>
  </w:num>
  <w:num w:numId="13">
    <w:abstractNumId w:val="7"/>
  </w:num>
  <w:num w:numId="14">
    <w:abstractNumId w:val="24"/>
  </w:num>
  <w:num w:numId="15">
    <w:abstractNumId w:val="28"/>
  </w:num>
  <w:num w:numId="16">
    <w:abstractNumId w:val="28"/>
  </w:num>
  <w:num w:numId="17">
    <w:abstractNumId w:val="17"/>
  </w:num>
  <w:num w:numId="18">
    <w:abstractNumId w:val="29"/>
  </w:num>
  <w:num w:numId="19">
    <w:abstractNumId w:val="28"/>
  </w:num>
  <w:num w:numId="20">
    <w:abstractNumId w:val="5"/>
  </w:num>
  <w:num w:numId="21">
    <w:abstractNumId w:val="28"/>
  </w:num>
  <w:num w:numId="22">
    <w:abstractNumId w:val="28"/>
  </w:num>
  <w:num w:numId="23">
    <w:abstractNumId w:val="9"/>
  </w:num>
  <w:num w:numId="24">
    <w:abstractNumId w:val="2"/>
  </w:num>
  <w:num w:numId="25">
    <w:abstractNumId w:val="0"/>
  </w:num>
  <w:num w:numId="26">
    <w:abstractNumId w:val="10"/>
  </w:num>
  <w:num w:numId="27">
    <w:abstractNumId w:val="11"/>
  </w:num>
  <w:num w:numId="28">
    <w:abstractNumId w:val="20"/>
  </w:num>
  <w:num w:numId="29">
    <w:abstractNumId w:val="23"/>
  </w:num>
  <w:num w:numId="30">
    <w:abstractNumId w:val="16"/>
  </w:num>
  <w:num w:numId="31">
    <w:abstractNumId w:val="15"/>
  </w:num>
  <w:num w:numId="32">
    <w:abstractNumId w:val="26"/>
  </w:num>
  <w:num w:numId="33">
    <w:abstractNumId w:val="27"/>
  </w:num>
  <w:num w:numId="34">
    <w:abstractNumId w:val="22"/>
  </w:num>
  <w:num w:numId="35">
    <w:abstractNumId w:val="6"/>
  </w:num>
  <w:num w:numId="36">
    <w:abstractNumId w:val="14"/>
  </w:num>
  <w:num w:numId="37">
    <w:abstractNumId w:val="21"/>
  </w:num>
  <w:num w:numId="38">
    <w:abstractNumId w:val="3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0AA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4E9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32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572"/>
    <w:rsid w:val="00190D3D"/>
    <w:rsid w:val="00192AB7"/>
    <w:rsid w:val="00193B74"/>
    <w:rsid w:val="0019591E"/>
    <w:rsid w:val="00196E90"/>
    <w:rsid w:val="00197367"/>
    <w:rsid w:val="00197B20"/>
    <w:rsid w:val="00197EC2"/>
    <w:rsid w:val="001A019F"/>
    <w:rsid w:val="001A0665"/>
    <w:rsid w:val="001A1C89"/>
    <w:rsid w:val="001A2689"/>
    <w:rsid w:val="001A32ED"/>
    <w:rsid w:val="001A3878"/>
    <w:rsid w:val="001A3FAA"/>
    <w:rsid w:val="001A4100"/>
    <w:rsid w:val="001A49E4"/>
    <w:rsid w:val="001A4FA5"/>
    <w:rsid w:val="001A678E"/>
    <w:rsid w:val="001A76D9"/>
    <w:rsid w:val="001B0B5B"/>
    <w:rsid w:val="001B0E71"/>
    <w:rsid w:val="001B1CBD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06086"/>
    <w:rsid w:val="0020626B"/>
    <w:rsid w:val="00207F88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2D9B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14E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3F0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AC7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048"/>
    <w:rsid w:val="002F1558"/>
    <w:rsid w:val="002F1747"/>
    <w:rsid w:val="002F1DBE"/>
    <w:rsid w:val="002F1F4D"/>
    <w:rsid w:val="002F22A3"/>
    <w:rsid w:val="002F25AB"/>
    <w:rsid w:val="002F2AD7"/>
    <w:rsid w:val="002F305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5C72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1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691C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28E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A96"/>
    <w:rsid w:val="00411C0A"/>
    <w:rsid w:val="004121EA"/>
    <w:rsid w:val="00413880"/>
    <w:rsid w:val="00414018"/>
    <w:rsid w:val="00414B6F"/>
    <w:rsid w:val="00414D91"/>
    <w:rsid w:val="00415A9F"/>
    <w:rsid w:val="004169A3"/>
    <w:rsid w:val="00416BBA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08B3"/>
    <w:rsid w:val="004D21DE"/>
    <w:rsid w:val="004D2A2D"/>
    <w:rsid w:val="004D3EAE"/>
    <w:rsid w:val="004D425E"/>
    <w:rsid w:val="004D53AA"/>
    <w:rsid w:val="004D6899"/>
    <w:rsid w:val="004D68B1"/>
    <w:rsid w:val="004D690B"/>
    <w:rsid w:val="004D77F5"/>
    <w:rsid w:val="004D7AD2"/>
    <w:rsid w:val="004D7C64"/>
    <w:rsid w:val="004E07AF"/>
    <w:rsid w:val="004E0920"/>
    <w:rsid w:val="004E1E88"/>
    <w:rsid w:val="004E2D44"/>
    <w:rsid w:val="004E3C4B"/>
    <w:rsid w:val="004E3FF3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6FFD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0D01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888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58B4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5D06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4CCF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B621E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E73E2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97D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3F63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3C21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AB6"/>
    <w:rsid w:val="007E3F9A"/>
    <w:rsid w:val="007E46B9"/>
    <w:rsid w:val="007E6A5B"/>
    <w:rsid w:val="007F00E1"/>
    <w:rsid w:val="007F074D"/>
    <w:rsid w:val="007F0C30"/>
    <w:rsid w:val="007F0E0D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6877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21F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78E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2F56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08F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270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486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20E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29CD"/>
    <w:rsid w:val="00A22B48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4EE3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D766A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40F0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07179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D35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723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0657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62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3E0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A84"/>
    <w:rsid w:val="00C86F92"/>
    <w:rsid w:val="00C873DD"/>
    <w:rsid w:val="00C9000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6C90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AEE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DD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0FB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2B3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853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1D3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A648F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EF6D2C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8B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29A2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76B2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76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76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76B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76B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76B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76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qFormat/>
    <w:rsid w:val="00E76B29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E76B29"/>
    <w:pPr>
      <w:ind w:left="851" w:hanging="851"/>
    </w:pPr>
  </w:style>
  <w:style w:type="character" w:customStyle="1" w:styleId="TAHCar">
    <w:name w:val="TAH Car"/>
    <w:link w:val="TAH"/>
    <w:qFormat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qFormat/>
    <w:rsid w:val="00245C71"/>
    <w:rPr>
      <w:rFonts w:ascii="Arial" w:eastAsia="Times New Roman" w:hAnsi="Arial"/>
      <w:sz w:val="18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E76B29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E76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76B29"/>
    <w:pPr>
      <w:ind w:left="1701" w:hanging="1701"/>
    </w:pPr>
  </w:style>
  <w:style w:type="paragraph" w:styleId="TOC4">
    <w:name w:val="toc 4"/>
    <w:basedOn w:val="TOC3"/>
    <w:semiHidden/>
    <w:rsid w:val="00E76B29"/>
    <w:pPr>
      <w:ind w:left="1418" w:hanging="1418"/>
    </w:pPr>
  </w:style>
  <w:style w:type="paragraph" w:styleId="TOC3">
    <w:name w:val="toc 3"/>
    <w:basedOn w:val="TOC2"/>
    <w:semiHidden/>
    <w:rsid w:val="00E76B29"/>
    <w:pPr>
      <w:ind w:left="1134" w:hanging="1134"/>
    </w:pPr>
  </w:style>
  <w:style w:type="paragraph" w:styleId="TOC2">
    <w:name w:val="toc 2"/>
    <w:basedOn w:val="TOC1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6B29"/>
    <w:pPr>
      <w:ind w:left="284"/>
    </w:pPr>
  </w:style>
  <w:style w:type="paragraph" w:styleId="Index1">
    <w:name w:val="index 1"/>
    <w:basedOn w:val="Normal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76B29"/>
    <w:pPr>
      <w:outlineLvl w:val="9"/>
    </w:pPr>
  </w:style>
  <w:style w:type="paragraph" w:styleId="ListNumber2">
    <w:name w:val="List Number 2"/>
    <w:basedOn w:val="ListNumber"/>
    <w:semiHidden/>
    <w:rsid w:val="00E76B29"/>
    <w:pPr>
      <w:ind w:left="851"/>
    </w:pPr>
  </w:style>
  <w:style w:type="character" w:styleId="FootnoteReference">
    <w:name w:val="footnote reference"/>
    <w:basedOn w:val="DefaultParagraphFont"/>
    <w:semiHidden/>
    <w:rsid w:val="00E76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E76B29"/>
    <w:pPr>
      <w:keepLines/>
      <w:ind w:left="1135" w:hanging="851"/>
    </w:pPr>
  </w:style>
  <w:style w:type="paragraph" w:styleId="TOC9">
    <w:name w:val="toc 9"/>
    <w:basedOn w:val="TOC8"/>
    <w:semiHidden/>
    <w:rsid w:val="00E76B29"/>
    <w:pPr>
      <w:ind w:left="1418" w:hanging="1418"/>
    </w:pPr>
  </w:style>
  <w:style w:type="paragraph" w:customStyle="1" w:styleId="EX">
    <w:name w:val="EX"/>
    <w:basedOn w:val="Normal"/>
    <w:rsid w:val="00E76B29"/>
    <w:pPr>
      <w:keepLines/>
      <w:ind w:left="1702" w:hanging="1418"/>
    </w:pPr>
  </w:style>
  <w:style w:type="paragraph" w:customStyle="1" w:styleId="FP">
    <w:name w:val="FP"/>
    <w:basedOn w:val="Normal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TOC6">
    <w:name w:val="toc 6"/>
    <w:basedOn w:val="TOC5"/>
    <w:next w:val="Normal"/>
    <w:semiHidden/>
    <w:rsid w:val="00E76B29"/>
    <w:pPr>
      <w:ind w:left="1985" w:hanging="1985"/>
    </w:pPr>
  </w:style>
  <w:style w:type="paragraph" w:styleId="TOC7">
    <w:name w:val="toc 7"/>
    <w:basedOn w:val="TOC6"/>
    <w:next w:val="Normal"/>
    <w:semiHidden/>
    <w:rsid w:val="00E76B29"/>
    <w:pPr>
      <w:ind w:left="2268" w:hanging="2268"/>
    </w:pPr>
  </w:style>
  <w:style w:type="paragraph" w:styleId="ListBullet2">
    <w:name w:val="List Bullet 2"/>
    <w:basedOn w:val="ListBullet"/>
    <w:semiHidden/>
    <w:rsid w:val="00E76B29"/>
    <w:pPr>
      <w:ind w:left="851"/>
    </w:pPr>
  </w:style>
  <w:style w:type="paragraph" w:styleId="ListBullet3">
    <w:name w:val="List Bullet 3"/>
    <w:basedOn w:val="ListBullet2"/>
    <w:semiHidden/>
    <w:rsid w:val="00E76B29"/>
    <w:pPr>
      <w:ind w:left="1135"/>
    </w:pPr>
  </w:style>
  <w:style w:type="paragraph" w:styleId="ListNumber">
    <w:name w:val="List Number"/>
    <w:basedOn w:val="List"/>
    <w:semiHidden/>
    <w:rsid w:val="00E76B29"/>
  </w:style>
  <w:style w:type="paragraph" w:customStyle="1" w:styleId="EQ">
    <w:name w:val="EQ"/>
    <w:basedOn w:val="Normal"/>
    <w:next w:val="Normal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Heading5"/>
    <w:next w:val="Normal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List2">
    <w:name w:val="List 2"/>
    <w:basedOn w:val="List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76B29"/>
    <w:pPr>
      <w:ind w:left="1135"/>
    </w:pPr>
  </w:style>
  <w:style w:type="paragraph" w:styleId="List4">
    <w:name w:val="List 4"/>
    <w:basedOn w:val="List3"/>
    <w:semiHidden/>
    <w:rsid w:val="00E76B29"/>
    <w:pPr>
      <w:ind w:left="1418"/>
    </w:pPr>
  </w:style>
  <w:style w:type="paragraph" w:styleId="List5">
    <w:name w:val="List 5"/>
    <w:basedOn w:val="List4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List">
    <w:name w:val="List"/>
    <w:basedOn w:val="Normal"/>
    <w:semiHidden/>
    <w:rsid w:val="00E76B29"/>
    <w:pPr>
      <w:ind w:left="568" w:hanging="284"/>
    </w:pPr>
  </w:style>
  <w:style w:type="paragraph" w:styleId="ListBullet">
    <w:name w:val="List Bullet"/>
    <w:basedOn w:val="List"/>
    <w:semiHidden/>
    <w:rsid w:val="00E76B29"/>
  </w:style>
  <w:style w:type="paragraph" w:styleId="ListBullet4">
    <w:name w:val="List Bullet 4"/>
    <w:basedOn w:val="ListBullet3"/>
    <w:semiHidden/>
    <w:rsid w:val="00E76B29"/>
    <w:pPr>
      <w:ind w:left="1418"/>
    </w:pPr>
  </w:style>
  <w:style w:type="paragraph" w:styleId="ListBullet5">
    <w:name w:val="List Bullet 5"/>
    <w:basedOn w:val="ListBullet4"/>
    <w:semiHidden/>
    <w:rsid w:val="00E76B29"/>
    <w:pPr>
      <w:ind w:left="1702"/>
    </w:pPr>
  </w:style>
  <w:style w:type="paragraph" w:customStyle="1" w:styleId="B1">
    <w:name w:val="B1"/>
    <w:basedOn w:val="List"/>
    <w:link w:val="B1Char"/>
    <w:rsid w:val="00E76B29"/>
  </w:style>
  <w:style w:type="paragraph" w:customStyle="1" w:styleId="B2">
    <w:name w:val="B2"/>
    <w:basedOn w:val="List2"/>
    <w:rsid w:val="00E76B29"/>
  </w:style>
  <w:style w:type="paragraph" w:customStyle="1" w:styleId="B3">
    <w:name w:val="B3"/>
    <w:basedOn w:val="List3"/>
    <w:rsid w:val="00E76B29"/>
  </w:style>
  <w:style w:type="paragraph" w:customStyle="1" w:styleId="B4">
    <w:name w:val="B4"/>
    <w:basedOn w:val="List4"/>
    <w:rsid w:val="00E76B29"/>
  </w:style>
  <w:style w:type="paragraph" w:customStyle="1" w:styleId="B5">
    <w:name w:val="B5"/>
    <w:basedOn w:val="List5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6B621E"/>
    <w:rPr>
      <w:rFonts w:ascii="Times New Roman" w:eastAsia="Times New Roman" w:hAnsi="Times New Roman"/>
    </w:rPr>
  </w:style>
  <w:style w:type="character" w:customStyle="1" w:styleId="NOChar">
    <w:name w:val="NO Char"/>
    <w:link w:val="NO"/>
    <w:rsid w:val="004E3FF3"/>
    <w:rPr>
      <w:rFonts w:ascii="Times New Roman" w:eastAsia="Times New Roman" w:hAnsi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AC4E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EE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C4EE3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E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C4EE3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16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9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0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Michal Szydelko</cp:lastModifiedBy>
  <cp:revision>2</cp:revision>
  <dcterms:created xsi:type="dcterms:W3CDTF">2024-04-18T07:55:00Z</dcterms:created>
  <dcterms:modified xsi:type="dcterms:W3CDTF">2024-04-18T07:55:00Z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