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rPr>
          <w:rFonts w:hint="default" w:ascii="Arial" w:hAnsi="Arial" w:cs="Arial"/>
          <w:b/>
          <w:bCs/>
          <w:sz w:val="24"/>
          <w:szCs w:val="28"/>
          <w:lang w:val="en-US" w:eastAsia="zh-CN"/>
        </w:rPr>
      </w:pPr>
      <w:r>
        <w:rPr>
          <w:rFonts w:hint="default" w:ascii="Arial" w:hAnsi="Arial" w:cs="Arial"/>
          <w:b/>
          <w:bCs/>
          <w:sz w:val="24"/>
          <w:szCs w:val="28"/>
          <w:lang w:val="en-US" w:eastAsia="zh-CN"/>
        </w:rPr>
        <w:t>3GPP TSG-RAN WG4 Meeting #110bis</w:t>
      </w:r>
      <w:r>
        <w:rPr>
          <w:rFonts w:hint="default" w:ascii="Arial" w:hAnsi="Arial" w:cs="Arial"/>
          <w:b/>
          <w:bCs/>
          <w:sz w:val="24"/>
          <w:szCs w:val="28"/>
          <w:lang w:val="en-US" w:eastAsia="zh-CN"/>
        </w:rPr>
        <w:tab/>
      </w:r>
      <w:r>
        <w:rPr>
          <w:rFonts w:hint="eastAsia" w:ascii="Arial" w:hAnsi="Arial" w:cs="Arial"/>
          <w:b/>
          <w:bCs/>
          <w:sz w:val="24"/>
          <w:szCs w:val="28"/>
          <w:lang w:val="en-US" w:eastAsia="zh-CN"/>
        </w:rPr>
        <w:tab/>
      </w:r>
      <w:r>
        <w:rPr>
          <w:rFonts w:hint="eastAsia" w:ascii="Arial" w:hAnsi="Arial" w:cs="Arial"/>
          <w:b/>
          <w:bCs/>
          <w:sz w:val="24"/>
          <w:szCs w:val="28"/>
          <w:lang w:val="en-US" w:eastAsia="zh-CN"/>
        </w:rPr>
        <w:tab/>
      </w:r>
      <w:r>
        <w:rPr>
          <w:rFonts w:hint="eastAsia" w:ascii="Arial" w:hAnsi="Arial" w:cs="Arial"/>
          <w:b/>
          <w:bCs/>
          <w:sz w:val="24"/>
          <w:szCs w:val="28"/>
          <w:lang w:val="en-US" w:eastAsia="zh-CN"/>
        </w:rPr>
        <w:tab/>
      </w:r>
      <w:r>
        <w:rPr>
          <w:rFonts w:hint="eastAsia" w:ascii="Arial" w:hAnsi="Arial" w:cs="Arial"/>
          <w:b/>
          <w:bCs/>
          <w:sz w:val="24"/>
          <w:szCs w:val="28"/>
          <w:lang w:val="en-US" w:eastAsia="zh-CN"/>
        </w:rPr>
        <w:tab/>
      </w:r>
      <w:r>
        <w:rPr>
          <w:rFonts w:hint="eastAsia" w:ascii="Arial" w:hAnsi="Arial" w:cs="Arial"/>
          <w:b/>
          <w:bCs/>
          <w:sz w:val="24"/>
          <w:szCs w:val="28"/>
          <w:lang w:val="en-US" w:eastAsia="zh-CN"/>
        </w:rPr>
        <w:tab/>
      </w:r>
      <w:r>
        <w:rPr>
          <w:rFonts w:hint="eastAsia" w:ascii="Arial" w:hAnsi="Arial" w:cs="Arial"/>
          <w:b/>
          <w:bCs/>
          <w:sz w:val="24"/>
          <w:szCs w:val="28"/>
          <w:lang w:val="en-US" w:eastAsia="zh-CN"/>
        </w:rPr>
        <w:tab/>
      </w:r>
      <w:r>
        <w:rPr>
          <w:rFonts w:hint="eastAsia" w:ascii="Arial" w:hAnsi="Arial" w:cs="Arial"/>
          <w:b/>
          <w:bCs/>
          <w:sz w:val="24"/>
          <w:szCs w:val="28"/>
          <w:lang w:val="en-US" w:eastAsia="zh-CN"/>
        </w:rPr>
        <w:tab/>
      </w:r>
      <w:r>
        <w:rPr>
          <w:rFonts w:hint="eastAsia" w:ascii="Arial" w:hAnsi="Arial" w:cs="Arial"/>
          <w:b/>
          <w:bCs/>
          <w:sz w:val="24"/>
          <w:szCs w:val="28"/>
          <w:lang w:val="en-US" w:eastAsia="zh-CN"/>
        </w:rPr>
        <w:tab/>
      </w:r>
      <w:r>
        <w:rPr>
          <w:rFonts w:hint="eastAsia" w:ascii="Arial" w:hAnsi="Arial" w:cs="Arial"/>
          <w:b/>
          <w:bCs/>
          <w:sz w:val="24"/>
          <w:szCs w:val="28"/>
          <w:lang w:val="en-US" w:eastAsia="zh-CN"/>
        </w:rPr>
        <w:tab/>
      </w:r>
      <w:r>
        <w:rPr>
          <w:rFonts w:hint="default" w:ascii="Arial" w:hAnsi="Arial" w:cs="Arial"/>
          <w:b/>
          <w:bCs/>
          <w:sz w:val="24"/>
          <w:szCs w:val="28"/>
          <w:lang w:val="en-US" w:eastAsia="zh-CN"/>
        </w:rPr>
        <w:t>R4-2405309</w:t>
      </w:r>
      <w:bookmarkStart w:id="0" w:name="_GoBack"/>
      <w:bookmarkEnd w:id="0"/>
    </w:p>
    <w:p>
      <w:pPr>
        <w:bidi w:val="0"/>
        <w:rPr>
          <w:rFonts w:hint="default" w:ascii="Arial" w:hAnsi="Arial" w:cs="Arial"/>
          <w:b/>
          <w:bCs/>
          <w:sz w:val="24"/>
          <w:szCs w:val="28"/>
          <w:lang w:val="en-US" w:eastAsia="zh-CN"/>
        </w:rPr>
      </w:pPr>
      <w:r>
        <w:rPr>
          <w:rFonts w:hint="default" w:ascii="Arial" w:hAnsi="Arial" w:cs="Arial"/>
          <w:b/>
          <w:bCs/>
          <w:sz w:val="24"/>
          <w:szCs w:val="28"/>
          <w:lang w:val="en-US" w:eastAsia="zh-CN"/>
        </w:rPr>
        <w:t>Changsha, China, 15th – 19th April, 2024</w:t>
      </w:r>
    </w:p>
    <w:p>
      <w:pPr>
        <w:bidi w:val="0"/>
        <w:rPr>
          <w:lang w:val="en-US" w:eastAsia="zh-CN"/>
        </w:rPr>
      </w:pPr>
    </w:p>
    <w:p>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highlight w:val="none"/>
          <w:lang w:val="en-US" w:eastAsia="zh-CN"/>
        </w:rPr>
        <w:t>9.3.5</w:t>
      </w:r>
    </w:p>
    <w:p>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CMCC</w:t>
      </w:r>
    </w:p>
    <w:p>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lang w:val="en-US" w:eastAsia="zh-CN"/>
        </w:rPr>
        <w:t>Discussion on parameters of terrestrial component of IMT for sharing studies</w:t>
      </w:r>
    </w:p>
    <w:p>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r>
        <w:rPr>
          <w:rFonts w:ascii="Arial" w:hAnsi="Arial" w:eastAsia="MS Mincho" w:cs="Arial"/>
          <w:b/>
          <w:sz w:val="24"/>
          <w:szCs w:val="24"/>
          <w:lang w:eastAsia="en-US"/>
        </w:rPr>
        <w:t>Discussion</w:t>
      </w:r>
    </w:p>
    <w:p>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1. Introduction</w:t>
      </w:r>
    </w:p>
    <w:p>
      <w:pPr>
        <w:keepNext w:val="0"/>
        <w:keepLines w:val="0"/>
        <w:pageBreakBefore w:val="0"/>
        <w:widowControl w:val="0"/>
        <w:kinsoku/>
        <w:wordWrap/>
        <w:overflowPunct/>
        <w:topLinePunct w:val="0"/>
        <w:autoSpaceDE/>
        <w:autoSpaceDN/>
        <w:bidi w:val="0"/>
        <w:adjustRightInd/>
        <w:snapToGrid/>
        <w:textAlignment w:val="auto"/>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WRC-23 agreed a WRC-27 agenda item 1.7 related to IMT. Working Party (WP) 5D is responsible for preparing the characteristics of terrestrial component of IMT for sharing and compatibility studies and a LS[1] is sent to RAN4 to ask for IMT parameters in following frequency bands</w:t>
      </w:r>
    </w:p>
    <w:p>
      <w:pPr>
        <w:keepNext w:val="0"/>
        <w:keepLines w:val="0"/>
        <w:pageBreakBefore w:val="0"/>
        <w:widowControl w:val="0"/>
        <w:numPr>
          <w:ilvl w:val="0"/>
          <w:numId w:val="1"/>
        </w:numPr>
        <w:kinsoku/>
        <w:wordWrap/>
        <w:overflowPunct/>
        <w:topLinePunct w:val="0"/>
        <w:autoSpaceDE/>
        <w:autoSpaceDN/>
        <w:bidi w:val="0"/>
        <w:adjustRightInd/>
        <w:snapToGrid/>
        <w:ind w:left="720" w:leftChars="0" w:hanging="360" w:firstLineChars="0"/>
        <w:textAlignment w:val="auto"/>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4 400-4 800 MHz;</w:t>
      </w:r>
    </w:p>
    <w:p>
      <w:pPr>
        <w:keepNext w:val="0"/>
        <w:keepLines w:val="0"/>
        <w:pageBreakBefore w:val="0"/>
        <w:widowControl w:val="0"/>
        <w:numPr>
          <w:ilvl w:val="0"/>
          <w:numId w:val="1"/>
        </w:numPr>
        <w:kinsoku/>
        <w:wordWrap/>
        <w:overflowPunct/>
        <w:topLinePunct w:val="0"/>
        <w:autoSpaceDE/>
        <w:autoSpaceDN/>
        <w:bidi w:val="0"/>
        <w:adjustRightInd/>
        <w:snapToGrid/>
        <w:ind w:left="720" w:leftChars="0" w:hanging="360" w:firstLineChars="0"/>
        <w:textAlignment w:val="auto"/>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7 125-8 400 MHz; and</w:t>
      </w:r>
    </w:p>
    <w:p>
      <w:pPr>
        <w:keepNext w:val="0"/>
        <w:keepLines w:val="0"/>
        <w:pageBreakBefore w:val="0"/>
        <w:widowControl w:val="0"/>
        <w:numPr>
          <w:ilvl w:val="0"/>
          <w:numId w:val="1"/>
        </w:numPr>
        <w:kinsoku/>
        <w:wordWrap/>
        <w:overflowPunct/>
        <w:topLinePunct w:val="0"/>
        <w:autoSpaceDE/>
        <w:autoSpaceDN/>
        <w:bidi w:val="0"/>
        <w:adjustRightInd/>
        <w:snapToGrid/>
        <w:ind w:left="720" w:leftChars="0" w:hanging="360" w:firstLineChars="0"/>
        <w:textAlignment w:val="auto"/>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14.8-15.35 GHz.</w:t>
      </w:r>
    </w:p>
    <w:p>
      <w:pPr>
        <w:keepNext w:val="0"/>
        <w:keepLines w:val="0"/>
        <w:pageBreakBefore w:val="0"/>
        <w:widowControl w:val="0"/>
        <w:kinsoku/>
        <w:wordWrap/>
        <w:overflowPunct/>
        <w:topLinePunct w:val="0"/>
        <w:autoSpaceDE/>
        <w:autoSpaceDN/>
        <w:bidi w:val="0"/>
        <w:adjustRightInd/>
        <w:snapToGrid/>
        <w:textAlignment w:val="auto"/>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In last RAN4 meeting, the timeline of responding to ITU-WP 5D is approved for each frequency range as below R4-2403653:</w:t>
      </w:r>
    </w:p>
    <w:p>
      <w:pPr>
        <w:keepNext w:val="0"/>
        <w:keepLines w:val="0"/>
        <w:pageBreakBefore w:val="0"/>
        <w:widowControl w:val="0"/>
        <w:numPr>
          <w:ilvl w:val="0"/>
          <w:numId w:val="2"/>
        </w:numPr>
        <w:kinsoku/>
        <w:wordWrap/>
        <w:overflowPunct/>
        <w:topLinePunct w:val="0"/>
        <w:autoSpaceDE/>
        <w:autoSpaceDN/>
        <w:bidi w:val="0"/>
        <w:adjustRightInd/>
        <w:snapToGrid/>
        <w:ind w:left="720" w:leftChars="0" w:hanging="360" w:firstLineChars="0"/>
        <w:textAlignment w:val="auto"/>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4 400-4 800 MHz</w:t>
      </w:r>
      <w:r>
        <w:rPr>
          <w:rFonts w:hint="eastAsia" w:ascii="Times New Roman" w:hAnsi="Times New Roman" w:cs="Times New Roman"/>
          <w:b w:val="0"/>
          <w:bCs w:val="0"/>
          <w:sz w:val="20"/>
          <w:szCs w:val="20"/>
          <w:lang w:val="en-US" w:eastAsia="zh-CN"/>
        </w:rPr>
        <w:tab/>
      </w:r>
      <w:r>
        <w:rPr>
          <w:rFonts w:hint="eastAsia" w:ascii="Times New Roman" w:hAnsi="Times New Roman" w:cs="Times New Roman"/>
          <w:b w:val="0"/>
          <w:bCs w:val="0"/>
          <w:sz w:val="20"/>
          <w:szCs w:val="20"/>
          <w:lang w:val="en-US" w:eastAsia="zh-CN"/>
        </w:rPr>
        <w:t>Estimated date for completion: May 2024 (RAN WG4#111)</w:t>
      </w:r>
    </w:p>
    <w:p>
      <w:pPr>
        <w:keepNext w:val="0"/>
        <w:keepLines w:val="0"/>
        <w:pageBreakBefore w:val="0"/>
        <w:widowControl w:val="0"/>
        <w:numPr>
          <w:ilvl w:val="0"/>
          <w:numId w:val="2"/>
        </w:numPr>
        <w:kinsoku/>
        <w:wordWrap/>
        <w:overflowPunct/>
        <w:topLinePunct w:val="0"/>
        <w:autoSpaceDE/>
        <w:autoSpaceDN/>
        <w:bidi w:val="0"/>
        <w:adjustRightInd/>
        <w:snapToGrid/>
        <w:ind w:left="720" w:leftChars="0" w:hanging="360" w:firstLineChars="0"/>
        <w:textAlignment w:val="auto"/>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7 125-8 400 MHz</w:t>
      </w:r>
      <w:r>
        <w:rPr>
          <w:rFonts w:hint="eastAsia" w:ascii="Times New Roman" w:hAnsi="Times New Roman" w:cs="Times New Roman"/>
          <w:b w:val="0"/>
          <w:bCs w:val="0"/>
          <w:sz w:val="20"/>
          <w:szCs w:val="20"/>
          <w:lang w:val="en-US" w:eastAsia="zh-CN"/>
        </w:rPr>
        <w:tab/>
      </w:r>
      <w:r>
        <w:rPr>
          <w:rFonts w:hint="eastAsia" w:ascii="Times New Roman" w:hAnsi="Times New Roman" w:cs="Times New Roman"/>
          <w:b w:val="0"/>
          <w:bCs w:val="0"/>
          <w:sz w:val="20"/>
          <w:szCs w:val="20"/>
          <w:lang w:val="en-US" w:eastAsia="zh-CN"/>
        </w:rPr>
        <w:t>Estimated date for completion: August 2024 (RAN WG4#112)</w:t>
      </w:r>
    </w:p>
    <w:p>
      <w:pPr>
        <w:keepNext w:val="0"/>
        <w:keepLines w:val="0"/>
        <w:pageBreakBefore w:val="0"/>
        <w:widowControl w:val="0"/>
        <w:numPr>
          <w:ilvl w:val="0"/>
          <w:numId w:val="2"/>
        </w:numPr>
        <w:kinsoku/>
        <w:wordWrap/>
        <w:overflowPunct/>
        <w:topLinePunct w:val="0"/>
        <w:autoSpaceDE/>
        <w:autoSpaceDN/>
        <w:bidi w:val="0"/>
        <w:adjustRightInd/>
        <w:snapToGrid/>
        <w:ind w:left="720" w:leftChars="0" w:hanging="360" w:firstLineChars="0"/>
        <w:textAlignment w:val="auto"/>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14.8-15.35 GHz</w:t>
      </w:r>
      <w:r>
        <w:rPr>
          <w:rFonts w:hint="eastAsia" w:ascii="Times New Roman" w:hAnsi="Times New Roman" w:cs="Times New Roman"/>
          <w:b w:val="0"/>
          <w:bCs w:val="0"/>
          <w:sz w:val="20"/>
          <w:szCs w:val="20"/>
          <w:lang w:val="en-US" w:eastAsia="zh-CN"/>
        </w:rPr>
        <w:tab/>
      </w:r>
      <w:r>
        <w:rPr>
          <w:rFonts w:hint="eastAsia" w:ascii="Times New Roman" w:hAnsi="Times New Roman" w:cs="Times New Roman"/>
          <w:b w:val="0"/>
          <w:bCs w:val="0"/>
          <w:sz w:val="20"/>
          <w:szCs w:val="20"/>
          <w:lang w:val="en-US" w:eastAsia="zh-CN"/>
        </w:rPr>
        <w:t>Estimated date for completion: November 2024 (RAN WG4#113)</w:t>
      </w:r>
    </w:p>
    <w:p>
      <w:pPr>
        <w:spacing w:after="180"/>
        <w:rPr>
          <w:rFonts w:hint="default" w:ascii="Times New Roman" w:hAnsi="Times New Roman" w:eastAsia="宋体"/>
          <w:sz w:val="20"/>
          <w:lang w:val="en-US" w:eastAsia="zh-CN"/>
        </w:rPr>
      </w:pPr>
      <w:r>
        <w:rPr>
          <w:rFonts w:hint="eastAsia" w:ascii="Times New Roman" w:hAnsi="Times New Roman"/>
          <w:sz w:val="20"/>
          <w:lang w:val="en-US" w:eastAsia="zh-CN"/>
        </w:rPr>
        <w:t>In this contribution, we focus on the discussion of terrestrial IMT parameters for new candidate IMT operation bands.</w:t>
      </w:r>
    </w:p>
    <w:p>
      <w:pPr>
        <w:keepNext/>
        <w:keepLines/>
        <w:widowControl/>
        <w:numPr>
          <w:ilvl w:val="0"/>
          <w:numId w:val="3"/>
        </w:numPr>
        <w:pBdr>
          <w:top w:val="single" w:color="auto" w:sz="12" w:space="1"/>
        </w:pBdr>
        <w:tabs>
          <w:tab w:val="left" w:pos="567"/>
        </w:tabs>
        <w:adjustRightInd w:val="0"/>
        <w:spacing w:before="240" w:after="180"/>
        <w:ind w:left="510" w:hanging="510"/>
        <w:outlineLvl w:val="0"/>
        <w:rPr>
          <w:rFonts w:hint="eastAsia" w:ascii="Arial" w:hAnsi="Arial" w:eastAsiaTheme="minorEastAsia" w:cstheme="minorBidi"/>
          <w:sz w:val="32"/>
          <w:szCs w:val="36"/>
        </w:rPr>
      </w:pPr>
      <w:r>
        <w:rPr>
          <w:rFonts w:hint="eastAsia" w:ascii="Arial" w:hAnsi="Arial" w:eastAsiaTheme="minorEastAsia" w:cstheme="minorBidi"/>
          <w:sz w:val="32"/>
          <w:szCs w:val="36"/>
        </w:rPr>
        <w:t>Discussion</w:t>
      </w:r>
    </w:p>
    <w:p>
      <w:pPr>
        <w:numPr>
          <w:ilvl w:val="0"/>
          <w:numId w:val="4"/>
        </w:numPr>
        <w:spacing w:after="180"/>
        <w:ind w:left="420" w:leftChars="0" w:hanging="420" w:firstLineChars="0"/>
        <w:rPr>
          <w:rFonts w:hint="eastAsia" w:ascii="Times New Roman" w:hAnsi="Times New Roman"/>
          <w:b w:val="0"/>
          <w:bCs w:val="0"/>
          <w:sz w:val="20"/>
          <w:szCs w:val="20"/>
          <w:lang w:val="en-US" w:eastAsia="zh-CN"/>
        </w:rPr>
      </w:pPr>
      <w:r>
        <w:rPr>
          <w:rFonts w:hint="eastAsia" w:ascii="Times New Roman" w:hAnsi="Times New Roman"/>
          <w:b/>
          <w:bCs/>
          <w:sz w:val="20"/>
          <w:szCs w:val="20"/>
          <w:lang w:val="en-US" w:eastAsia="zh-CN"/>
        </w:rPr>
        <w:t>4400-4800MHz:</w:t>
      </w:r>
      <w:r>
        <w:rPr>
          <w:rFonts w:hint="eastAsia" w:ascii="Times New Roman" w:hAnsi="Times New Roman"/>
          <w:b w:val="0"/>
          <w:bCs w:val="0"/>
          <w:sz w:val="20"/>
          <w:szCs w:val="20"/>
          <w:lang w:val="en-US" w:eastAsia="zh-CN"/>
        </w:rPr>
        <w:t xml:space="preserve"> </w:t>
      </w:r>
    </w:p>
    <w:p>
      <w:pPr>
        <w:numPr>
          <w:ilvl w:val="0"/>
          <w:numId w:val="0"/>
        </w:numPr>
        <w:spacing w:after="180"/>
        <w:ind w:leftChars="0"/>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 xml:space="preserve">3GPP has defined NR band n79 including frequency range from 4400 to 5000MHz which just cover 4400-4800MHz. Currently, n79 has been commercially deployed in come countries and 3GPP specs has been widely used to test commercial BS minimum requirements before deployment. Therefore, the NR parameters specified in 3GPP could be used for ITU sharing studies. </w:t>
      </w:r>
    </w:p>
    <w:p>
      <w:pPr>
        <w:numPr>
          <w:ilvl w:val="0"/>
          <w:numId w:val="0"/>
        </w:numPr>
        <w:spacing w:after="180"/>
        <w:ind w:leftChars="0"/>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 xml:space="preserve">In the LS, WP-5D also welcome any latest information on the AAS radiation pattern implementations models. Currently, AAS BS is the typical commercial product type to provide better coverage and throughput. And sub-array model is also one choice for the AAS BS. In previous 2020, RAN4 has send out the sub-array antenna models to ITU WP-5D and this sub-array model is also captured into 3GPP RAN4 TR 38.803. such model is based on massive testing data from commercial BS. So this model could already reflect the latest information on the AAS radiation pattern implementations. </w:t>
      </w:r>
    </w:p>
    <w:p>
      <w:pPr>
        <w:numPr>
          <w:ilvl w:val="0"/>
          <w:numId w:val="0"/>
        </w:numPr>
        <w:spacing w:after="180"/>
        <w:ind w:leftChars="0"/>
        <w:rPr>
          <w:rFonts w:hint="default" w:ascii="Times New Roman" w:hAnsi="Times New Roman" w:cs="Times New Roman"/>
          <w:b w:val="0"/>
          <w:bCs w:val="0"/>
          <w:sz w:val="20"/>
          <w:szCs w:val="20"/>
          <w:lang w:val="en-US" w:eastAsia="zh-CN"/>
        </w:rPr>
      </w:pPr>
      <w:r>
        <w:rPr>
          <w:rFonts w:hint="eastAsia" w:ascii="Times New Roman" w:hAnsi="Times New Roman" w:cs="Times New Roman"/>
          <w:b/>
          <w:bCs/>
          <w:sz w:val="20"/>
          <w:szCs w:val="20"/>
          <w:lang w:val="en-US" w:eastAsia="zh-CN"/>
        </w:rPr>
        <w:t>Observation 1: the sub-array antenna model is based on testing of commercial BS and could reflect current AAS pattern information.</w:t>
      </w:r>
      <w:r>
        <w:rPr>
          <w:rFonts w:hint="eastAsia" w:ascii="Times New Roman" w:hAnsi="Times New Roman" w:cs="Times New Roman"/>
          <w:b w:val="0"/>
          <w:bCs w:val="0"/>
          <w:sz w:val="20"/>
          <w:szCs w:val="20"/>
          <w:lang w:val="en-US" w:eastAsia="zh-CN"/>
        </w:rPr>
        <w:t xml:space="preserve"> </w:t>
      </w:r>
    </w:p>
    <w:p>
      <w:pPr>
        <w:numPr>
          <w:ilvl w:val="0"/>
          <w:numId w:val="0"/>
        </w:numPr>
        <w:spacing w:after="180"/>
        <w:ind w:leftChars="0"/>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 xml:space="preserve">Proposal 1: For 4400-4800MHz, WP-5D could reuse previous 3-6GHz parameters that RAN4 sent for WRC-23 preparation.  </w:t>
      </w:r>
    </w:p>
    <w:p>
      <w:pPr>
        <w:numPr>
          <w:ilvl w:val="0"/>
          <w:numId w:val="0"/>
        </w:numPr>
        <w:spacing w:after="180"/>
        <w:ind w:leftChars="0"/>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In ITU LS, WP5D welcomes further confirmation whether the preset sub-array downtilt varies with the environment or not, what would be the range of values for this parameter and the associated environments and if multiple set of configurable preset sub-array downtilt per BS is foreseen in the future</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59"/>
              <w:spacing w:line="280" w:lineRule="atLeast"/>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 xml:space="preserve">If providing specific technical AAS implementation parameters for the array-of-sub-arrays case, WP 5D would welcome: </w:t>
            </w:r>
          </w:p>
          <w:p>
            <w:pPr>
              <w:pStyle w:val="60"/>
              <w:spacing w:line="280" w:lineRule="atLeast"/>
              <w:rPr>
                <w:rFonts w:hint="default" w:ascii="Times New Roman" w:hAnsi="Times New Roman" w:cs="Times New Roman"/>
                <w:b w:val="0"/>
                <w:bCs w:val="0"/>
                <w:sz w:val="20"/>
                <w:szCs w:val="20"/>
                <w:highlight w:val="none"/>
                <w:vertAlign w:val="baseline"/>
                <w:lang w:val="en-US" w:eastAsia="zh-CN"/>
              </w:rPr>
            </w:pPr>
            <w:r>
              <w:rPr>
                <w:rFonts w:hint="default" w:ascii="Times New Roman" w:hAnsi="Times New Roman" w:cs="Times New Roman"/>
                <w:sz w:val="20"/>
                <w:szCs w:val="20"/>
                <w:highlight w:val="none"/>
              </w:rPr>
              <w:t>i)</w:t>
            </w:r>
            <w:r>
              <w:rPr>
                <w:rFonts w:hint="default" w:ascii="Times New Roman" w:hAnsi="Times New Roman" w:cs="Times New Roman"/>
                <w:sz w:val="20"/>
                <w:szCs w:val="20"/>
                <w:highlight w:val="none"/>
              </w:rPr>
              <w:tab/>
            </w:r>
            <w:r>
              <w:rPr>
                <w:rFonts w:hint="default" w:ascii="Times New Roman" w:hAnsi="Times New Roman" w:cs="Times New Roman"/>
                <w:sz w:val="20"/>
                <w:szCs w:val="20"/>
                <w:highlight w:val="none"/>
              </w:rPr>
              <w:t>The pre-set sub array tilt is understood as a parameter (a pre-tilt within the elements combined to form a sub array) that is used to focus the main beam below the boresight where a base station is intended to serve its UEs, similarly to the mechanical downtilt. Noticing that the mechanical downtilt of the BS antenna is environment (urban/suburban/rural) dependent, WP5D welcomes further confirmation whether the preset sub-array downtilt varies with the environment or not, what would be the range of values for this parameter and the associated environments and if multiple set of configurable preset sub-array downtilt per BS is foreseen in the future.</w:t>
            </w:r>
          </w:p>
        </w:tc>
      </w:tr>
    </w:tbl>
    <w:p>
      <w:pPr>
        <w:numPr>
          <w:ilvl w:val="0"/>
          <w:numId w:val="0"/>
        </w:numPr>
        <w:spacing w:after="180"/>
        <w:ind w:leftChars="0"/>
        <w:rPr>
          <w:rFonts w:hint="default" w:ascii="Times New Roman" w:hAnsi="Times New Roman" w:cs="Times New Roman"/>
          <w:b w:val="0"/>
          <w:bCs w:val="0"/>
          <w:sz w:val="20"/>
          <w:szCs w:val="20"/>
          <w:lang w:val="en-US" w:eastAsia="zh-CN"/>
        </w:rPr>
      </w:pPr>
    </w:p>
    <w:p>
      <w:pPr>
        <w:numPr>
          <w:ilvl w:val="0"/>
          <w:numId w:val="0"/>
        </w:numPr>
        <w:spacing w:after="180"/>
        <w:ind w:leftChars="0"/>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According to our deployment experience, the electrical pre-set is also environment dependent and is related to cell range, gNB height, etc, i.e. different for urban/suburban/rural environment. The legacy value in TR 38.803 is reasonable.</w:t>
      </w:r>
    </w:p>
    <w:p>
      <w:pPr>
        <w:numPr>
          <w:ilvl w:val="0"/>
          <w:numId w:val="0"/>
        </w:numPr>
        <w:spacing w:after="180"/>
        <w:ind w:leftChars="0"/>
        <w:rPr>
          <w:rFonts w:hint="default"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Observation 2: the electrical pre-set is also environment dependent and is related to cell range, gNB height, etc, i.e. different for urban/suburban/rural environment. The legacy value in TR 38.803 is reasonable.</w:t>
      </w:r>
    </w:p>
    <w:p>
      <w:pPr>
        <w:numPr>
          <w:ilvl w:val="0"/>
          <w:numId w:val="4"/>
        </w:numPr>
        <w:spacing w:after="180"/>
        <w:ind w:left="420" w:leftChars="0" w:hanging="420" w:firstLineChars="0"/>
        <w:rPr>
          <w:rFonts w:hint="eastAsia" w:ascii="Times New Roman" w:hAnsi="Times New Roman"/>
          <w:b w:val="0"/>
          <w:bCs w:val="0"/>
          <w:sz w:val="20"/>
          <w:szCs w:val="20"/>
          <w:lang w:val="en-US" w:eastAsia="zh-CN"/>
        </w:rPr>
      </w:pPr>
      <w:r>
        <w:rPr>
          <w:rFonts w:hint="eastAsia" w:ascii="Times New Roman" w:hAnsi="Times New Roman"/>
          <w:b/>
          <w:bCs/>
          <w:sz w:val="20"/>
          <w:szCs w:val="20"/>
          <w:lang w:val="en-US" w:eastAsia="zh-CN"/>
        </w:rPr>
        <w:t>7125-8400MHz:</w:t>
      </w:r>
      <w:r>
        <w:rPr>
          <w:rFonts w:hint="eastAsia" w:ascii="Times New Roman" w:hAnsi="Times New Roman"/>
          <w:b w:val="0"/>
          <w:bCs w:val="0"/>
          <w:sz w:val="20"/>
          <w:szCs w:val="20"/>
          <w:lang w:val="en-US" w:eastAsia="zh-CN"/>
        </w:rPr>
        <w:t xml:space="preserve"> </w:t>
      </w:r>
    </w:p>
    <w:p>
      <w:pPr>
        <w:numPr>
          <w:ilvl w:val="0"/>
          <w:numId w:val="0"/>
        </w:numPr>
        <w:spacing w:after="180"/>
        <w:ind w:leftChars="0"/>
        <w:rPr>
          <w:rFonts w:hint="default"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3GPP has defined NR band n104 including frequency range from 6425 MHz to 7125 MHz which is much near to 7125-8400MHz. Now there is no study of this new band, at first we could use the parameters of n104 as starting point. The suggestions for table 1 is listed as below. For this high frequency band, only AAS BS is feasible.</w:t>
      </w:r>
    </w:p>
    <w:p>
      <w:pPr>
        <w:numPr>
          <w:ilvl w:val="0"/>
          <w:numId w:val="0"/>
        </w:numPr>
        <w:spacing w:after="180"/>
        <w:ind w:leftChars="0"/>
        <w:rPr>
          <w:rFonts w:hint="default"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Proposal 2: the suggestions for 7125-8400MHz related parameters (table 1) are listed as below as starting point which is the same as what is defined for band n104.</w:t>
      </w:r>
    </w:p>
    <w:p>
      <w:pPr>
        <w:pStyle w:val="57"/>
        <w:rPr>
          <w:rFonts w:eastAsia="MS Mincho"/>
        </w:rPr>
      </w:pPr>
      <w:r>
        <w:rPr>
          <w:rFonts w:eastAsia="MS Mincho"/>
        </w:rPr>
        <w:t xml:space="preserve">IMT-2030 specification related parameters in </w:t>
      </w:r>
      <w:r>
        <w:rPr>
          <w:rFonts w:hint="eastAsia" w:eastAsia="宋体"/>
          <w:lang w:val="en-US" w:eastAsia="zh-CN"/>
        </w:rPr>
        <w:t>7125-8400</w:t>
      </w:r>
      <w:r>
        <w:rPr>
          <w:rFonts w:eastAsia="MS Mincho"/>
        </w:rPr>
        <w:t xml:space="preserve"> MHz</w:t>
      </w:r>
    </w:p>
    <w:tbl>
      <w:tblPr>
        <w:tblStyle w:val="16"/>
        <w:tblW w:w="382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7"/>
        <w:gridCol w:w="2641"/>
        <w:gridCol w:w="2197"/>
        <w:gridCol w:w="21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79" w:type="pct"/>
            <w:vAlign w:val="center"/>
          </w:tcPr>
          <w:p>
            <w:pPr>
              <w:keepNext/>
              <w:tabs>
                <w:tab w:val="left" w:pos="1134"/>
                <w:tab w:val="left" w:pos="1871"/>
                <w:tab w:val="left" w:pos="2268"/>
              </w:tabs>
              <w:spacing w:before="80" w:after="80"/>
              <w:jc w:val="center"/>
              <w:rPr>
                <w:rFonts w:hint="default" w:ascii="Times New Roman" w:hAnsi="Times New Roman" w:eastAsia="MS Mincho" w:cs="Times New Roman"/>
                <w:b/>
                <w:sz w:val="20"/>
              </w:rPr>
            </w:pPr>
            <w:r>
              <w:rPr>
                <w:rFonts w:hint="default" w:ascii="Times New Roman" w:hAnsi="Times New Roman" w:eastAsia="MS Mincho" w:cs="Times New Roman"/>
                <w:b/>
                <w:sz w:val="20"/>
              </w:rPr>
              <w:t>No.</w:t>
            </w:r>
          </w:p>
        </w:tc>
        <w:tc>
          <w:tcPr>
            <w:tcW w:w="1734" w:type="pct"/>
            <w:vAlign w:val="center"/>
          </w:tcPr>
          <w:p>
            <w:pPr>
              <w:keepNext/>
              <w:tabs>
                <w:tab w:val="left" w:pos="1134"/>
                <w:tab w:val="left" w:pos="1871"/>
                <w:tab w:val="left" w:pos="2268"/>
              </w:tabs>
              <w:spacing w:before="80" w:after="80"/>
              <w:jc w:val="center"/>
              <w:rPr>
                <w:rFonts w:hint="default" w:ascii="Times New Roman" w:hAnsi="Times New Roman" w:eastAsia="MS Mincho" w:cs="Times New Roman"/>
                <w:b/>
                <w:sz w:val="20"/>
              </w:rPr>
            </w:pPr>
            <w:r>
              <w:rPr>
                <w:rFonts w:hint="default" w:ascii="Times New Roman" w:hAnsi="Times New Roman" w:eastAsia="MS Mincho" w:cs="Times New Roman"/>
                <w:b/>
                <w:sz w:val="20"/>
              </w:rPr>
              <w:t>Parameter</w:t>
            </w:r>
          </w:p>
        </w:tc>
        <w:tc>
          <w:tcPr>
            <w:tcW w:w="1443" w:type="pct"/>
            <w:vAlign w:val="center"/>
          </w:tcPr>
          <w:p>
            <w:pPr>
              <w:keepNext/>
              <w:tabs>
                <w:tab w:val="left" w:pos="1134"/>
                <w:tab w:val="left" w:pos="1871"/>
                <w:tab w:val="left" w:pos="2268"/>
              </w:tabs>
              <w:spacing w:before="80" w:after="80"/>
              <w:jc w:val="center"/>
              <w:rPr>
                <w:rFonts w:hint="default" w:ascii="Times New Roman" w:hAnsi="Times New Roman" w:eastAsia="MS Mincho" w:cs="Times New Roman"/>
                <w:b/>
                <w:sz w:val="20"/>
              </w:rPr>
            </w:pPr>
            <w:r>
              <w:rPr>
                <w:rFonts w:hint="default" w:ascii="Times New Roman" w:hAnsi="Times New Roman" w:eastAsia="MS Mincho" w:cs="Times New Roman"/>
                <w:b/>
                <w:sz w:val="20"/>
              </w:rPr>
              <w:t>Base station (AAS)</w:t>
            </w:r>
          </w:p>
        </w:tc>
        <w:tc>
          <w:tcPr>
            <w:tcW w:w="1442" w:type="pct"/>
            <w:vAlign w:val="center"/>
          </w:tcPr>
          <w:p>
            <w:pPr>
              <w:keepNext/>
              <w:tabs>
                <w:tab w:val="left" w:pos="1134"/>
                <w:tab w:val="left" w:pos="1871"/>
                <w:tab w:val="left" w:pos="2268"/>
              </w:tabs>
              <w:spacing w:before="80" w:after="80"/>
              <w:jc w:val="center"/>
              <w:rPr>
                <w:rFonts w:hint="default" w:ascii="Times New Roman" w:hAnsi="Times New Roman" w:eastAsia="MS Mincho" w:cs="Times New Roman"/>
                <w:b/>
                <w:sz w:val="20"/>
              </w:rPr>
            </w:pPr>
            <w:r>
              <w:rPr>
                <w:rFonts w:hint="default" w:ascii="Times New Roman" w:hAnsi="Times New Roman" w:eastAsia="MS Mincho" w:cs="Times New Roman"/>
                <w:b/>
                <w:sz w:val="20"/>
              </w:rPr>
              <w:t>Mobile station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9" w:type="pct"/>
            <w:shd w:val="clear" w:color="auto" w:fill="auto"/>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hint="default" w:ascii="Times New Roman" w:hAnsi="Times New Roman" w:eastAsia="MS Mincho" w:cs="Times New Roman"/>
                <w:sz w:val="20"/>
              </w:rPr>
            </w:pPr>
            <w:r>
              <w:rPr>
                <w:rFonts w:hint="default" w:ascii="Times New Roman" w:hAnsi="Times New Roman" w:eastAsia="MS Mincho" w:cs="Times New Roman"/>
                <w:sz w:val="20"/>
              </w:rPr>
              <w:t>1</w:t>
            </w:r>
          </w:p>
        </w:tc>
        <w:tc>
          <w:tcPr>
            <w:tcW w:w="1734" w:type="pct"/>
            <w:shd w:val="clear" w:color="auto" w:fill="auto"/>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eastAsia="MS Mincho" w:cs="Times New Roman"/>
                <w:sz w:val="20"/>
              </w:rPr>
            </w:pPr>
            <w:r>
              <w:rPr>
                <w:rFonts w:hint="default" w:ascii="Times New Roman" w:hAnsi="Times New Roman" w:eastAsia="MS Mincho" w:cs="Times New Roman"/>
                <w:sz w:val="20"/>
              </w:rPr>
              <w:t>Duplex Method</w:t>
            </w:r>
          </w:p>
        </w:tc>
        <w:tc>
          <w:tcPr>
            <w:tcW w:w="1443" w:type="pct"/>
            <w:shd w:val="clear" w:color="auto" w:fill="auto"/>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TDD</w:t>
            </w:r>
          </w:p>
        </w:tc>
        <w:tc>
          <w:tcPr>
            <w:tcW w:w="1442" w:type="pct"/>
            <w:shd w:val="clear" w:color="auto" w:fill="auto"/>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9"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hint="default" w:ascii="Times New Roman" w:hAnsi="Times New Roman" w:eastAsia="MS Mincho" w:cs="Times New Roman"/>
                <w:sz w:val="20"/>
              </w:rPr>
            </w:pPr>
            <w:r>
              <w:rPr>
                <w:rFonts w:hint="default" w:ascii="Times New Roman" w:hAnsi="Times New Roman" w:eastAsia="MS Mincho" w:cs="Times New Roman"/>
                <w:sz w:val="20"/>
              </w:rPr>
              <w:t>2</w:t>
            </w:r>
          </w:p>
        </w:tc>
        <w:tc>
          <w:tcPr>
            <w:tcW w:w="1734"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eastAsia="MS Mincho" w:cs="Times New Roman"/>
                <w:sz w:val="20"/>
              </w:rPr>
            </w:pPr>
            <w:r>
              <w:rPr>
                <w:rFonts w:hint="default" w:ascii="Times New Roman" w:hAnsi="Times New Roman" w:eastAsia="MS Mincho" w:cs="Times New Roman"/>
                <w:sz w:val="20"/>
              </w:rPr>
              <w:t>Channel bandwidth (MHz)</w:t>
            </w:r>
          </w:p>
        </w:tc>
        <w:tc>
          <w:tcPr>
            <w:tcW w:w="1443" w:type="pct"/>
            <w:vAlign w:val="center"/>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100MHz (typical)</w:t>
            </w:r>
          </w:p>
        </w:tc>
        <w:tc>
          <w:tcPr>
            <w:tcW w:w="1442" w:type="pct"/>
            <w:vAlign w:val="center"/>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eastAsia="MS Mincho" w:cs="Times New Roman"/>
                <w:sz w:val="20"/>
              </w:rPr>
            </w:pPr>
            <w:r>
              <w:rPr>
                <w:rFonts w:hint="default" w:ascii="Times New Roman" w:hAnsi="Times New Roman" w:eastAsia="宋体" w:cs="Times New Roman"/>
                <w:sz w:val="20"/>
                <w:lang w:val="en-US" w:eastAsia="zh-CN"/>
              </w:rPr>
              <w:t>100MHz (typical)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9"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hint="default" w:ascii="Times New Roman" w:hAnsi="Times New Roman" w:eastAsia="MS Mincho" w:cs="Times New Roman"/>
                <w:sz w:val="20"/>
              </w:rPr>
            </w:pPr>
            <w:r>
              <w:rPr>
                <w:rFonts w:hint="default" w:ascii="Times New Roman" w:hAnsi="Times New Roman" w:eastAsia="MS Mincho" w:cs="Times New Roman"/>
                <w:sz w:val="20"/>
              </w:rPr>
              <w:t>3</w:t>
            </w:r>
          </w:p>
        </w:tc>
        <w:tc>
          <w:tcPr>
            <w:tcW w:w="1734"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cs="Times New Roman"/>
                <w:sz w:val="20"/>
                <w:lang w:eastAsia="zh-CN"/>
              </w:rPr>
            </w:pPr>
            <w:r>
              <w:rPr>
                <w:rFonts w:hint="default" w:ascii="Times New Roman" w:hAnsi="Times New Roman" w:eastAsia="MS Mincho" w:cs="Times New Roman"/>
                <w:sz w:val="20"/>
              </w:rPr>
              <w:t xml:space="preserve">Signal bandwidth </w:t>
            </w:r>
            <w:r>
              <w:rPr>
                <w:rFonts w:hint="default" w:ascii="Times New Roman" w:hAnsi="Times New Roman" w:cs="Times New Roman"/>
                <w:sz w:val="20"/>
                <w:lang w:eastAsia="zh-CN"/>
              </w:rPr>
              <w:t>(MHz)</w:t>
            </w:r>
          </w:p>
        </w:tc>
        <w:tc>
          <w:tcPr>
            <w:tcW w:w="1443"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Related to channel bandwidth, see 38.104 section 5.3.2</w:t>
            </w:r>
          </w:p>
        </w:tc>
        <w:tc>
          <w:tcPr>
            <w:tcW w:w="1442"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eastAsia="MS Mincho" w:cs="Times New Roman"/>
                <w:sz w:val="20"/>
              </w:rPr>
            </w:pPr>
            <w:r>
              <w:rPr>
                <w:rFonts w:hint="default" w:ascii="Times New Roman" w:hAnsi="Times New Roman" w:eastAsia="宋体" w:cs="Times New Roman"/>
                <w:sz w:val="20"/>
                <w:lang w:val="en-US" w:eastAsia="zh-CN"/>
              </w:rPr>
              <w:t>Related to channel bandwidth, see 38.101-1 section 5.3.2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9"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hint="default" w:ascii="Times New Roman" w:hAnsi="Times New Roman" w:eastAsia="MS Mincho" w:cs="Times New Roman"/>
                <w:sz w:val="20"/>
              </w:rPr>
            </w:pPr>
            <w:r>
              <w:rPr>
                <w:rFonts w:hint="default" w:ascii="Times New Roman" w:hAnsi="Times New Roman" w:eastAsia="MS Mincho" w:cs="Times New Roman"/>
                <w:sz w:val="20"/>
              </w:rPr>
              <w:t>4</w:t>
            </w:r>
          </w:p>
        </w:tc>
        <w:tc>
          <w:tcPr>
            <w:tcW w:w="1734"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eastAsia="MS Mincho" w:cs="Times New Roman"/>
                <w:sz w:val="20"/>
              </w:rPr>
            </w:pPr>
            <w:r>
              <w:rPr>
                <w:rFonts w:hint="default" w:ascii="Times New Roman" w:hAnsi="Times New Roman" w:eastAsia="MS Mincho" w:cs="Times New Roman"/>
                <w:sz w:val="20"/>
              </w:rPr>
              <w:t>Transmitter characteristics</w:t>
            </w:r>
          </w:p>
        </w:tc>
        <w:tc>
          <w:tcPr>
            <w:tcW w:w="1443" w:type="pct"/>
            <w:vAlign w:val="center"/>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hint="default" w:ascii="Times New Roman" w:hAnsi="Times New Roman" w:eastAsia="MS Mincho" w:cs="Times New Roman"/>
                <w:sz w:val="20"/>
              </w:rPr>
            </w:pPr>
          </w:p>
        </w:tc>
        <w:tc>
          <w:tcPr>
            <w:tcW w:w="1442" w:type="pct"/>
            <w:vAlign w:val="center"/>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eastAsia="MS Mincho" w:cs="Times New Roman"/>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9"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hint="default" w:ascii="Times New Roman" w:hAnsi="Times New Roman" w:eastAsia="MS Mincho" w:cs="Times New Roman"/>
                <w:sz w:val="20"/>
              </w:rPr>
            </w:pPr>
            <w:r>
              <w:rPr>
                <w:rFonts w:hint="default" w:ascii="Times New Roman" w:hAnsi="Times New Roman" w:eastAsia="MS Mincho" w:cs="Times New Roman"/>
                <w:sz w:val="20"/>
              </w:rPr>
              <w:t>4.1</w:t>
            </w:r>
          </w:p>
        </w:tc>
        <w:tc>
          <w:tcPr>
            <w:tcW w:w="1734"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eastAsia="MS Mincho" w:cs="Times New Roman"/>
                <w:sz w:val="20"/>
              </w:rPr>
            </w:pPr>
            <w:r>
              <w:rPr>
                <w:rFonts w:hint="default" w:ascii="Times New Roman" w:hAnsi="Times New Roman" w:eastAsia="MS Mincho" w:cs="Times New Roman"/>
                <w:sz w:val="20"/>
              </w:rPr>
              <w:t>Power dynamic range (dB)</w:t>
            </w:r>
          </w:p>
        </w:tc>
        <w:tc>
          <w:tcPr>
            <w:tcW w:w="1443"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0dB</w:t>
            </w:r>
          </w:p>
        </w:tc>
        <w:tc>
          <w:tcPr>
            <w:tcW w:w="1442" w:type="pct"/>
            <w:shd w:val="clear" w:color="auto" w:fill="auto"/>
            <w:vAlign w:val="center"/>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56dB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9"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hint="default" w:ascii="Times New Roman" w:hAnsi="Times New Roman" w:eastAsia="MS Mincho" w:cs="Times New Roman"/>
                <w:sz w:val="20"/>
              </w:rPr>
            </w:pPr>
            <w:r>
              <w:rPr>
                <w:rFonts w:hint="default" w:ascii="Times New Roman" w:hAnsi="Times New Roman" w:eastAsia="MS Mincho" w:cs="Times New Roman"/>
                <w:sz w:val="20"/>
              </w:rPr>
              <w:t>4.2</w:t>
            </w:r>
          </w:p>
        </w:tc>
        <w:tc>
          <w:tcPr>
            <w:tcW w:w="1734"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eastAsia="MS Mincho" w:cs="Times New Roman"/>
                <w:sz w:val="20"/>
              </w:rPr>
            </w:pPr>
            <w:r>
              <w:rPr>
                <w:rFonts w:hint="default" w:ascii="Times New Roman" w:hAnsi="Times New Roman" w:eastAsia="MS Mincho" w:cs="Times New Roman"/>
                <w:sz w:val="20"/>
              </w:rPr>
              <w:t>Spectral mask (dB)</w:t>
            </w:r>
          </w:p>
        </w:tc>
        <w:tc>
          <w:tcPr>
            <w:tcW w:w="1443"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see 38.104 section 6.6.4.2 for n104</w:t>
            </w:r>
          </w:p>
        </w:tc>
        <w:tc>
          <w:tcPr>
            <w:tcW w:w="1442" w:type="pct"/>
            <w:shd w:val="clear" w:color="auto" w:fill="auto"/>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eastAsia="MS Mincho" w:cs="Times New Roman"/>
                <w:sz w:val="20"/>
              </w:rPr>
            </w:pPr>
            <w:r>
              <w:rPr>
                <w:rFonts w:hint="default" w:ascii="Times New Roman" w:hAnsi="Times New Roman" w:eastAsia="宋体" w:cs="Times New Roman"/>
                <w:sz w:val="20"/>
                <w:lang w:val="en-US" w:eastAsia="zh-CN"/>
              </w:rPr>
              <w:t>see 38.10</w:t>
            </w:r>
            <w:r>
              <w:rPr>
                <w:rFonts w:hint="default" w:ascii="Times New Roman" w:hAnsi="Times New Roman" w:cs="Times New Roman"/>
                <w:sz w:val="20"/>
                <w:lang w:val="en-US" w:eastAsia="zh-CN"/>
              </w:rPr>
              <w:t>1-1</w:t>
            </w:r>
            <w:r>
              <w:rPr>
                <w:rFonts w:hint="default" w:ascii="Times New Roman" w:hAnsi="Times New Roman" w:eastAsia="宋体" w:cs="Times New Roman"/>
                <w:sz w:val="20"/>
                <w:lang w:val="en-US" w:eastAsia="zh-CN"/>
              </w:rPr>
              <w:t xml:space="preserve"> section 6.</w:t>
            </w:r>
            <w:r>
              <w:rPr>
                <w:rFonts w:hint="default" w:ascii="Times New Roman" w:hAnsi="Times New Roman" w:cs="Times New Roman"/>
                <w:sz w:val="20"/>
                <w:lang w:val="en-US" w:eastAsia="zh-CN"/>
              </w:rPr>
              <w:t>5</w:t>
            </w:r>
            <w:r>
              <w:rPr>
                <w:rFonts w:hint="default" w:ascii="Times New Roman" w:hAnsi="Times New Roman" w:eastAsia="宋体" w:cs="Times New Roman"/>
                <w:sz w:val="20"/>
                <w:lang w:val="en-US" w:eastAsia="zh-CN"/>
              </w:rPr>
              <w:t>.</w:t>
            </w:r>
            <w:r>
              <w:rPr>
                <w:rFonts w:hint="default" w:ascii="Times New Roman" w:hAnsi="Times New Roman" w:cs="Times New Roman"/>
                <w:sz w:val="20"/>
                <w:lang w:val="en-US" w:eastAsia="zh-CN"/>
              </w:rPr>
              <w:t>2</w:t>
            </w:r>
            <w:r>
              <w:rPr>
                <w:rFonts w:hint="default" w:ascii="Times New Roman" w:hAnsi="Times New Roman" w:eastAsia="宋体" w:cs="Times New Roman"/>
                <w:sz w:val="20"/>
                <w:lang w:val="en-US" w:eastAsia="zh-CN"/>
              </w:rPr>
              <w:t>.2 for n104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9"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hint="default" w:ascii="Times New Roman" w:hAnsi="Times New Roman" w:eastAsia="MS Mincho" w:cs="Times New Roman"/>
                <w:sz w:val="20"/>
              </w:rPr>
            </w:pPr>
            <w:r>
              <w:rPr>
                <w:rFonts w:hint="default" w:ascii="Times New Roman" w:hAnsi="Times New Roman" w:eastAsia="MS Mincho" w:cs="Times New Roman"/>
                <w:sz w:val="20"/>
              </w:rPr>
              <w:t>4.3</w:t>
            </w:r>
          </w:p>
        </w:tc>
        <w:tc>
          <w:tcPr>
            <w:tcW w:w="1734"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eastAsia="MS Mincho" w:cs="Times New Roman"/>
                <w:sz w:val="20"/>
              </w:rPr>
            </w:pPr>
            <w:r>
              <w:rPr>
                <w:rFonts w:hint="default" w:ascii="Times New Roman" w:hAnsi="Times New Roman" w:eastAsia="MS Mincho" w:cs="Times New Roman"/>
                <w:sz w:val="20"/>
              </w:rPr>
              <w:t>ACLR (dB)</w:t>
            </w:r>
          </w:p>
        </w:tc>
        <w:tc>
          <w:tcPr>
            <w:tcW w:w="1443" w:type="pct"/>
            <w:vAlign w:val="center"/>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38dB</w:t>
            </w:r>
          </w:p>
        </w:tc>
        <w:tc>
          <w:tcPr>
            <w:tcW w:w="1442" w:type="pct"/>
            <w:shd w:val="clear" w:color="auto" w:fill="auto"/>
            <w:vAlign w:val="center"/>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26dB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9"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hint="default" w:ascii="Times New Roman" w:hAnsi="Times New Roman" w:eastAsia="MS Mincho" w:cs="Times New Roman"/>
                <w:sz w:val="20"/>
              </w:rPr>
            </w:pPr>
            <w:r>
              <w:rPr>
                <w:rFonts w:hint="default" w:ascii="Times New Roman" w:hAnsi="Times New Roman" w:eastAsia="MS Mincho" w:cs="Times New Roman"/>
                <w:sz w:val="20"/>
              </w:rPr>
              <w:t>4.4</w:t>
            </w:r>
          </w:p>
        </w:tc>
        <w:tc>
          <w:tcPr>
            <w:tcW w:w="1734"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eastAsia="MS Mincho" w:cs="Times New Roman"/>
                <w:sz w:val="20"/>
              </w:rPr>
            </w:pPr>
            <w:r>
              <w:rPr>
                <w:rFonts w:hint="default" w:ascii="Times New Roman" w:hAnsi="Times New Roman" w:eastAsia="MS Mincho" w:cs="Times New Roman"/>
                <w:sz w:val="20"/>
              </w:rPr>
              <w:t>Spurious emissions /out of band emissions</w:t>
            </w:r>
          </w:p>
        </w:tc>
        <w:tc>
          <w:tcPr>
            <w:tcW w:w="1443" w:type="pct"/>
            <w:vAlign w:val="center"/>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hint="default" w:ascii="Times New Roman" w:hAnsi="Times New Roman" w:eastAsia="MS Mincho" w:cs="Times New Roman"/>
                <w:sz w:val="20"/>
                <w:lang w:val="en-US"/>
              </w:rPr>
            </w:pPr>
            <w:r>
              <w:rPr>
                <w:rFonts w:hint="default" w:ascii="Times New Roman" w:hAnsi="Times New Roman" w:eastAsia="宋体" w:cs="Times New Roman"/>
                <w:sz w:val="20"/>
                <w:lang w:val="en-US" w:eastAsia="zh-CN"/>
              </w:rPr>
              <w:t xml:space="preserve"> see 38.104 section </w:t>
            </w:r>
            <w:r>
              <w:rPr>
                <w:rFonts w:hint="default" w:ascii="Times New Roman" w:hAnsi="Times New Roman" w:cs="Times New Roman"/>
                <w:sz w:val="20"/>
                <w:lang w:val="en-US" w:eastAsia="zh-CN"/>
              </w:rPr>
              <w:t>6.6.5</w:t>
            </w:r>
          </w:p>
        </w:tc>
        <w:tc>
          <w:tcPr>
            <w:tcW w:w="1442" w:type="pct"/>
            <w:shd w:val="clear" w:color="auto" w:fill="auto"/>
            <w:vAlign w:val="center"/>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eastAsia="MS Mincho" w:cs="Times New Roman"/>
                <w:sz w:val="20"/>
              </w:rPr>
            </w:pPr>
            <w:r>
              <w:rPr>
                <w:rFonts w:hint="default" w:ascii="Times New Roman" w:hAnsi="Times New Roman" w:eastAsia="宋体" w:cs="Times New Roman"/>
                <w:sz w:val="20"/>
                <w:lang w:val="en-US" w:eastAsia="zh-CN"/>
              </w:rPr>
              <w:t>see 38.10</w:t>
            </w:r>
            <w:r>
              <w:rPr>
                <w:rFonts w:hint="default" w:ascii="Times New Roman" w:hAnsi="Times New Roman" w:cs="Times New Roman"/>
                <w:sz w:val="20"/>
                <w:lang w:val="en-US" w:eastAsia="zh-CN"/>
              </w:rPr>
              <w:t>1-1</w:t>
            </w:r>
            <w:r>
              <w:rPr>
                <w:rFonts w:hint="default" w:ascii="Times New Roman" w:hAnsi="Times New Roman" w:eastAsia="宋体" w:cs="Times New Roman"/>
                <w:sz w:val="20"/>
                <w:lang w:val="en-US" w:eastAsia="zh-CN"/>
              </w:rPr>
              <w:t xml:space="preserve"> section 6.</w:t>
            </w:r>
            <w:r>
              <w:rPr>
                <w:rFonts w:hint="default" w:ascii="Times New Roman" w:hAnsi="Times New Roman" w:cs="Times New Roman"/>
                <w:sz w:val="20"/>
                <w:lang w:val="en-US" w:eastAsia="zh-CN"/>
              </w:rPr>
              <w:t>5</w:t>
            </w:r>
            <w:r>
              <w:rPr>
                <w:rFonts w:hint="default" w:ascii="Times New Roman" w:hAnsi="Times New Roman" w:eastAsia="宋体" w:cs="Times New Roman"/>
                <w:sz w:val="20"/>
                <w:lang w:val="en-US" w:eastAsia="zh-CN"/>
              </w:rPr>
              <w:t>.</w:t>
            </w:r>
            <w:r>
              <w:rPr>
                <w:rFonts w:hint="default" w:ascii="Times New Roman" w:hAnsi="Times New Roman" w:cs="Times New Roman"/>
                <w:sz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9"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hint="default" w:ascii="Times New Roman" w:hAnsi="Times New Roman" w:eastAsia="MS Mincho" w:cs="Times New Roman"/>
                <w:sz w:val="20"/>
              </w:rPr>
            </w:pPr>
            <w:r>
              <w:rPr>
                <w:rFonts w:hint="default" w:ascii="Times New Roman" w:hAnsi="Times New Roman" w:eastAsia="MS Mincho" w:cs="Times New Roman"/>
                <w:sz w:val="20"/>
              </w:rPr>
              <w:t>4.5</w:t>
            </w:r>
          </w:p>
        </w:tc>
        <w:tc>
          <w:tcPr>
            <w:tcW w:w="1734"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eastAsia="MS Mincho" w:cs="Times New Roman"/>
                <w:sz w:val="20"/>
              </w:rPr>
            </w:pPr>
            <w:r>
              <w:rPr>
                <w:rFonts w:hint="default" w:ascii="Times New Roman" w:hAnsi="Times New Roman" w:eastAsia="MS Mincho" w:cs="Times New Roman"/>
                <w:sz w:val="20"/>
              </w:rPr>
              <w:t>Maximum output power (dBm)</w:t>
            </w:r>
          </w:p>
        </w:tc>
        <w:tc>
          <w:tcPr>
            <w:tcW w:w="1443"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hint="default" w:ascii="Times New Roman" w:hAnsi="Times New Roman" w:eastAsia="宋体" w:cs="Times New Roman"/>
                <w:sz w:val="20"/>
                <w:lang w:val="en-US" w:eastAsia="zh-CN"/>
              </w:rPr>
            </w:pPr>
            <w:r>
              <w:rPr>
                <w:rFonts w:hint="default" w:ascii="Times New Roman" w:hAnsi="Times New Roman" w:cs="Times New Roman"/>
                <w:sz w:val="20"/>
              </w:rPr>
              <w:t>Defined by the conducted power per antenna element,</w:t>
            </w:r>
            <w:r>
              <w:rPr>
                <w:rFonts w:hint="default" w:ascii="Times New Roman" w:hAnsi="Times New Roman" w:cs="Times New Roman"/>
                <w:sz w:val="20"/>
                <w:lang w:val="en-US" w:eastAsia="zh-CN"/>
              </w:rPr>
              <w:t xml:space="preserve"> 22dB for macro suburban, 22dB for macro urban, 16dB for small cell outdoor/micro urban, 9dB for small cell indoor/indoor urban</w:t>
            </w:r>
          </w:p>
        </w:tc>
        <w:tc>
          <w:tcPr>
            <w:tcW w:w="1442" w:type="pct"/>
            <w:shd w:val="clear" w:color="auto" w:fill="auto"/>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23dBm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9"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hint="default" w:ascii="Times New Roman" w:hAnsi="Times New Roman" w:eastAsia="MS Mincho" w:cs="Times New Roman"/>
                <w:sz w:val="20"/>
              </w:rPr>
            </w:pPr>
            <w:r>
              <w:rPr>
                <w:rFonts w:hint="default" w:ascii="Times New Roman" w:hAnsi="Times New Roman" w:eastAsia="MS Mincho" w:cs="Times New Roman"/>
                <w:sz w:val="20"/>
              </w:rPr>
              <w:br w:type="page"/>
            </w:r>
            <w:r>
              <w:rPr>
                <w:rFonts w:hint="default" w:ascii="Times New Roman" w:hAnsi="Times New Roman" w:eastAsia="MS Mincho" w:cs="Times New Roman"/>
                <w:sz w:val="20"/>
              </w:rPr>
              <w:t>5</w:t>
            </w:r>
          </w:p>
        </w:tc>
        <w:tc>
          <w:tcPr>
            <w:tcW w:w="1734"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eastAsia="MS Mincho" w:cs="Times New Roman"/>
                <w:sz w:val="20"/>
              </w:rPr>
            </w:pPr>
            <w:r>
              <w:rPr>
                <w:rFonts w:hint="default" w:ascii="Times New Roman" w:hAnsi="Times New Roman" w:eastAsia="MS Mincho" w:cs="Times New Roman"/>
                <w:sz w:val="20"/>
              </w:rPr>
              <w:t>Receiver characteristics</w:t>
            </w:r>
          </w:p>
        </w:tc>
        <w:tc>
          <w:tcPr>
            <w:tcW w:w="1443"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eastAsia="MS Mincho" w:cs="Times New Roman"/>
                <w:sz w:val="20"/>
              </w:rPr>
            </w:pPr>
          </w:p>
        </w:tc>
        <w:tc>
          <w:tcPr>
            <w:tcW w:w="1442"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eastAsia="MS Mincho" w:cs="Times New Roman"/>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9"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hint="default" w:ascii="Times New Roman" w:hAnsi="Times New Roman" w:eastAsia="MS Mincho" w:cs="Times New Roman"/>
                <w:sz w:val="20"/>
              </w:rPr>
            </w:pPr>
            <w:r>
              <w:rPr>
                <w:rFonts w:hint="default" w:ascii="Times New Roman" w:hAnsi="Times New Roman" w:eastAsia="MS Mincho" w:cs="Times New Roman"/>
                <w:sz w:val="20"/>
              </w:rPr>
              <w:t>5.1</w:t>
            </w:r>
          </w:p>
        </w:tc>
        <w:tc>
          <w:tcPr>
            <w:tcW w:w="1734"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eastAsia="MS Mincho" w:cs="Times New Roman"/>
                <w:sz w:val="20"/>
              </w:rPr>
            </w:pPr>
            <w:r>
              <w:rPr>
                <w:rFonts w:hint="default" w:ascii="Times New Roman" w:hAnsi="Times New Roman" w:eastAsia="MS Mincho" w:cs="Times New Roman"/>
                <w:sz w:val="20"/>
              </w:rPr>
              <w:t>Noise figure (dB)</w:t>
            </w:r>
          </w:p>
        </w:tc>
        <w:tc>
          <w:tcPr>
            <w:tcW w:w="1443"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hint="default" w:ascii="Times New Roman" w:hAnsi="Times New Roman" w:eastAsia="MS Mincho" w:cs="Times New Roman"/>
                <w:sz w:val="20"/>
              </w:rPr>
            </w:pPr>
            <w:r>
              <w:rPr>
                <w:rFonts w:hint="default" w:ascii="Times New Roman" w:hAnsi="Times New Roman" w:cs="Times New Roman"/>
                <w:sz w:val="20"/>
              </w:rPr>
              <w:t>6 dB (Wide Area BS)</w:t>
            </w:r>
            <w:r>
              <w:rPr>
                <w:rFonts w:hint="default" w:ascii="Times New Roman" w:hAnsi="Times New Roman" w:cs="Times New Roman"/>
                <w:sz w:val="20"/>
              </w:rPr>
              <w:br w:type="textWrapping"/>
            </w:r>
            <w:r>
              <w:rPr>
                <w:rFonts w:hint="default" w:ascii="Times New Roman" w:hAnsi="Times New Roman" w:cs="Times New Roman"/>
                <w:sz w:val="20"/>
              </w:rPr>
              <w:t>11 dB (Medium Range BS)</w:t>
            </w:r>
            <w:r>
              <w:rPr>
                <w:rFonts w:hint="default" w:ascii="Times New Roman" w:hAnsi="Times New Roman" w:cs="Times New Roman"/>
                <w:sz w:val="20"/>
              </w:rPr>
              <w:br w:type="textWrapping"/>
            </w:r>
            <w:r>
              <w:rPr>
                <w:rFonts w:hint="default" w:ascii="Times New Roman" w:hAnsi="Times New Roman" w:cs="Times New Roman"/>
                <w:sz w:val="20"/>
              </w:rPr>
              <w:t>14 dB (Local Area BS)</w:t>
            </w:r>
          </w:p>
        </w:tc>
        <w:tc>
          <w:tcPr>
            <w:tcW w:w="1442" w:type="pct"/>
            <w:vAlign w:val="center"/>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9-13dB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9"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hint="default" w:ascii="Times New Roman" w:hAnsi="Times New Roman" w:eastAsia="MS Mincho" w:cs="Times New Roman"/>
                <w:sz w:val="20"/>
              </w:rPr>
            </w:pPr>
            <w:r>
              <w:rPr>
                <w:rFonts w:hint="default" w:ascii="Times New Roman" w:hAnsi="Times New Roman" w:eastAsia="MS Mincho" w:cs="Times New Roman"/>
                <w:sz w:val="20"/>
              </w:rPr>
              <w:t>5.2</w:t>
            </w:r>
          </w:p>
        </w:tc>
        <w:tc>
          <w:tcPr>
            <w:tcW w:w="1734"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eastAsia="MS Mincho" w:cs="Times New Roman"/>
                <w:sz w:val="20"/>
              </w:rPr>
            </w:pPr>
            <w:r>
              <w:rPr>
                <w:rFonts w:hint="default" w:ascii="Times New Roman" w:hAnsi="Times New Roman" w:eastAsia="MS Mincho" w:cs="Times New Roman"/>
                <w:sz w:val="20"/>
              </w:rPr>
              <w:t>Sensitivity (dBm)</w:t>
            </w:r>
          </w:p>
        </w:tc>
        <w:tc>
          <w:tcPr>
            <w:tcW w:w="1443"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eastAsia="MS Mincho" w:cs="Times New Roman"/>
                <w:sz w:val="20"/>
                <w:lang w:val="en-US"/>
              </w:rPr>
            </w:pPr>
            <w:r>
              <w:rPr>
                <w:rFonts w:hint="default" w:ascii="Times New Roman" w:hAnsi="Times New Roman" w:eastAsia="宋体" w:cs="Times New Roman"/>
                <w:sz w:val="20"/>
                <w:lang w:val="en-US" w:eastAsia="zh-CN"/>
              </w:rPr>
              <w:t xml:space="preserve"> see 38.104 section </w:t>
            </w:r>
            <w:r>
              <w:rPr>
                <w:rFonts w:hint="default" w:ascii="Times New Roman" w:hAnsi="Times New Roman" w:cs="Times New Roman"/>
                <w:sz w:val="20"/>
                <w:lang w:val="en-US" w:eastAsia="zh-CN"/>
              </w:rPr>
              <w:t>7.2.2</w:t>
            </w:r>
          </w:p>
        </w:tc>
        <w:tc>
          <w:tcPr>
            <w:tcW w:w="1442"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eastAsia="MS Mincho" w:cs="Times New Roman"/>
                <w:sz w:val="20"/>
                <w:lang w:val="en-US"/>
              </w:rPr>
            </w:pPr>
            <w:r>
              <w:rPr>
                <w:rFonts w:hint="default" w:ascii="Times New Roman" w:hAnsi="Times New Roman" w:eastAsia="宋体" w:cs="Times New Roman"/>
                <w:sz w:val="20"/>
                <w:lang w:val="en-US" w:eastAsia="zh-CN"/>
              </w:rPr>
              <w:t>see 38.10</w:t>
            </w:r>
            <w:r>
              <w:rPr>
                <w:rFonts w:hint="default" w:ascii="Times New Roman" w:hAnsi="Times New Roman" w:cs="Times New Roman"/>
                <w:sz w:val="20"/>
                <w:lang w:val="en-US" w:eastAsia="zh-CN"/>
              </w:rPr>
              <w:t>1-1</w:t>
            </w:r>
            <w:r>
              <w:rPr>
                <w:rFonts w:hint="default" w:ascii="Times New Roman" w:hAnsi="Times New Roman" w:eastAsia="宋体" w:cs="Times New Roman"/>
                <w:sz w:val="20"/>
                <w:lang w:val="en-US" w:eastAsia="zh-CN"/>
              </w:rPr>
              <w:t xml:space="preserve"> section </w:t>
            </w:r>
            <w:r>
              <w:rPr>
                <w:rFonts w:hint="default" w:ascii="Times New Roman" w:hAnsi="Times New Roman" w:cs="Times New Roman"/>
                <w:sz w:val="20"/>
                <w:lang w:val="en-US" w:eastAsia="zh-CN"/>
              </w:rPr>
              <w:t>7.3.2 for band n104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9"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hint="default" w:ascii="Times New Roman" w:hAnsi="Times New Roman" w:eastAsia="MS Mincho" w:cs="Times New Roman"/>
                <w:sz w:val="20"/>
              </w:rPr>
            </w:pPr>
            <w:r>
              <w:rPr>
                <w:rFonts w:hint="default" w:ascii="Times New Roman" w:hAnsi="Times New Roman" w:eastAsia="MS Mincho" w:cs="Times New Roman"/>
                <w:sz w:val="20"/>
              </w:rPr>
              <w:t>5.3</w:t>
            </w:r>
          </w:p>
        </w:tc>
        <w:tc>
          <w:tcPr>
            <w:tcW w:w="1734"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eastAsia="MS Mincho" w:cs="Times New Roman"/>
                <w:sz w:val="20"/>
              </w:rPr>
            </w:pPr>
            <w:r>
              <w:rPr>
                <w:rFonts w:hint="default" w:ascii="Times New Roman" w:hAnsi="Times New Roman" w:eastAsia="MS Mincho" w:cs="Times New Roman"/>
                <w:sz w:val="20"/>
              </w:rPr>
              <w:t>Blocking response</w:t>
            </w:r>
          </w:p>
        </w:tc>
        <w:tc>
          <w:tcPr>
            <w:tcW w:w="1443" w:type="pct"/>
            <w:vAlign w:val="top"/>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cs="Times New Roman"/>
                <w:sz w:val="20"/>
                <w:lang w:val="en-US" w:eastAsia="zh-CN"/>
              </w:rPr>
            </w:pPr>
            <w:r>
              <w:rPr>
                <w:rFonts w:hint="default" w:ascii="Times New Roman" w:hAnsi="Times New Roman" w:cs="Times New Roman"/>
                <w:sz w:val="20"/>
                <w:lang w:val="en-US" w:eastAsia="zh-CN"/>
              </w:rPr>
              <w:t>In-band blocking:</w:t>
            </w:r>
            <w:r>
              <w:rPr>
                <w:rFonts w:hint="default" w:ascii="Times New Roman" w:hAnsi="Times New Roman" w:eastAsia="宋体" w:cs="Times New Roman"/>
                <w:sz w:val="20"/>
                <w:lang w:val="en-US" w:eastAsia="zh-CN"/>
              </w:rPr>
              <w:t xml:space="preserve"> see 38.104 section </w:t>
            </w:r>
            <w:r>
              <w:rPr>
                <w:rFonts w:hint="default" w:ascii="Times New Roman" w:hAnsi="Times New Roman" w:cs="Times New Roman"/>
                <w:sz w:val="20"/>
                <w:lang w:val="en-US" w:eastAsia="zh-CN"/>
              </w:rPr>
              <w:t>7.4.2</w:t>
            </w:r>
          </w:p>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cs="Times New Roman"/>
                <w:sz w:val="20"/>
                <w:lang w:val="en-US" w:eastAsia="zh-CN"/>
              </w:rPr>
            </w:pPr>
            <w:r>
              <w:rPr>
                <w:rFonts w:hint="default" w:ascii="Times New Roman" w:hAnsi="Times New Roman" w:cs="Times New Roman"/>
                <w:sz w:val="20"/>
                <w:lang w:val="en-US" w:eastAsia="zh-CN"/>
              </w:rPr>
              <w:t xml:space="preserve">Out-of-band blocking: </w:t>
            </w:r>
            <w:r>
              <w:rPr>
                <w:rFonts w:hint="default" w:ascii="Times New Roman" w:hAnsi="Times New Roman" w:eastAsia="宋体" w:cs="Times New Roman"/>
                <w:sz w:val="20"/>
                <w:lang w:val="en-US" w:eastAsia="zh-CN"/>
              </w:rPr>
              <w:t xml:space="preserve">see 38.104 section </w:t>
            </w:r>
            <w:r>
              <w:rPr>
                <w:rFonts w:hint="default" w:ascii="Times New Roman" w:hAnsi="Times New Roman" w:cs="Times New Roman"/>
                <w:sz w:val="20"/>
                <w:lang w:val="en-US" w:eastAsia="zh-CN"/>
              </w:rPr>
              <w:t>7.5.2</w:t>
            </w:r>
          </w:p>
        </w:tc>
        <w:tc>
          <w:tcPr>
            <w:tcW w:w="1442" w:type="pct"/>
            <w:vAlign w:val="top"/>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cs="Times New Roman"/>
                <w:sz w:val="20"/>
                <w:lang w:val="en-US" w:eastAsia="zh-CN"/>
              </w:rPr>
            </w:pPr>
            <w:r>
              <w:rPr>
                <w:rFonts w:hint="default" w:ascii="Times New Roman" w:hAnsi="Times New Roman" w:cs="Times New Roman"/>
                <w:sz w:val="20"/>
                <w:lang w:val="en-US" w:eastAsia="zh-CN"/>
              </w:rPr>
              <w:t xml:space="preserve">In-band blocking: </w:t>
            </w:r>
            <w:r>
              <w:rPr>
                <w:rFonts w:hint="default" w:ascii="Times New Roman" w:hAnsi="Times New Roman" w:eastAsia="宋体" w:cs="Times New Roman"/>
                <w:sz w:val="20"/>
                <w:lang w:val="en-US" w:eastAsia="zh-CN"/>
              </w:rPr>
              <w:t>see 38.10</w:t>
            </w:r>
            <w:r>
              <w:rPr>
                <w:rFonts w:hint="default" w:ascii="Times New Roman" w:hAnsi="Times New Roman" w:cs="Times New Roman"/>
                <w:sz w:val="20"/>
                <w:lang w:val="en-US" w:eastAsia="zh-CN"/>
              </w:rPr>
              <w:t>1-1</w:t>
            </w:r>
            <w:r>
              <w:rPr>
                <w:rFonts w:hint="default" w:ascii="Times New Roman" w:hAnsi="Times New Roman" w:eastAsia="宋体" w:cs="Times New Roman"/>
                <w:sz w:val="20"/>
                <w:lang w:val="en-US" w:eastAsia="zh-CN"/>
              </w:rPr>
              <w:t xml:space="preserve"> </w:t>
            </w:r>
            <w:r>
              <w:rPr>
                <w:rFonts w:hint="default" w:ascii="Times New Roman" w:hAnsi="Times New Roman" w:cs="Times New Roman"/>
                <w:sz w:val="20"/>
                <w:lang w:val="en-US" w:eastAsia="zh-CN"/>
              </w:rPr>
              <w:t>table</w:t>
            </w:r>
            <w:r>
              <w:rPr>
                <w:rFonts w:hint="default" w:ascii="Times New Roman" w:hAnsi="Times New Roman" w:eastAsia="宋体" w:cs="Times New Roman"/>
                <w:sz w:val="20"/>
                <w:lang w:val="en-US" w:eastAsia="zh-CN"/>
              </w:rPr>
              <w:t xml:space="preserve"> </w:t>
            </w:r>
            <w:r>
              <w:rPr>
                <w:rFonts w:hint="default" w:ascii="Times New Roman" w:hAnsi="Times New Roman" w:cs="Times New Roman"/>
                <w:sz w:val="20"/>
                <w:lang w:val="en-US" w:eastAsia="zh-CN"/>
              </w:rPr>
              <w:t>7.6.2-4 for band n104</w:t>
            </w:r>
          </w:p>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cs="Times New Roman"/>
                <w:sz w:val="20"/>
                <w:lang w:val="en-US" w:eastAsia="zh-CN"/>
              </w:rPr>
            </w:pPr>
            <w:r>
              <w:rPr>
                <w:rFonts w:hint="default" w:ascii="Times New Roman" w:hAnsi="Times New Roman" w:cs="Times New Roman"/>
                <w:sz w:val="20"/>
                <w:lang w:val="en-US" w:eastAsia="zh-CN"/>
              </w:rPr>
              <w:t xml:space="preserve">Out-of-band blocking: </w:t>
            </w:r>
            <w:r>
              <w:rPr>
                <w:rFonts w:hint="default" w:ascii="Times New Roman" w:hAnsi="Times New Roman" w:eastAsia="宋体" w:cs="Times New Roman"/>
                <w:sz w:val="20"/>
                <w:lang w:val="en-US" w:eastAsia="zh-CN"/>
              </w:rPr>
              <w:t>see 38.10</w:t>
            </w:r>
            <w:r>
              <w:rPr>
                <w:rFonts w:hint="default" w:ascii="Times New Roman" w:hAnsi="Times New Roman" w:cs="Times New Roman"/>
                <w:sz w:val="20"/>
                <w:lang w:val="en-US" w:eastAsia="zh-CN"/>
              </w:rPr>
              <w:t>1-1</w:t>
            </w:r>
            <w:r>
              <w:rPr>
                <w:rFonts w:hint="default" w:ascii="Times New Roman" w:hAnsi="Times New Roman" w:eastAsia="宋体" w:cs="Times New Roman"/>
                <w:sz w:val="20"/>
                <w:lang w:val="en-US" w:eastAsia="zh-CN"/>
              </w:rPr>
              <w:t xml:space="preserve"> </w:t>
            </w:r>
            <w:r>
              <w:rPr>
                <w:rFonts w:hint="default" w:ascii="Times New Roman" w:hAnsi="Times New Roman" w:cs="Times New Roman"/>
                <w:sz w:val="20"/>
                <w:lang w:val="en-US" w:eastAsia="zh-CN"/>
              </w:rPr>
              <w:t>table 7.6.3-4</w:t>
            </w:r>
            <w:r>
              <w:rPr>
                <w:rFonts w:hint="default" w:ascii="Times New Roman" w:hAnsi="Times New Roman" w:eastAsia="宋体" w:cs="Times New Roman"/>
                <w:sz w:val="2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9" w:type="pct"/>
            <w:tcBorders>
              <w:bottom w:val="single" w:color="auto" w:sz="4" w:space="0"/>
            </w:tcBorders>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hint="default" w:ascii="Times New Roman" w:hAnsi="Times New Roman" w:eastAsia="MS Mincho" w:cs="Times New Roman"/>
                <w:sz w:val="20"/>
              </w:rPr>
            </w:pPr>
            <w:r>
              <w:rPr>
                <w:rFonts w:hint="default" w:ascii="Times New Roman" w:hAnsi="Times New Roman" w:eastAsia="MS Mincho" w:cs="Times New Roman"/>
                <w:sz w:val="20"/>
              </w:rPr>
              <w:t>5.4</w:t>
            </w:r>
          </w:p>
        </w:tc>
        <w:tc>
          <w:tcPr>
            <w:tcW w:w="1734" w:type="pct"/>
            <w:tcBorders>
              <w:bottom w:val="single" w:color="auto" w:sz="4" w:space="0"/>
            </w:tcBorders>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eastAsia="MS Mincho" w:cs="Times New Roman"/>
                <w:sz w:val="20"/>
              </w:rPr>
            </w:pPr>
            <w:r>
              <w:rPr>
                <w:rFonts w:hint="default" w:ascii="Times New Roman" w:hAnsi="Times New Roman" w:eastAsia="MS Mincho" w:cs="Times New Roman"/>
                <w:sz w:val="20"/>
              </w:rPr>
              <w:t>ACS</w:t>
            </w:r>
          </w:p>
        </w:tc>
        <w:tc>
          <w:tcPr>
            <w:tcW w:w="1443" w:type="pct"/>
            <w:tcBorders>
              <w:bottom w:val="single" w:color="auto" w:sz="4" w:space="0"/>
            </w:tcBorders>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42dB</w:t>
            </w:r>
          </w:p>
        </w:tc>
        <w:tc>
          <w:tcPr>
            <w:tcW w:w="1442" w:type="pct"/>
            <w:tcBorders>
              <w:bottom w:val="single" w:color="auto" w:sz="4" w:space="0"/>
            </w:tcBorders>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32dB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9" w:type="pct"/>
            <w:tcBorders>
              <w:bottom w:val="single" w:color="auto" w:sz="4" w:space="0"/>
            </w:tcBorders>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hint="default" w:ascii="Times New Roman" w:hAnsi="Times New Roman" w:eastAsia="MS Mincho" w:cs="Times New Roman"/>
                <w:sz w:val="20"/>
              </w:rPr>
            </w:pPr>
            <w:r>
              <w:rPr>
                <w:rFonts w:hint="default" w:ascii="Times New Roman" w:hAnsi="Times New Roman" w:eastAsia="MS Mincho" w:cs="Times New Roman"/>
                <w:sz w:val="20"/>
              </w:rPr>
              <w:t>5.5</w:t>
            </w:r>
          </w:p>
        </w:tc>
        <w:tc>
          <w:tcPr>
            <w:tcW w:w="1734" w:type="pct"/>
            <w:tcBorders>
              <w:bottom w:val="single" w:color="auto" w:sz="4" w:space="0"/>
            </w:tcBorders>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eastAsia="MS Mincho" w:cs="Times New Roman"/>
                <w:sz w:val="20"/>
              </w:rPr>
            </w:pPr>
            <w:r>
              <w:rPr>
                <w:rFonts w:hint="default" w:ascii="Times New Roman" w:hAnsi="Times New Roman" w:eastAsia="MS Mincho" w:cs="Times New Roman"/>
                <w:sz w:val="20"/>
              </w:rPr>
              <w:t>SINR operating range (dB)</w:t>
            </w:r>
          </w:p>
        </w:tc>
        <w:tc>
          <w:tcPr>
            <w:tcW w:w="2885" w:type="pct"/>
            <w:gridSpan w:val="2"/>
            <w:tcBorders>
              <w:bottom w:val="single" w:color="auto" w:sz="4" w:space="0"/>
            </w:tcBorders>
            <w:vAlign w:val="center"/>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As below</w:t>
            </w:r>
          </w:p>
        </w:tc>
      </w:tr>
    </w:tbl>
    <w:p>
      <w:pPr>
        <w:numPr>
          <w:ilvl w:val="0"/>
          <w:numId w:val="0"/>
        </w:numPr>
        <w:spacing w:after="180"/>
        <w:ind w:leftChars="0"/>
        <w:rPr>
          <w:rFonts w:hint="default" w:ascii="Times New Roman" w:hAnsi="Times New Roman" w:cs="Times New Roman"/>
          <w:b/>
          <w:bCs/>
          <w:sz w:val="20"/>
          <w:szCs w:val="20"/>
          <w:lang w:val="en-US" w:eastAsia="zh-CN"/>
        </w:rPr>
      </w:pPr>
    </w:p>
    <w:p>
      <w:pPr>
        <w:tabs>
          <w:tab w:val="left" w:pos="1134"/>
          <w:tab w:val="left" w:pos="1871"/>
          <w:tab w:val="left" w:pos="2268"/>
        </w:tabs>
        <w:rPr>
          <w:rFonts w:hint="default" w:ascii="Times New Roman" w:hAnsi="Times New Roman" w:cs="Times New Roman"/>
          <w:sz w:val="20"/>
          <w:szCs w:val="20"/>
        </w:rPr>
      </w:pPr>
      <w:r>
        <w:rPr>
          <w:rFonts w:hint="default" w:ascii="Times New Roman" w:hAnsi="Times New Roman" w:cs="Times New Roman"/>
          <w:sz w:val="20"/>
          <w:szCs w:val="20"/>
        </w:rPr>
        <w:t xml:space="preserve">The following equations approximate the throughput over a channel with a given SINR (dB), when using link adaptation: </w:t>
      </w:r>
    </w:p>
    <w:p>
      <w:pPr>
        <w:tabs>
          <w:tab w:val="left" w:pos="1134"/>
          <w:tab w:val="center" w:pos="4820"/>
          <w:tab w:val="right" w:pos="9639"/>
        </w:tabs>
        <w:rPr>
          <w:rFonts w:hint="default" w:ascii="Times New Roman" w:hAnsi="Times New Roman" w:cs="Times New Roman"/>
          <w:sz w:val="20"/>
          <w:szCs w:val="20"/>
        </w:rPr>
      </w:pPr>
      <m:oMathPara>
        <m:oMathParaPr>
          <m:jc m:val="center"/>
        </m:oMathParaPr>
        <m:oMath>
          <m:r>
            <m:rPr/>
            <w:rPr>
              <w:rFonts w:hint="default" w:ascii="Cambria Math" w:hAnsi="Cambria Math" w:cs="Times New Roman"/>
              <w:sz w:val="20"/>
              <w:szCs w:val="20"/>
            </w:rPr>
            <m:t>Tℎrougℎput</m:t>
          </m:r>
          <m:r>
            <m:rPr>
              <m:sty m:val="p"/>
            </m:rPr>
            <w:rPr>
              <w:rFonts w:hint="default" w:ascii="Cambria Math" w:hAnsi="Cambria Math" w:cs="Times New Roman"/>
              <w:sz w:val="20"/>
              <w:szCs w:val="20"/>
            </w:rPr>
            <m:t xml:space="preserve"> </m:t>
          </m:r>
          <m:d>
            <m:dPr>
              <m:ctrlPr>
                <w:rPr>
                  <w:rFonts w:hint="default" w:ascii="Cambria Math" w:hAnsi="Cambria Math" w:cs="Times New Roman"/>
                  <w:sz w:val="20"/>
                  <w:szCs w:val="20"/>
                </w:rPr>
              </m:ctrlPr>
            </m:dPr>
            <m:e>
              <m:r>
                <m:rPr/>
                <w:rPr>
                  <w:rFonts w:hint="default" w:ascii="Cambria Math" w:hAnsi="Cambria Math" w:cs="Times New Roman"/>
                  <w:sz w:val="20"/>
                  <w:szCs w:val="20"/>
                </w:rPr>
                <m:t>SINR</m:t>
              </m:r>
              <m:ctrlPr>
                <w:rPr>
                  <w:rFonts w:hint="default" w:ascii="Cambria Math" w:hAnsi="Cambria Math" w:cs="Times New Roman"/>
                  <w:sz w:val="20"/>
                  <w:szCs w:val="20"/>
                </w:rPr>
              </m:ctrlPr>
            </m:e>
          </m:d>
          <m:r>
            <m:rPr>
              <m:sty m:val="p"/>
            </m:rPr>
            <w:rPr>
              <w:rFonts w:hint="default" w:ascii="Cambria Math" w:hAnsi="Cambria Math" w:cs="Times New Roman"/>
              <w:sz w:val="20"/>
              <w:szCs w:val="20"/>
            </w:rPr>
            <m:t xml:space="preserve">, </m:t>
          </m:r>
          <m:r>
            <m:rPr/>
            <w:rPr>
              <w:rFonts w:hint="default" w:ascii="Cambria Math" w:hAnsi="Cambria Math" w:cs="Times New Roman"/>
              <w:sz w:val="20"/>
              <w:szCs w:val="20"/>
            </w:rPr>
            <m:t>bps</m:t>
          </m:r>
          <m:r>
            <m:rPr>
              <m:sty m:val="p"/>
            </m:rPr>
            <w:rPr>
              <w:rFonts w:hint="default" w:ascii="Cambria Math" w:hAnsi="Cambria Math" w:cs="Times New Roman"/>
              <w:sz w:val="20"/>
              <w:szCs w:val="20"/>
            </w:rPr>
            <m:t>/</m:t>
          </m:r>
          <m:r>
            <m:rPr/>
            <w:rPr>
              <w:rFonts w:hint="default" w:ascii="Cambria Math" w:hAnsi="Cambria Math" w:cs="Times New Roman"/>
              <w:sz w:val="20"/>
              <w:szCs w:val="20"/>
            </w:rPr>
            <m:t>Hz</m:t>
          </m:r>
          <m:r>
            <m:rPr>
              <m:sty m:val="p"/>
            </m:rPr>
            <w:rPr>
              <w:rFonts w:hint="default" w:ascii="Cambria Math" w:hAnsi="Cambria Math" w:cs="Times New Roman"/>
              <w:sz w:val="20"/>
              <w:szCs w:val="20"/>
            </w:rPr>
            <m:t xml:space="preserve"> =</m:t>
          </m:r>
          <m:d>
            <m:dPr>
              <m:begChr m:val="{"/>
              <m:endChr m:val=""/>
              <m:ctrlPr>
                <w:rPr>
                  <w:rFonts w:hint="default" w:ascii="Cambria Math" w:hAnsi="Cambria Math" w:cs="Times New Roman"/>
                  <w:sz w:val="20"/>
                  <w:szCs w:val="20"/>
                </w:rPr>
              </m:ctrlPr>
            </m:dPr>
            <m:e>
              <m:eqArr>
                <m:eqArrPr>
                  <m:ctrlPr>
                    <w:rPr>
                      <w:rFonts w:hint="default" w:ascii="Cambria Math" w:hAnsi="Cambria Math" w:cs="Times New Roman"/>
                      <w:sz w:val="20"/>
                      <w:szCs w:val="20"/>
                    </w:rPr>
                  </m:ctrlPr>
                </m:eqArrPr>
                <m:e>
                  <m:r>
                    <m:rPr>
                      <m:sty m:val="p"/>
                    </m:rPr>
                    <w:rPr>
                      <w:rFonts w:hint="default" w:ascii="Cambria Math" w:hAnsi="Cambria Math" w:cs="Times New Roman"/>
                      <w:sz w:val="20"/>
                      <w:szCs w:val="20"/>
                    </w:rPr>
                    <m:t xml:space="preserve">0                        </m:t>
                  </m:r>
                  <m:r>
                    <m:rPr/>
                    <w:rPr>
                      <w:rFonts w:hint="default" w:ascii="Cambria Math" w:hAnsi="Cambria Math" w:cs="Times New Roman"/>
                      <w:sz w:val="20"/>
                      <w:szCs w:val="20"/>
                    </w:rPr>
                    <m:t>for</m:t>
                  </m:r>
                  <m:r>
                    <m:rPr>
                      <m:sty m:val="p"/>
                    </m:rPr>
                    <w:rPr>
                      <w:rFonts w:hint="default" w:ascii="Cambria Math" w:hAnsi="Cambria Math" w:cs="Times New Roman"/>
                      <w:sz w:val="20"/>
                      <w:szCs w:val="20"/>
                    </w:rPr>
                    <m:t xml:space="preserve"> </m:t>
                  </m:r>
                  <m:r>
                    <m:rPr/>
                    <w:rPr>
                      <w:rFonts w:hint="default" w:ascii="Cambria Math" w:hAnsi="Cambria Math" w:cs="Times New Roman"/>
                      <w:sz w:val="20"/>
                      <w:szCs w:val="20"/>
                    </w:rPr>
                    <m:t>SINR</m:t>
                  </m:r>
                  <m:r>
                    <m:rPr>
                      <m:sty m:val="p"/>
                    </m:rPr>
                    <w:rPr>
                      <w:rFonts w:hint="default" w:ascii="Cambria Math" w:hAnsi="Cambria Math" w:cs="Times New Roman"/>
                      <w:sz w:val="20"/>
                      <w:szCs w:val="20"/>
                    </w:rPr>
                    <m:t xml:space="preserve">&lt; </m:t>
                  </m:r>
                  <m:r>
                    <m:rPr/>
                    <w:rPr>
                      <w:rFonts w:hint="default" w:ascii="Cambria Math" w:hAnsi="Cambria Math" w:cs="Times New Roman"/>
                      <w:sz w:val="20"/>
                      <w:szCs w:val="20"/>
                    </w:rPr>
                    <m:t>SIN</m:t>
                  </m:r>
                  <m:sSub>
                    <m:sSubPr>
                      <m:ctrlPr>
                        <w:rPr>
                          <w:rFonts w:hint="default" w:ascii="Cambria Math" w:hAnsi="Cambria Math" w:cs="Times New Roman"/>
                          <w:sz w:val="20"/>
                          <w:szCs w:val="20"/>
                        </w:rPr>
                      </m:ctrlPr>
                    </m:sSubPr>
                    <m:e>
                      <m:r>
                        <m:rPr/>
                        <w:rPr>
                          <w:rFonts w:hint="default" w:ascii="Cambria Math" w:hAnsi="Cambria Math" w:cs="Times New Roman"/>
                          <w:sz w:val="20"/>
                          <w:szCs w:val="20"/>
                        </w:rPr>
                        <m:t>R</m:t>
                      </m:r>
                      <m:ctrlPr>
                        <w:rPr>
                          <w:rFonts w:hint="default" w:ascii="Cambria Math" w:hAnsi="Cambria Math" w:cs="Times New Roman"/>
                          <w:sz w:val="20"/>
                          <w:szCs w:val="20"/>
                        </w:rPr>
                      </m:ctrlPr>
                    </m:e>
                    <m:sub>
                      <m:r>
                        <m:rPr/>
                        <w:rPr>
                          <w:rFonts w:hint="default" w:ascii="Cambria Math" w:hAnsi="Cambria Math" w:cs="Times New Roman"/>
                          <w:sz w:val="20"/>
                          <w:szCs w:val="20"/>
                        </w:rPr>
                        <m:t>MIN</m:t>
                      </m:r>
                      <m:ctrlPr>
                        <w:rPr>
                          <w:rFonts w:hint="default" w:ascii="Cambria Math" w:hAnsi="Cambria Math" w:cs="Times New Roman"/>
                          <w:sz w:val="20"/>
                          <w:szCs w:val="20"/>
                        </w:rPr>
                      </m:ctrlPr>
                    </m:sub>
                  </m:sSub>
                  <m:ctrlPr>
                    <w:rPr>
                      <w:rFonts w:hint="default" w:ascii="Cambria Math" w:hAnsi="Cambria Math" w:cs="Times New Roman"/>
                      <w:sz w:val="20"/>
                      <w:szCs w:val="20"/>
                    </w:rPr>
                  </m:ctrlPr>
                </m:e>
                <m:e>
                  <m:r>
                    <m:rPr>
                      <m:sty m:val="p"/>
                    </m:rPr>
                    <w:rPr>
                      <w:rFonts w:hint="default" w:ascii="Cambria Math" w:hAnsi="Cambria Math" w:cs="Times New Roman"/>
                      <w:sz w:val="20"/>
                      <w:szCs w:val="20"/>
                    </w:rPr>
                    <m:t>α∙</m:t>
                  </m:r>
                  <m:r>
                    <m:rPr/>
                    <w:rPr>
                      <w:rFonts w:hint="default" w:ascii="Cambria Math" w:hAnsi="Cambria Math" w:cs="Times New Roman"/>
                      <w:sz w:val="20"/>
                      <w:szCs w:val="20"/>
                    </w:rPr>
                    <m:t>S</m:t>
                  </m:r>
                  <m:d>
                    <m:dPr>
                      <m:ctrlPr>
                        <w:rPr>
                          <w:rFonts w:hint="default" w:ascii="Cambria Math" w:hAnsi="Cambria Math" w:cs="Times New Roman"/>
                          <w:sz w:val="20"/>
                          <w:szCs w:val="20"/>
                        </w:rPr>
                      </m:ctrlPr>
                    </m:dPr>
                    <m:e>
                      <m:r>
                        <m:rPr/>
                        <w:rPr>
                          <w:rFonts w:hint="default" w:ascii="Cambria Math" w:hAnsi="Cambria Math" w:cs="Times New Roman"/>
                          <w:sz w:val="20"/>
                          <w:szCs w:val="20"/>
                        </w:rPr>
                        <m:t>SINR</m:t>
                      </m:r>
                      <m:ctrlPr>
                        <w:rPr>
                          <w:rFonts w:hint="default" w:ascii="Cambria Math" w:hAnsi="Cambria Math" w:cs="Times New Roman"/>
                          <w:sz w:val="20"/>
                          <w:szCs w:val="20"/>
                        </w:rPr>
                      </m:ctrlPr>
                    </m:e>
                  </m:d>
                  <m:r>
                    <m:rPr>
                      <m:sty m:val="p"/>
                    </m:rPr>
                    <w:rPr>
                      <w:rFonts w:hint="default" w:ascii="Cambria Math" w:hAnsi="Cambria Math" w:cs="Times New Roman"/>
                      <w:sz w:val="20"/>
                      <w:szCs w:val="20"/>
                    </w:rPr>
                    <m:t xml:space="preserve">                     </m:t>
                  </m:r>
                  <m:r>
                    <m:rPr/>
                    <w:rPr>
                      <w:rFonts w:hint="default" w:ascii="Cambria Math" w:hAnsi="Cambria Math" w:cs="Times New Roman"/>
                      <w:sz w:val="20"/>
                      <w:szCs w:val="20"/>
                    </w:rPr>
                    <m:t>for</m:t>
                  </m:r>
                  <m:r>
                    <m:rPr>
                      <m:sty m:val="p"/>
                    </m:rPr>
                    <w:rPr>
                      <w:rFonts w:hint="default" w:ascii="Cambria Math" w:hAnsi="Cambria Math" w:cs="Times New Roman"/>
                      <w:sz w:val="20"/>
                      <w:szCs w:val="20"/>
                    </w:rPr>
                    <m:t xml:space="preserve"> </m:t>
                  </m:r>
                  <m:r>
                    <m:rPr/>
                    <w:rPr>
                      <w:rFonts w:hint="default" w:ascii="Cambria Math" w:hAnsi="Cambria Math" w:cs="Times New Roman"/>
                      <w:sz w:val="20"/>
                      <w:szCs w:val="20"/>
                    </w:rPr>
                    <m:t>SIN</m:t>
                  </m:r>
                  <m:sSub>
                    <m:sSubPr>
                      <m:ctrlPr>
                        <w:rPr>
                          <w:rFonts w:hint="default" w:ascii="Cambria Math" w:hAnsi="Cambria Math" w:cs="Times New Roman"/>
                          <w:sz w:val="20"/>
                          <w:szCs w:val="20"/>
                        </w:rPr>
                      </m:ctrlPr>
                    </m:sSubPr>
                    <m:e>
                      <m:r>
                        <m:rPr/>
                        <w:rPr>
                          <w:rFonts w:hint="default" w:ascii="Cambria Math" w:hAnsi="Cambria Math" w:cs="Times New Roman"/>
                          <w:sz w:val="20"/>
                          <w:szCs w:val="20"/>
                        </w:rPr>
                        <m:t>R</m:t>
                      </m:r>
                      <m:ctrlPr>
                        <w:rPr>
                          <w:rFonts w:hint="default" w:ascii="Cambria Math" w:hAnsi="Cambria Math" w:cs="Times New Roman"/>
                          <w:sz w:val="20"/>
                          <w:szCs w:val="20"/>
                        </w:rPr>
                      </m:ctrlPr>
                    </m:e>
                    <m:sub>
                      <m:r>
                        <m:rPr/>
                        <w:rPr>
                          <w:rFonts w:hint="default" w:ascii="Cambria Math" w:hAnsi="Cambria Math" w:cs="Times New Roman"/>
                          <w:sz w:val="20"/>
                          <w:szCs w:val="20"/>
                        </w:rPr>
                        <m:t>MIN</m:t>
                      </m:r>
                      <m:ctrlPr>
                        <w:rPr>
                          <w:rFonts w:hint="default" w:ascii="Cambria Math" w:hAnsi="Cambria Math" w:cs="Times New Roman"/>
                          <w:sz w:val="20"/>
                          <w:szCs w:val="20"/>
                        </w:rPr>
                      </m:ctrlPr>
                    </m:sub>
                  </m:sSub>
                  <m:r>
                    <m:rPr>
                      <m:sty m:val="p"/>
                    </m:rPr>
                    <w:rPr>
                      <w:rFonts w:hint="default" w:ascii="Cambria Math" w:hAnsi="Cambria Math" w:cs="Times New Roman"/>
                      <w:sz w:val="20"/>
                      <w:szCs w:val="20"/>
                    </w:rPr>
                    <m:t>≤</m:t>
                  </m:r>
                  <m:r>
                    <m:rPr/>
                    <w:rPr>
                      <w:rFonts w:hint="default" w:ascii="Cambria Math" w:hAnsi="Cambria Math" w:cs="Times New Roman"/>
                      <w:sz w:val="20"/>
                      <w:szCs w:val="20"/>
                    </w:rPr>
                    <m:t>SINR</m:t>
                  </m:r>
                  <m:r>
                    <m:rPr>
                      <m:sty m:val="p"/>
                    </m:rPr>
                    <w:rPr>
                      <w:rFonts w:hint="default" w:ascii="Cambria Math" w:hAnsi="Cambria Math" w:cs="Times New Roman"/>
                      <w:sz w:val="20"/>
                      <w:szCs w:val="20"/>
                    </w:rPr>
                    <m:t>&lt;</m:t>
                  </m:r>
                  <m:r>
                    <m:rPr/>
                    <w:rPr>
                      <w:rFonts w:hint="default" w:ascii="Cambria Math" w:hAnsi="Cambria Math" w:cs="Times New Roman"/>
                      <w:sz w:val="20"/>
                      <w:szCs w:val="20"/>
                    </w:rPr>
                    <m:t>SIN</m:t>
                  </m:r>
                  <m:sSub>
                    <m:sSubPr>
                      <m:ctrlPr>
                        <w:rPr>
                          <w:rFonts w:hint="default" w:ascii="Cambria Math" w:hAnsi="Cambria Math" w:cs="Times New Roman"/>
                          <w:sz w:val="20"/>
                          <w:szCs w:val="20"/>
                        </w:rPr>
                      </m:ctrlPr>
                    </m:sSubPr>
                    <m:e>
                      <m:r>
                        <m:rPr/>
                        <w:rPr>
                          <w:rFonts w:hint="default" w:ascii="Cambria Math" w:hAnsi="Cambria Math" w:cs="Times New Roman"/>
                          <w:sz w:val="20"/>
                          <w:szCs w:val="20"/>
                        </w:rPr>
                        <m:t>R</m:t>
                      </m:r>
                      <m:ctrlPr>
                        <w:rPr>
                          <w:rFonts w:hint="default" w:ascii="Cambria Math" w:hAnsi="Cambria Math" w:cs="Times New Roman"/>
                          <w:sz w:val="20"/>
                          <w:szCs w:val="20"/>
                        </w:rPr>
                      </m:ctrlPr>
                    </m:e>
                    <m:sub>
                      <m:r>
                        <m:rPr/>
                        <w:rPr>
                          <w:rFonts w:hint="default" w:ascii="Cambria Math" w:hAnsi="Cambria Math" w:cs="Times New Roman"/>
                          <w:sz w:val="20"/>
                          <w:szCs w:val="20"/>
                        </w:rPr>
                        <m:t>MAX</m:t>
                      </m:r>
                      <m:ctrlPr>
                        <w:rPr>
                          <w:rFonts w:hint="default" w:ascii="Cambria Math" w:hAnsi="Cambria Math" w:cs="Times New Roman"/>
                          <w:sz w:val="20"/>
                          <w:szCs w:val="20"/>
                        </w:rPr>
                      </m:ctrlPr>
                    </m:sub>
                  </m:sSub>
                  <m:r>
                    <m:rPr>
                      <m:sty m:val="p"/>
                    </m:rPr>
                    <w:rPr>
                      <w:rFonts w:hint="default" w:ascii="Cambria Math" w:hAnsi="Cambria Math" w:cs="Times New Roman"/>
                      <w:sz w:val="20"/>
                      <w:szCs w:val="20"/>
                    </w:rPr>
                    <m:t xml:space="preserve"> </m:t>
                  </m:r>
                  <m:ctrlPr>
                    <w:rPr>
                      <w:rFonts w:hint="default" w:ascii="Cambria Math" w:hAnsi="Cambria Math" w:cs="Times New Roman"/>
                      <w:sz w:val="20"/>
                      <w:szCs w:val="20"/>
                    </w:rPr>
                  </m:ctrlPr>
                </m:e>
                <m:e>
                  <m:r>
                    <m:rPr>
                      <m:sty m:val="p"/>
                    </m:rPr>
                    <w:rPr>
                      <w:rFonts w:hint="default" w:ascii="Cambria Math" w:hAnsi="Cambria Math" w:cs="Times New Roman"/>
                      <w:sz w:val="20"/>
                      <w:szCs w:val="20"/>
                    </w:rPr>
                    <m:t>α∙</m:t>
                  </m:r>
                  <m:r>
                    <m:rPr/>
                    <w:rPr>
                      <w:rFonts w:hint="default" w:ascii="Cambria Math" w:hAnsi="Cambria Math" w:cs="Times New Roman"/>
                      <w:sz w:val="20"/>
                      <w:szCs w:val="20"/>
                    </w:rPr>
                    <m:t>S</m:t>
                  </m:r>
                  <m:d>
                    <m:dPr>
                      <m:ctrlPr>
                        <w:rPr>
                          <w:rFonts w:hint="default" w:ascii="Cambria Math" w:hAnsi="Cambria Math" w:cs="Times New Roman"/>
                          <w:sz w:val="20"/>
                          <w:szCs w:val="20"/>
                        </w:rPr>
                      </m:ctrlPr>
                    </m:dPr>
                    <m:e>
                      <m:r>
                        <m:rPr/>
                        <w:rPr>
                          <w:rFonts w:hint="default" w:ascii="Cambria Math" w:hAnsi="Cambria Math" w:cs="Times New Roman"/>
                          <w:sz w:val="20"/>
                          <w:szCs w:val="20"/>
                        </w:rPr>
                        <m:t>SIN</m:t>
                      </m:r>
                      <m:sSub>
                        <m:sSubPr>
                          <m:ctrlPr>
                            <w:rPr>
                              <w:rFonts w:hint="default" w:ascii="Cambria Math" w:hAnsi="Cambria Math" w:cs="Times New Roman"/>
                              <w:sz w:val="20"/>
                              <w:szCs w:val="20"/>
                            </w:rPr>
                          </m:ctrlPr>
                        </m:sSubPr>
                        <m:e>
                          <m:r>
                            <m:rPr/>
                            <w:rPr>
                              <w:rFonts w:hint="default" w:ascii="Cambria Math" w:hAnsi="Cambria Math" w:cs="Times New Roman"/>
                              <w:sz w:val="20"/>
                              <w:szCs w:val="20"/>
                            </w:rPr>
                            <m:t>R</m:t>
                          </m:r>
                          <m:ctrlPr>
                            <w:rPr>
                              <w:rFonts w:hint="default" w:ascii="Cambria Math" w:hAnsi="Cambria Math" w:cs="Times New Roman"/>
                              <w:sz w:val="20"/>
                              <w:szCs w:val="20"/>
                            </w:rPr>
                          </m:ctrlPr>
                        </m:e>
                        <m:sub>
                          <m:r>
                            <m:rPr/>
                            <w:rPr>
                              <w:rFonts w:hint="default" w:ascii="Cambria Math" w:hAnsi="Cambria Math" w:cs="Times New Roman"/>
                              <w:sz w:val="20"/>
                              <w:szCs w:val="20"/>
                            </w:rPr>
                            <m:t>MAX</m:t>
                          </m:r>
                          <m:ctrlPr>
                            <w:rPr>
                              <w:rFonts w:hint="default" w:ascii="Cambria Math" w:hAnsi="Cambria Math" w:cs="Times New Roman"/>
                              <w:sz w:val="20"/>
                              <w:szCs w:val="20"/>
                            </w:rPr>
                          </m:ctrlPr>
                        </m:sub>
                      </m:sSub>
                      <m:ctrlPr>
                        <w:rPr>
                          <w:rFonts w:hint="default" w:ascii="Cambria Math" w:hAnsi="Cambria Math" w:cs="Times New Roman"/>
                          <w:sz w:val="20"/>
                          <w:szCs w:val="20"/>
                        </w:rPr>
                      </m:ctrlPr>
                    </m:e>
                  </m:d>
                  <m:r>
                    <m:rPr>
                      <m:sty m:val="p"/>
                    </m:rPr>
                    <w:rPr>
                      <w:rFonts w:hint="default" w:ascii="Cambria Math" w:hAnsi="Cambria Math" w:cs="Times New Roman"/>
                      <w:sz w:val="20"/>
                      <w:szCs w:val="20"/>
                    </w:rPr>
                    <m:t xml:space="preserve">               </m:t>
                  </m:r>
                  <m:r>
                    <m:rPr/>
                    <w:rPr>
                      <w:rFonts w:hint="default" w:ascii="Cambria Math" w:hAnsi="Cambria Math" w:cs="Times New Roman"/>
                      <w:sz w:val="20"/>
                      <w:szCs w:val="20"/>
                    </w:rPr>
                    <m:t>for</m:t>
                  </m:r>
                  <m:r>
                    <m:rPr>
                      <m:sty m:val="p"/>
                    </m:rPr>
                    <w:rPr>
                      <w:rFonts w:hint="default" w:ascii="Cambria Math" w:hAnsi="Cambria Math" w:cs="Times New Roman"/>
                      <w:sz w:val="20"/>
                      <w:szCs w:val="20"/>
                    </w:rPr>
                    <m:t xml:space="preserve"> </m:t>
                  </m:r>
                  <m:r>
                    <m:rPr/>
                    <w:rPr>
                      <w:rFonts w:hint="default" w:ascii="Cambria Math" w:hAnsi="Cambria Math" w:cs="Times New Roman"/>
                      <w:sz w:val="20"/>
                      <w:szCs w:val="20"/>
                    </w:rPr>
                    <m:t>SINR</m:t>
                  </m:r>
                  <m:r>
                    <m:rPr>
                      <m:sty m:val="p"/>
                    </m:rPr>
                    <w:rPr>
                      <w:rFonts w:hint="default" w:ascii="Cambria Math" w:hAnsi="Cambria Math" w:cs="Times New Roman"/>
                      <w:sz w:val="20"/>
                      <w:szCs w:val="20"/>
                    </w:rPr>
                    <m:t xml:space="preserve"> ≥ </m:t>
                  </m:r>
                  <m:r>
                    <m:rPr/>
                    <w:rPr>
                      <w:rFonts w:hint="default" w:ascii="Cambria Math" w:hAnsi="Cambria Math" w:cs="Times New Roman"/>
                      <w:sz w:val="20"/>
                      <w:szCs w:val="20"/>
                    </w:rPr>
                    <m:t>SIN</m:t>
                  </m:r>
                  <m:sSub>
                    <m:sSubPr>
                      <m:ctrlPr>
                        <w:rPr>
                          <w:rFonts w:hint="default" w:ascii="Cambria Math" w:hAnsi="Cambria Math" w:cs="Times New Roman"/>
                          <w:sz w:val="20"/>
                          <w:szCs w:val="20"/>
                        </w:rPr>
                      </m:ctrlPr>
                    </m:sSubPr>
                    <m:e>
                      <m:r>
                        <m:rPr/>
                        <w:rPr>
                          <w:rFonts w:hint="default" w:ascii="Cambria Math" w:hAnsi="Cambria Math" w:cs="Times New Roman"/>
                          <w:sz w:val="20"/>
                          <w:szCs w:val="20"/>
                        </w:rPr>
                        <m:t>R</m:t>
                      </m:r>
                      <m:ctrlPr>
                        <w:rPr>
                          <w:rFonts w:hint="default" w:ascii="Cambria Math" w:hAnsi="Cambria Math" w:cs="Times New Roman"/>
                          <w:sz w:val="20"/>
                          <w:szCs w:val="20"/>
                        </w:rPr>
                      </m:ctrlPr>
                    </m:e>
                    <m:sub>
                      <m:r>
                        <m:rPr/>
                        <w:rPr>
                          <w:rFonts w:hint="default" w:ascii="Cambria Math" w:hAnsi="Cambria Math" w:cs="Times New Roman"/>
                          <w:sz w:val="20"/>
                          <w:szCs w:val="20"/>
                        </w:rPr>
                        <m:t>MAX</m:t>
                      </m:r>
                      <m:ctrlPr>
                        <w:rPr>
                          <w:rFonts w:hint="default" w:ascii="Cambria Math" w:hAnsi="Cambria Math" w:cs="Times New Roman"/>
                          <w:sz w:val="20"/>
                          <w:szCs w:val="20"/>
                        </w:rPr>
                      </m:ctrlPr>
                    </m:sub>
                  </m:sSub>
                  <m:r>
                    <m:rPr>
                      <m:sty m:val="p"/>
                    </m:rPr>
                    <w:rPr>
                      <w:rFonts w:hint="default" w:ascii="Cambria Math" w:hAnsi="Cambria Math" w:cs="Times New Roman"/>
                      <w:sz w:val="20"/>
                      <w:szCs w:val="20"/>
                    </w:rPr>
                    <m:t xml:space="preserve">                        </m:t>
                  </m:r>
                  <m:ctrlPr>
                    <w:rPr>
                      <w:rFonts w:hint="default" w:ascii="Cambria Math" w:hAnsi="Cambria Math" w:cs="Times New Roman"/>
                      <w:sz w:val="20"/>
                      <w:szCs w:val="20"/>
                    </w:rPr>
                  </m:ctrlPr>
                </m:e>
              </m:eqArr>
              <m:ctrlPr>
                <w:rPr>
                  <w:rFonts w:hint="default" w:ascii="Cambria Math" w:hAnsi="Cambria Math" w:cs="Times New Roman"/>
                  <w:sz w:val="20"/>
                  <w:szCs w:val="20"/>
                </w:rPr>
              </m:ctrlPr>
            </m:e>
          </m:d>
        </m:oMath>
      </m:oMathPara>
    </w:p>
    <w:p>
      <w:pPr>
        <w:tabs>
          <w:tab w:val="left" w:pos="1134"/>
          <w:tab w:val="left" w:pos="1871"/>
          <w:tab w:val="left" w:pos="2268"/>
        </w:tabs>
        <w:rPr>
          <w:rFonts w:hint="default" w:ascii="Times New Roman" w:hAnsi="Times New Roman" w:cs="Times New Roman"/>
          <w:sz w:val="20"/>
          <w:szCs w:val="20"/>
        </w:rPr>
      </w:pPr>
      <w:r>
        <w:rPr>
          <w:rFonts w:hint="default" w:ascii="Times New Roman" w:hAnsi="Times New Roman" w:cs="Times New Roman"/>
          <w:sz w:val="20"/>
          <w:szCs w:val="20"/>
        </w:rPr>
        <w:t>where:</w:t>
      </w:r>
    </w:p>
    <w:p>
      <w:pPr>
        <w:tabs>
          <w:tab w:val="right" w:pos="1871"/>
          <w:tab w:val="left" w:pos="2041"/>
        </w:tabs>
        <w:spacing w:before="80"/>
        <w:ind w:left="2041" w:hanging="2041"/>
        <w:rPr>
          <w:rFonts w:hint="default" w:ascii="Times New Roman" w:hAnsi="Times New Roman" w:cs="Times New Roman"/>
          <w:sz w:val="20"/>
          <w:szCs w:val="20"/>
        </w:rPr>
      </w:pPr>
      <w:r>
        <w:rPr>
          <w:rFonts w:hint="default" w:ascii="Times New Roman" w:hAnsi="Times New Roman" w:cs="Times New Roman"/>
          <w:sz w:val="20"/>
          <w:szCs w:val="20"/>
        </w:rPr>
        <w:tab/>
      </w:r>
      <w:r>
        <w:rPr>
          <w:rFonts w:hint="default" w:ascii="Times New Roman" w:hAnsi="Times New Roman" w:cs="Times New Roman"/>
          <w:i/>
          <w:iCs/>
          <w:sz w:val="20"/>
          <w:szCs w:val="20"/>
        </w:rPr>
        <w:t>S</w:t>
      </w:r>
      <w:r>
        <w:rPr>
          <w:rFonts w:hint="default" w:ascii="Times New Roman" w:hAnsi="Times New Roman" w:cs="Times New Roman"/>
          <w:sz w:val="20"/>
          <w:szCs w:val="20"/>
        </w:rPr>
        <w:t>(</w:t>
      </w:r>
      <w:r>
        <w:rPr>
          <w:rFonts w:hint="default" w:ascii="Times New Roman" w:hAnsi="Times New Roman" w:cs="Times New Roman"/>
          <w:i/>
          <w:iCs/>
          <w:sz w:val="20"/>
          <w:szCs w:val="20"/>
        </w:rPr>
        <w:t>SINR</w:t>
      </w: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 xml:space="preserve">Shannon bound, </w:t>
      </w:r>
      <w:r>
        <w:rPr>
          <w:rFonts w:hint="default" w:ascii="Times New Roman" w:hAnsi="Times New Roman" w:cs="Times New Roman"/>
          <w:i/>
          <w:iCs/>
          <w:sz w:val="20"/>
          <w:szCs w:val="20"/>
        </w:rPr>
        <w:t>S</w:t>
      </w:r>
      <w:r>
        <w:rPr>
          <w:rFonts w:hint="default" w:ascii="Times New Roman" w:hAnsi="Times New Roman" w:cs="Times New Roman"/>
          <w:sz w:val="20"/>
          <w:szCs w:val="20"/>
        </w:rPr>
        <w:t>(</w:t>
      </w:r>
      <w:r>
        <w:rPr>
          <w:rFonts w:hint="default" w:ascii="Times New Roman" w:hAnsi="Times New Roman" w:cs="Times New Roman"/>
          <w:i/>
          <w:iCs/>
          <w:sz w:val="20"/>
          <w:szCs w:val="20"/>
        </w:rPr>
        <w:t>SINR</w:t>
      </w:r>
      <w:r>
        <w:rPr>
          <w:rFonts w:hint="default" w:ascii="Times New Roman" w:hAnsi="Times New Roman" w:cs="Times New Roman"/>
          <w:sz w:val="20"/>
          <w:szCs w:val="20"/>
        </w:rPr>
        <w:t>) =log</w:t>
      </w:r>
      <w:r>
        <w:rPr>
          <w:rFonts w:hint="default" w:ascii="Times New Roman" w:hAnsi="Times New Roman" w:cs="Times New Roman"/>
          <w:sz w:val="20"/>
          <w:szCs w:val="20"/>
          <w:vertAlign w:val="subscript"/>
        </w:rPr>
        <w:t>2</w:t>
      </w:r>
      <w:r>
        <w:rPr>
          <w:rFonts w:hint="default" w:ascii="Times New Roman" w:hAnsi="Times New Roman" w:cs="Times New Roman"/>
          <w:sz w:val="20"/>
          <w:szCs w:val="20"/>
        </w:rPr>
        <w:t>(1 + 10</w:t>
      </w:r>
      <w:r>
        <w:rPr>
          <w:rFonts w:hint="default" w:ascii="Times New Roman" w:hAnsi="Times New Roman" w:cs="Times New Roman"/>
          <w:i/>
          <w:iCs/>
          <w:sz w:val="20"/>
          <w:szCs w:val="20"/>
          <w:vertAlign w:val="superscript"/>
        </w:rPr>
        <w:t>SINR</w:t>
      </w:r>
      <w:r>
        <w:rPr>
          <w:rFonts w:hint="default" w:ascii="Times New Roman" w:hAnsi="Times New Roman" w:cs="Times New Roman"/>
          <w:sz w:val="20"/>
          <w:szCs w:val="20"/>
          <w:vertAlign w:val="superscript"/>
        </w:rPr>
        <w:t>/10</w:t>
      </w:r>
      <w:r>
        <w:rPr>
          <w:rFonts w:hint="default" w:ascii="Times New Roman" w:hAnsi="Times New Roman" w:cs="Times New Roman"/>
          <w:sz w:val="20"/>
          <w:szCs w:val="20"/>
        </w:rPr>
        <w:t>) (bps/Hz);</w:t>
      </w:r>
    </w:p>
    <w:p>
      <w:pPr>
        <w:tabs>
          <w:tab w:val="right" w:pos="1871"/>
          <w:tab w:val="left" w:pos="2041"/>
        </w:tabs>
        <w:spacing w:before="80"/>
        <w:ind w:left="2041" w:hanging="2041"/>
        <w:rPr>
          <w:rFonts w:hint="default" w:ascii="Times New Roman" w:hAnsi="Times New Roman" w:cs="Times New Roman"/>
          <w:sz w:val="20"/>
          <w:szCs w:val="20"/>
        </w:rPr>
      </w:pPr>
      <w:r>
        <w:rPr>
          <w:rFonts w:hint="default" w:ascii="Times New Roman" w:hAnsi="Times New Roman" w:cs="Times New Roman"/>
          <w:sz w:val="20"/>
          <w:szCs w:val="20"/>
        </w:rPr>
        <w:tab/>
      </w:r>
      <w:r>
        <w:rPr>
          <w:rFonts w:hint="default" w:ascii="Times New Roman" w:hAnsi="Times New Roman" w:cs="Times New Roman"/>
          <w:sz w:val="20"/>
          <w:szCs w:val="20"/>
        </w:rPr>
        <w:sym w:font="Symbol" w:char="F061"/>
      </w:r>
      <w:r>
        <w:rPr>
          <w:rFonts w:hint="default" w:ascii="Times New Roman" w:hAnsi="Times New Roman" w:cs="Times New Roman"/>
          <w:sz w:val="20"/>
          <w:szCs w:val="20"/>
        </w:rPr>
        <w:tab/>
      </w:r>
      <w:r>
        <w:rPr>
          <w:rFonts w:hint="default" w:ascii="Times New Roman" w:hAnsi="Times New Roman" w:cs="Times New Roman"/>
          <w:sz w:val="20"/>
          <w:szCs w:val="20"/>
        </w:rPr>
        <w:t>Attenuation factor, representing implementation losses;</w:t>
      </w:r>
    </w:p>
    <w:p>
      <w:pPr>
        <w:tabs>
          <w:tab w:val="right" w:pos="1871"/>
          <w:tab w:val="left" w:pos="2041"/>
        </w:tabs>
        <w:spacing w:before="80"/>
        <w:ind w:left="2041" w:hanging="2041"/>
        <w:rPr>
          <w:rFonts w:hint="default" w:ascii="Times New Roman" w:hAnsi="Times New Roman" w:cs="Times New Roman"/>
          <w:sz w:val="20"/>
          <w:szCs w:val="20"/>
        </w:rPr>
      </w:pPr>
      <w:r>
        <w:rPr>
          <w:rFonts w:hint="default" w:ascii="Times New Roman" w:hAnsi="Times New Roman" w:cs="Times New Roman"/>
          <w:sz w:val="20"/>
          <w:szCs w:val="20"/>
        </w:rPr>
        <w:tab/>
      </w:r>
      <w:r>
        <w:rPr>
          <w:rFonts w:hint="default" w:ascii="Times New Roman" w:hAnsi="Times New Roman" w:cs="Times New Roman"/>
          <w:i/>
          <w:iCs/>
          <w:sz w:val="20"/>
          <w:szCs w:val="20"/>
        </w:rPr>
        <w:t>SINR</w:t>
      </w:r>
      <w:r>
        <w:rPr>
          <w:rFonts w:hint="default" w:ascii="Times New Roman" w:hAnsi="Times New Roman" w:cs="Times New Roman"/>
          <w:i/>
          <w:iCs/>
          <w:sz w:val="20"/>
          <w:szCs w:val="20"/>
          <w:vertAlign w:val="subscript"/>
        </w:rPr>
        <w:t>MIN</w:t>
      </w:r>
      <w:r>
        <w:rPr>
          <w:rFonts w:hint="default" w:ascii="Times New Roman" w:hAnsi="Times New Roman" w:cs="Times New Roman"/>
          <w:sz w:val="20"/>
          <w:szCs w:val="20"/>
        </w:rPr>
        <w:tab/>
      </w:r>
      <w:r>
        <w:rPr>
          <w:rFonts w:hint="default" w:ascii="Times New Roman" w:hAnsi="Times New Roman" w:cs="Times New Roman"/>
          <w:sz w:val="20"/>
          <w:szCs w:val="20"/>
        </w:rPr>
        <w:t>Minimum SINR of the code set, dB;</w:t>
      </w:r>
    </w:p>
    <w:p>
      <w:pPr>
        <w:tabs>
          <w:tab w:val="right" w:pos="1871"/>
          <w:tab w:val="left" w:pos="2041"/>
        </w:tabs>
        <w:spacing w:before="80"/>
        <w:ind w:left="2041" w:hanging="2041"/>
        <w:rPr>
          <w:rFonts w:hint="default" w:ascii="Times New Roman" w:hAnsi="Times New Roman" w:cs="Times New Roman"/>
          <w:sz w:val="20"/>
          <w:szCs w:val="20"/>
        </w:rPr>
      </w:pPr>
      <w:r>
        <w:rPr>
          <w:rFonts w:hint="default" w:ascii="Times New Roman" w:hAnsi="Times New Roman" w:cs="Times New Roman"/>
          <w:sz w:val="20"/>
          <w:szCs w:val="20"/>
        </w:rPr>
        <w:tab/>
      </w:r>
      <w:r>
        <w:rPr>
          <w:rFonts w:hint="default" w:ascii="Times New Roman" w:hAnsi="Times New Roman" w:cs="Times New Roman"/>
          <w:i/>
          <w:iCs/>
          <w:sz w:val="20"/>
          <w:szCs w:val="20"/>
        </w:rPr>
        <w:t>SINR</w:t>
      </w:r>
      <w:r>
        <w:rPr>
          <w:rFonts w:hint="default" w:ascii="Times New Roman" w:hAnsi="Times New Roman" w:cs="Times New Roman"/>
          <w:i/>
          <w:iCs/>
          <w:sz w:val="20"/>
          <w:szCs w:val="20"/>
          <w:vertAlign w:val="subscript"/>
        </w:rPr>
        <w:t>MAX</w:t>
      </w:r>
      <w:r>
        <w:rPr>
          <w:rFonts w:hint="default" w:ascii="Times New Roman" w:hAnsi="Times New Roman" w:cs="Times New Roman"/>
          <w:sz w:val="20"/>
          <w:szCs w:val="20"/>
        </w:rPr>
        <w:tab/>
      </w:r>
      <w:r>
        <w:rPr>
          <w:rFonts w:hint="default" w:ascii="Times New Roman" w:hAnsi="Times New Roman" w:cs="Times New Roman"/>
          <w:sz w:val="20"/>
          <w:szCs w:val="20"/>
        </w:rPr>
        <w:t>Maximum SINR of the code set, dB.</w:t>
      </w:r>
    </w:p>
    <w:p>
      <w:pPr>
        <w:tabs>
          <w:tab w:val="left" w:pos="1134"/>
          <w:tab w:val="left" w:pos="1871"/>
          <w:tab w:val="left" w:pos="2268"/>
        </w:tabs>
        <w:jc w:val="both"/>
        <w:rPr>
          <w:rFonts w:hint="default" w:ascii="Times New Roman" w:hAnsi="Times New Roman" w:cs="Times New Roman"/>
          <w:sz w:val="20"/>
          <w:szCs w:val="20"/>
        </w:rPr>
      </w:pPr>
      <w:r>
        <w:rPr>
          <w:rFonts w:hint="default" w:ascii="Times New Roman" w:hAnsi="Times New Roman" w:cs="Times New Roman"/>
          <w:sz w:val="20"/>
          <w:szCs w:val="20"/>
        </w:rPr>
        <w:t xml:space="preserve">The parameters α, </w:t>
      </w:r>
      <w:r>
        <w:rPr>
          <w:rFonts w:hint="default" w:ascii="Times New Roman" w:hAnsi="Times New Roman" w:cs="Times New Roman"/>
          <w:i/>
          <w:iCs/>
          <w:sz w:val="20"/>
          <w:szCs w:val="20"/>
        </w:rPr>
        <w:t>SINR</w:t>
      </w:r>
      <w:r>
        <w:rPr>
          <w:rFonts w:hint="default" w:ascii="Times New Roman" w:hAnsi="Times New Roman" w:cs="Times New Roman"/>
          <w:i/>
          <w:iCs/>
          <w:sz w:val="20"/>
          <w:szCs w:val="20"/>
          <w:vertAlign w:val="subscript"/>
        </w:rPr>
        <w:t>MIN</w:t>
      </w:r>
      <w:r>
        <w:rPr>
          <w:rFonts w:hint="default" w:ascii="Times New Roman" w:hAnsi="Times New Roman" w:cs="Times New Roman"/>
          <w:sz w:val="20"/>
          <w:szCs w:val="20"/>
        </w:rPr>
        <w:t xml:space="preserve"> and </w:t>
      </w:r>
      <w:r>
        <w:rPr>
          <w:rFonts w:hint="default" w:ascii="Times New Roman" w:hAnsi="Times New Roman" w:cs="Times New Roman"/>
          <w:i/>
          <w:iCs/>
          <w:sz w:val="20"/>
          <w:szCs w:val="20"/>
        </w:rPr>
        <w:t>SINR</w:t>
      </w:r>
      <w:r>
        <w:rPr>
          <w:rFonts w:hint="default" w:ascii="Times New Roman" w:hAnsi="Times New Roman" w:cs="Times New Roman"/>
          <w:i/>
          <w:iCs/>
          <w:sz w:val="20"/>
          <w:szCs w:val="20"/>
          <w:vertAlign w:val="subscript"/>
        </w:rPr>
        <w:t>MAX</w:t>
      </w:r>
      <w:r>
        <w:rPr>
          <w:rFonts w:hint="default" w:ascii="Times New Roman" w:hAnsi="Times New Roman" w:cs="Times New Roman"/>
          <w:sz w:val="20"/>
          <w:szCs w:val="20"/>
        </w:rPr>
        <w:t xml:space="preserve"> can be chosen to represent different modem implementations and link conditions. The parameters proposed in Table 2 represent a baseline case, which assumes: </w:t>
      </w:r>
    </w:p>
    <w:p>
      <w:pPr>
        <w:tabs>
          <w:tab w:val="left" w:pos="1134"/>
          <w:tab w:val="left" w:pos="1871"/>
          <w:tab w:val="left" w:pos="2608"/>
          <w:tab w:val="left" w:pos="3345"/>
        </w:tabs>
        <w:spacing w:before="80"/>
        <w:ind w:left="1134" w:hanging="1134"/>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1:1 antenna configurations;</w:t>
      </w:r>
    </w:p>
    <w:p>
      <w:pPr>
        <w:tabs>
          <w:tab w:val="left" w:pos="1134"/>
          <w:tab w:val="left" w:pos="1871"/>
          <w:tab w:val="left" w:pos="2608"/>
          <w:tab w:val="left" w:pos="3345"/>
        </w:tabs>
        <w:spacing w:before="80"/>
        <w:ind w:left="1134" w:hanging="1134"/>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 xml:space="preserve">AWGN channel model; </w:t>
      </w:r>
    </w:p>
    <w:p>
      <w:pPr>
        <w:tabs>
          <w:tab w:val="left" w:pos="1134"/>
          <w:tab w:val="left" w:pos="1871"/>
          <w:tab w:val="left" w:pos="2608"/>
          <w:tab w:val="left" w:pos="3345"/>
        </w:tabs>
        <w:spacing w:before="80"/>
        <w:ind w:left="1134" w:hanging="1134"/>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Link Adaptation (see Table 2 for details of the highest and lowest rate codes);</w:t>
      </w:r>
    </w:p>
    <w:p>
      <w:pPr>
        <w:tabs>
          <w:tab w:val="left" w:pos="1134"/>
          <w:tab w:val="left" w:pos="1871"/>
          <w:tab w:val="left" w:pos="2608"/>
          <w:tab w:val="left" w:pos="3345"/>
        </w:tabs>
        <w:spacing w:before="80"/>
        <w:ind w:left="1134" w:hanging="1134"/>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No HARQ.</w:t>
      </w:r>
    </w:p>
    <w:p>
      <w:pPr>
        <w:keepNext/>
        <w:tabs>
          <w:tab w:val="left" w:pos="1134"/>
          <w:tab w:val="left" w:pos="1871"/>
          <w:tab w:val="left" w:pos="2268"/>
        </w:tabs>
        <w:spacing w:before="560" w:after="120"/>
        <w:jc w:val="center"/>
        <w:rPr>
          <w:rFonts w:hint="default" w:ascii="Times New Roman" w:hAnsi="Times New Roman" w:cs="Times New Roman"/>
          <w:caps/>
          <w:sz w:val="20"/>
          <w:szCs w:val="20"/>
        </w:rPr>
      </w:pPr>
      <w:r>
        <w:rPr>
          <w:rFonts w:hint="default" w:ascii="Times New Roman" w:hAnsi="Times New Roman" w:cs="Times New Roman"/>
          <w:caps/>
          <w:sz w:val="20"/>
          <w:szCs w:val="20"/>
        </w:rPr>
        <w:t>Table 2</w:t>
      </w:r>
    </w:p>
    <w:p>
      <w:pPr>
        <w:keepNext/>
        <w:keepLines/>
        <w:tabs>
          <w:tab w:val="left" w:pos="1134"/>
          <w:tab w:val="left" w:pos="1871"/>
          <w:tab w:val="left" w:pos="2268"/>
        </w:tabs>
        <w:spacing w:before="0" w:after="120"/>
        <w:jc w:val="center"/>
        <w:rPr>
          <w:rFonts w:ascii="Times New Roman Bold" w:hAnsi="Times New Roman Bold"/>
          <w:b/>
          <w:sz w:val="20"/>
        </w:rPr>
      </w:pPr>
      <w:r>
        <w:rPr>
          <w:rFonts w:ascii="Times New Roman Bold" w:hAnsi="Times New Roman Bold"/>
          <w:b/>
          <w:sz w:val="20"/>
        </w:rPr>
        <w:t>Parameters describing baseline Link Level performance for 5G NR</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2"/>
        <w:gridCol w:w="850"/>
        <w:gridCol w:w="850"/>
        <w:gridCol w:w="53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2" w:type="dxa"/>
            <w:noWrap/>
          </w:tcPr>
          <w:p>
            <w:pPr>
              <w:keepNext/>
              <w:tabs>
                <w:tab w:val="left" w:pos="1134"/>
                <w:tab w:val="left" w:pos="1871"/>
                <w:tab w:val="left" w:pos="2268"/>
              </w:tabs>
              <w:spacing w:before="80" w:after="80"/>
              <w:jc w:val="center"/>
              <w:rPr>
                <w:rFonts w:hint="default" w:ascii="Times New Roman" w:hAnsi="Times New Roman" w:cs="Times New Roman"/>
                <w:b/>
                <w:sz w:val="20"/>
              </w:rPr>
            </w:pPr>
            <w:r>
              <w:rPr>
                <w:rFonts w:hint="default" w:ascii="Times New Roman" w:hAnsi="Times New Roman" w:cs="Times New Roman"/>
                <w:b/>
                <w:sz w:val="20"/>
              </w:rPr>
              <w:t xml:space="preserve">Parameter </w:t>
            </w:r>
          </w:p>
        </w:tc>
        <w:tc>
          <w:tcPr>
            <w:tcW w:w="850" w:type="dxa"/>
          </w:tcPr>
          <w:p>
            <w:pPr>
              <w:keepNext/>
              <w:tabs>
                <w:tab w:val="left" w:pos="1134"/>
                <w:tab w:val="left" w:pos="1871"/>
                <w:tab w:val="left" w:pos="2268"/>
              </w:tabs>
              <w:spacing w:before="80" w:after="80"/>
              <w:jc w:val="center"/>
              <w:rPr>
                <w:rFonts w:hint="default" w:ascii="Times New Roman" w:hAnsi="Times New Roman" w:cs="Times New Roman"/>
                <w:b/>
                <w:sz w:val="20"/>
              </w:rPr>
            </w:pPr>
            <w:r>
              <w:rPr>
                <w:rFonts w:hint="default" w:ascii="Times New Roman" w:hAnsi="Times New Roman" w:cs="Times New Roman"/>
                <w:b/>
                <w:sz w:val="20"/>
              </w:rPr>
              <w:t xml:space="preserve">DL </w:t>
            </w:r>
          </w:p>
        </w:tc>
        <w:tc>
          <w:tcPr>
            <w:tcW w:w="850" w:type="dxa"/>
          </w:tcPr>
          <w:p>
            <w:pPr>
              <w:keepNext/>
              <w:tabs>
                <w:tab w:val="left" w:pos="1134"/>
                <w:tab w:val="left" w:pos="1871"/>
                <w:tab w:val="left" w:pos="2268"/>
              </w:tabs>
              <w:spacing w:before="80" w:after="80"/>
              <w:jc w:val="center"/>
              <w:rPr>
                <w:rFonts w:hint="default" w:ascii="Times New Roman" w:hAnsi="Times New Roman" w:cs="Times New Roman"/>
                <w:b/>
                <w:sz w:val="20"/>
              </w:rPr>
            </w:pPr>
            <w:r>
              <w:rPr>
                <w:rFonts w:hint="default" w:ascii="Times New Roman" w:hAnsi="Times New Roman" w:cs="Times New Roman"/>
                <w:b/>
                <w:sz w:val="20"/>
              </w:rPr>
              <w:t xml:space="preserve">UL </w:t>
            </w:r>
          </w:p>
        </w:tc>
        <w:tc>
          <w:tcPr>
            <w:tcW w:w="0" w:type="auto"/>
            <w:noWrap/>
          </w:tcPr>
          <w:p>
            <w:pPr>
              <w:keepNext/>
              <w:tabs>
                <w:tab w:val="left" w:pos="1134"/>
                <w:tab w:val="left" w:pos="1871"/>
                <w:tab w:val="left" w:pos="2268"/>
              </w:tabs>
              <w:spacing w:before="80" w:after="80"/>
              <w:jc w:val="center"/>
              <w:rPr>
                <w:rFonts w:hint="default" w:ascii="Times New Roman" w:hAnsi="Times New Roman" w:cs="Times New Roman"/>
                <w:b/>
                <w:sz w:val="20"/>
              </w:rPr>
            </w:pPr>
            <w:r>
              <w:rPr>
                <w:rFonts w:hint="default" w:ascii="Times New Roman" w:hAnsi="Times New Roman" w:cs="Times New Roman"/>
                <w:b/>
                <w:sz w:val="20"/>
              </w:rPr>
              <w:t xml:space="preserve">Notes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2" w:type="dxa"/>
            <w:noWrap/>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hint="default" w:ascii="Times New Roman" w:hAnsi="Times New Roman" w:cs="Times New Roman"/>
                <w:sz w:val="20"/>
              </w:rPr>
            </w:pPr>
            <w:r>
              <w:rPr>
                <w:rFonts w:hint="default" w:ascii="Times New Roman" w:hAnsi="Times New Roman" w:cs="Times New Roman"/>
                <w:sz w:val="20"/>
              </w:rPr>
              <w:t>α</w:t>
            </w:r>
          </w:p>
        </w:tc>
        <w:tc>
          <w:tcPr>
            <w:tcW w:w="850" w:type="dxa"/>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hint="default" w:ascii="Times New Roman" w:hAnsi="Times New Roman" w:cs="Times New Roman"/>
                <w:sz w:val="20"/>
              </w:rPr>
            </w:pPr>
            <w:r>
              <w:rPr>
                <w:rFonts w:hint="default" w:ascii="Times New Roman" w:hAnsi="Times New Roman" w:cs="Times New Roman"/>
                <w:sz w:val="20"/>
              </w:rPr>
              <w:t>0.6</w:t>
            </w:r>
          </w:p>
        </w:tc>
        <w:tc>
          <w:tcPr>
            <w:tcW w:w="850" w:type="dxa"/>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hint="default" w:ascii="Times New Roman" w:hAnsi="Times New Roman" w:cs="Times New Roman"/>
                <w:sz w:val="20"/>
              </w:rPr>
            </w:pPr>
            <w:r>
              <w:rPr>
                <w:rFonts w:hint="default" w:ascii="Times New Roman" w:hAnsi="Times New Roman" w:cs="Times New Roman"/>
                <w:sz w:val="20"/>
              </w:rPr>
              <w:t>0.4</w:t>
            </w:r>
          </w:p>
        </w:tc>
        <w:tc>
          <w:tcPr>
            <w:tcW w:w="0" w:type="auto"/>
            <w:noWrap/>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cs="Times New Roman"/>
                <w:sz w:val="20"/>
              </w:rPr>
            </w:pPr>
            <w:r>
              <w:rPr>
                <w:rFonts w:hint="default" w:ascii="Times New Roman" w:hAnsi="Times New Roman" w:cs="Times New Roman"/>
                <w:sz w:val="20"/>
              </w:rPr>
              <w:t>Represents implementation losses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2" w:type="dxa"/>
            <w:noWrap/>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hint="default" w:ascii="Times New Roman" w:hAnsi="Times New Roman" w:cs="Times New Roman"/>
                <w:sz w:val="20"/>
              </w:rPr>
            </w:pPr>
            <w:r>
              <w:rPr>
                <w:rFonts w:hint="default" w:ascii="Times New Roman" w:hAnsi="Times New Roman" w:cs="Times New Roman"/>
                <w:i/>
                <w:iCs/>
                <w:sz w:val="20"/>
              </w:rPr>
              <w:t>SINR</w:t>
            </w:r>
            <w:r>
              <w:rPr>
                <w:rFonts w:hint="default" w:ascii="Times New Roman" w:hAnsi="Times New Roman" w:cs="Times New Roman"/>
                <w:i/>
                <w:iCs/>
                <w:sz w:val="20"/>
                <w:vertAlign w:val="subscript"/>
              </w:rPr>
              <w:t>MIN</w:t>
            </w:r>
            <w:r>
              <w:rPr>
                <w:rFonts w:hint="default" w:ascii="Times New Roman" w:hAnsi="Times New Roman" w:cs="Times New Roman"/>
                <w:sz w:val="20"/>
              </w:rPr>
              <w:t>, dB</w:t>
            </w:r>
          </w:p>
        </w:tc>
        <w:tc>
          <w:tcPr>
            <w:tcW w:w="850" w:type="dxa"/>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hint="default" w:ascii="Times New Roman" w:hAnsi="Times New Roman" w:cs="Times New Roman"/>
                <w:sz w:val="20"/>
              </w:rPr>
            </w:pPr>
            <w:r>
              <w:rPr>
                <w:rFonts w:hint="default" w:ascii="Times New Roman" w:hAnsi="Times New Roman" w:cs="Times New Roman"/>
                <w:sz w:val="20"/>
              </w:rPr>
              <w:t>−10</w:t>
            </w:r>
          </w:p>
        </w:tc>
        <w:tc>
          <w:tcPr>
            <w:tcW w:w="850" w:type="dxa"/>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hint="default" w:ascii="Times New Roman" w:hAnsi="Times New Roman" w:cs="Times New Roman"/>
                <w:sz w:val="20"/>
              </w:rPr>
            </w:pPr>
            <w:r>
              <w:rPr>
                <w:rFonts w:hint="default" w:ascii="Times New Roman" w:hAnsi="Times New Roman" w:cs="Times New Roman"/>
                <w:sz w:val="20"/>
              </w:rPr>
              <w:t>−10</w:t>
            </w:r>
          </w:p>
        </w:tc>
        <w:tc>
          <w:tcPr>
            <w:tcW w:w="0" w:type="auto"/>
            <w:noWrap/>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cs="Times New Roman"/>
                <w:sz w:val="20"/>
              </w:rPr>
            </w:pPr>
            <w:r>
              <w:rPr>
                <w:rFonts w:hint="default" w:ascii="Times New Roman" w:hAnsi="Times New Roman" w:cs="Times New Roman"/>
                <w:sz w:val="20"/>
              </w:rPr>
              <w:t>Based on QPSK, 1/8 rate (DL) &amp; 1/5 rate (UL)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2" w:type="dxa"/>
            <w:noWrap/>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hint="default" w:ascii="Times New Roman" w:hAnsi="Times New Roman" w:cs="Times New Roman"/>
                <w:sz w:val="20"/>
              </w:rPr>
            </w:pPr>
            <w:r>
              <w:rPr>
                <w:rFonts w:hint="default" w:ascii="Times New Roman" w:hAnsi="Times New Roman" w:cs="Times New Roman"/>
                <w:i/>
                <w:iCs/>
                <w:sz w:val="20"/>
              </w:rPr>
              <w:t>SINR</w:t>
            </w:r>
            <w:r>
              <w:rPr>
                <w:rFonts w:hint="default" w:ascii="Times New Roman" w:hAnsi="Times New Roman" w:cs="Times New Roman"/>
                <w:i/>
                <w:iCs/>
                <w:sz w:val="20"/>
                <w:vertAlign w:val="subscript"/>
              </w:rPr>
              <w:t>MAX</w:t>
            </w:r>
            <w:r>
              <w:rPr>
                <w:rFonts w:hint="default" w:ascii="Times New Roman" w:hAnsi="Times New Roman" w:cs="Times New Roman"/>
                <w:sz w:val="20"/>
              </w:rPr>
              <w:t>, dB</w:t>
            </w:r>
          </w:p>
        </w:tc>
        <w:tc>
          <w:tcPr>
            <w:tcW w:w="850" w:type="dxa"/>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hint="default" w:ascii="Times New Roman" w:hAnsi="Times New Roman" w:cs="Times New Roman"/>
                <w:sz w:val="20"/>
              </w:rPr>
            </w:pPr>
            <w:r>
              <w:rPr>
                <w:rFonts w:hint="default" w:ascii="Times New Roman" w:hAnsi="Times New Roman" w:cs="Times New Roman"/>
                <w:sz w:val="20"/>
              </w:rPr>
              <w:t>30</w:t>
            </w:r>
          </w:p>
        </w:tc>
        <w:tc>
          <w:tcPr>
            <w:tcW w:w="850" w:type="dxa"/>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hint="default" w:ascii="Times New Roman" w:hAnsi="Times New Roman" w:cs="Times New Roman"/>
                <w:sz w:val="20"/>
              </w:rPr>
            </w:pPr>
            <w:r>
              <w:rPr>
                <w:rFonts w:hint="default" w:ascii="Times New Roman" w:hAnsi="Times New Roman" w:cs="Times New Roman"/>
                <w:sz w:val="20"/>
              </w:rPr>
              <w:t>22</w:t>
            </w:r>
          </w:p>
        </w:tc>
        <w:tc>
          <w:tcPr>
            <w:tcW w:w="0" w:type="auto"/>
            <w:noWrap/>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cs="Times New Roman"/>
                <w:sz w:val="20"/>
              </w:rPr>
            </w:pPr>
            <w:r>
              <w:rPr>
                <w:rFonts w:hint="default" w:ascii="Times New Roman" w:hAnsi="Times New Roman" w:cs="Times New Roman"/>
                <w:sz w:val="20"/>
              </w:rPr>
              <w:t>Based on 256-QAM, 0.93 rate (DL) &amp; 64-QAM, 0.93 rate (UL)</w:t>
            </w:r>
          </w:p>
        </w:tc>
      </w:tr>
    </w:tbl>
    <w:p>
      <w:pPr>
        <w:spacing w:before="0"/>
        <w:rPr>
          <w:sz w:val="20"/>
          <w:lang w:eastAsia="zh-CN"/>
        </w:rPr>
      </w:pPr>
    </w:p>
    <w:p>
      <w:pPr>
        <w:numPr>
          <w:ilvl w:val="0"/>
          <w:numId w:val="0"/>
        </w:numPr>
        <w:spacing w:after="180"/>
        <w:ind w:leftChars="0"/>
        <w:rPr>
          <w:rFonts w:hint="default" w:ascii="Times New Roman" w:hAnsi="Times New Roman" w:cs="Times New Roman"/>
          <w:b w:val="0"/>
          <w:bCs w:val="0"/>
          <w:sz w:val="20"/>
          <w:szCs w:val="20"/>
          <w:highlight w:val="yellow"/>
          <w:lang w:val="en-US" w:eastAsia="zh-CN"/>
        </w:rPr>
      </w:pPr>
      <w:r>
        <w:rPr>
          <w:rFonts w:hint="eastAsia" w:ascii="Times New Roman" w:hAnsi="Times New Roman" w:cs="Times New Roman"/>
          <w:b w:val="0"/>
          <w:bCs w:val="0"/>
          <w:sz w:val="20"/>
          <w:szCs w:val="20"/>
          <w:lang w:val="en-US" w:eastAsia="zh-CN"/>
        </w:rPr>
        <w:t xml:space="preserve">For the beam forming antenna characteristics, the sub-array modeling captured into TR 38.803 is based on testing of massive commercial BS. Considering antenna performance is much similar for a large frequency range and there is no commercial BS operating </w:t>
      </w:r>
      <w:r>
        <w:rPr>
          <w:rFonts w:hint="eastAsia" w:ascii="Times New Roman" w:hAnsi="Times New Roman" w:cs="Times New Roman"/>
          <w:b w:val="0"/>
          <w:bCs w:val="0"/>
          <w:sz w:val="20"/>
          <w:szCs w:val="20"/>
          <w:highlight w:val="none"/>
          <w:lang w:val="en-US" w:eastAsia="zh-CN"/>
        </w:rPr>
        <w:t>at 7125-8400MHz for further testing, it</w:t>
      </w:r>
      <w:r>
        <w:rPr>
          <w:rFonts w:hint="default" w:ascii="Times New Roman" w:hAnsi="Times New Roman" w:cs="Times New Roman"/>
          <w:b w:val="0"/>
          <w:bCs w:val="0"/>
          <w:sz w:val="20"/>
          <w:szCs w:val="20"/>
          <w:highlight w:val="none"/>
          <w:lang w:val="en-US" w:eastAsia="zh-CN"/>
        </w:rPr>
        <w:t>’</w:t>
      </w:r>
      <w:r>
        <w:rPr>
          <w:rFonts w:hint="eastAsia" w:ascii="Times New Roman" w:hAnsi="Times New Roman" w:cs="Times New Roman"/>
          <w:b w:val="0"/>
          <w:bCs w:val="0"/>
          <w:sz w:val="20"/>
          <w:szCs w:val="20"/>
          <w:highlight w:val="none"/>
          <w:lang w:val="en-US" w:eastAsia="zh-CN"/>
        </w:rPr>
        <w:t xml:space="preserve">s reasonable to assume the legacy sub-array antenna modeling is still applicable for this new band. </w:t>
      </w:r>
    </w:p>
    <w:p>
      <w:pPr>
        <w:numPr>
          <w:ilvl w:val="0"/>
          <w:numId w:val="0"/>
        </w:numPr>
        <w:spacing w:after="180"/>
        <w:ind w:leftChars="0"/>
        <w:rPr>
          <w:rFonts w:hint="default"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Proposal 3: the legacy sub-array antenna modeling in TR 38.803 is still applicable for the band 7125-8400MHz.</w:t>
      </w:r>
    </w:p>
    <w:p>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3. Conclusions</w:t>
      </w:r>
    </w:p>
    <w:p>
      <w:pPr>
        <w:spacing w:after="156" w:afterLines="50"/>
        <w:rPr>
          <w:rFonts w:hint="eastAsia" w:ascii="Times New Roman" w:hAnsi="Times New Roman"/>
          <w:sz w:val="20"/>
          <w:szCs w:val="20"/>
          <w:lang w:val="en-US" w:eastAsia="zh-CN"/>
        </w:rPr>
      </w:pPr>
      <w:r>
        <w:rPr>
          <w:rFonts w:ascii="Times New Roman" w:hAnsi="Times New Roman"/>
          <w:sz w:val="20"/>
          <w:szCs w:val="20"/>
        </w:rPr>
        <w:t xml:space="preserve">In this contribution, </w:t>
      </w:r>
      <w:r>
        <w:rPr>
          <w:rFonts w:hint="eastAsia" w:ascii="Times New Roman" w:hAnsi="Times New Roman"/>
          <w:sz w:val="20"/>
          <w:lang w:val="en-US" w:eastAsia="zh-CN"/>
        </w:rPr>
        <w:t>terrestrial IMT parameters for new candidate IMT operation bands</w:t>
      </w:r>
      <w:r>
        <w:rPr>
          <w:rFonts w:hint="eastAsia" w:ascii="Times New Roman" w:hAnsi="Times New Roman"/>
          <w:sz w:val="20"/>
          <w:szCs w:val="20"/>
          <w:lang w:val="en-US" w:eastAsia="zh-CN"/>
        </w:rPr>
        <w:t xml:space="preserve"> 4400-4800MHz and 7125-8400MHz are discussed with following observations and proposals.</w:t>
      </w:r>
    </w:p>
    <w:p>
      <w:pPr>
        <w:numPr>
          <w:ilvl w:val="0"/>
          <w:numId w:val="0"/>
        </w:numPr>
        <w:spacing w:after="180"/>
        <w:ind w:leftChars="0"/>
        <w:rPr>
          <w:rFonts w:hint="default" w:ascii="Times New Roman" w:hAnsi="Times New Roman" w:cs="Times New Roman"/>
          <w:b w:val="0"/>
          <w:bCs w:val="0"/>
          <w:sz w:val="20"/>
          <w:szCs w:val="20"/>
          <w:lang w:val="en-US" w:eastAsia="zh-CN"/>
        </w:rPr>
      </w:pPr>
      <w:r>
        <w:rPr>
          <w:rFonts w:hint="eastAsia" w:ascii="Times New Roman" w:hAnsi="Times New Roman" w:cs="Times New Roman"/>
          <w:b/>
          <w:bCs/>
          <w:sz w:val="20"/>
          <w:szCs w:val="20"/>
          <w:lang w:val="en-US" w:eastAsia="zh-CN"/>
        </w:rPr>
        <w:t>Observation 1: the sub-array antenna model is based on testing of commercial BS and could reflect current AAS pattern information.</w:t>
      </w:r>
      <w:r>
        <w:rPr>
          <w:rFonts w:hint="eastAsia" w:ascii="Times New Roman" w:hAnsi="Times New Roman" w:cs="Times New Roman"/>
          <w:b w:val="0"/>
          <w:bCs w:val="0"/>
          <w:sz w:val="20"/>
          <w:szCs w:val="20"/>
          <w:lang w:val="en-US" w:eastAsia="zh-CN"/>
        </w:rPr>
        <w:t xml:space="preserve"> </w:t>
      </w:r>
    </w:p>
    <w:p>
      <w:pPr>
        <w:numPr>
          <w:ilvl w:val="0"/>
          <w:numId w:val="0"/>
        </w:numPr>
        <w:spacing w:after="180"/>
        <w:ind w:leftChars="0"/>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Proposal 1: For 4400-4800MHz, WP-5D could reuse previous 3-6GHz parameters that RAN4 sent for WRC-23 preparation.</w:t>
      </w:r>
    </w:p>
    <w:p>
      <w:pPr>
        <w:numPr>
          <w:ilvl w:val="0"/>
          <w:numId w:val="0"/>
        </w:numPr>
        <w:spacing w:after="180"/>
        <w:ind w:leftChars="0"/>
        <w:rPr>
          <w:rFonts w:hint="default"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Observation 2: the electrical pre-set is also environment dependent and is related to cell range, gNB height, etc, i.e. different for urban/suburban/rural environment. The legacy value in TR 38.803 is reasonable.</w:t>
      </w:r>
    </w:p>
    <w:p>
      <w:pPr>
        <w:numPr>
          <w:ilvl w:val="0"/>
          <w:numId w:val="0"/>
        </w:numPr>
        <w:spacing w:after="180"/>
        <w:ind w:leftChars="0"/>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Proposal 2: the suggestions for 7125-8400MHz related parameters (table 1) are listed as below as starting point which is the same as what is defined for band n104.</w:t>
      </w:r>
    </w:p>
    <w:p>
      <w:pPr>
        <w:pStyle w:val="57"/>
        <w:rPr>
          <w:rFonts w:eastAsia="MS Mincho"/>
        </w:rPr>
      </w:pPr>
      <w:r>
        <w:rPr>
          <w:rFonts w:eastAsia="MS Mincho"/>
        </w:rPr>
        <w:t>IMT-2030 specification related parameters in [</w:t>
      </w:r>
      <w:r>
        <w:rPr>
          <w:rFonts w:hint="eastAsia" w:eastAsia="宋体"/>
          <w:lang w:val="en-US" w:eastAsia="zh-CN"/>
        </w:rPr>
        <w:t>7125-8400</w:t>
      </w:r>
      <w:r>
        <w:rPr>
          <w:rFonts w:eastAsia="MS Mincho"/>
        </w:rPr>
        <w:t>] MHz</w:t>
      </w:r>
    </w:p>
    <w:tbl>
      <w:tblPr>
        <w:tblStyle w:val="16"/>
        <w:tblW w:w="382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7"/>
        <w:gridCol w:w="2641"/>
        <w:gridCol w:w="2197"/>
        <w:gridCol w:w="21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79" w:type="pct"/>
            <w:vAlign w:val="center"/>
          </w:tcPr>
          <w:p>
            <w:pPr>
              <w:keepNext/>
              <w:tabs>
                <w:tab w:val="left" w:pos="1134"/>
                <w:tab w:val="left" w:pos="1871"/>
                <w:tab w:val="left" w:pos="2268"/>
              </w:tabs>
              <w:spacing w:before="80" w:after="80"/>
              <w:jc w:val="center"/>
              <w:rPr>
                <w:rFonts w:ascii="Times New Roman Bold" w:hAnsi="Times New Roman Bold" w:eastAsia="MS Mincho" w:cs="Times New Roman Bold"/>
                <w:b/>
                <w:sz w:val="20"/>
              </w:rPr>
            </w:pPr>
            <w:r>
              <w:rPr>
                <w:rFonts w:ascii="Times New Roman Bold" w:hAnsi="Times New Roman Bold" w:eastAsia="MS Mincho" w:cs="Times New Roman Bold"/>
                <w:b/>
                <w:sz w:val="20"/>
              </w:rPr>
              <w:t>No.</w:t>
            </w:r>
          </w:p>
        </w:tc>
        <w:tc>
          <w:tcPr>
            <w:tcW w:w="1734" w:type="pct"/>
            <w:vAlign w:val="center"/>
          </w:tcPr>
          <w:p>
            <w:pPr>
              <w:keepNext/>
              <w:tabs>
                <w:tab w:val="left" w:pos="1134"/>
                <w:tab w:val="left" w:pos="1871"/>
                <w:tab w:val="left" w:pos="2268"/>
              </w:tabs>
              <w:spacing w:before="80" w:after="80"/>
              <w:jc w:val="center"/>
              <w:rPr>
                <w:rFonts w:ascii="Times New Roman Bold" w:hAnsi="Times New Roman Bold" w:eastAsia="MS Mincho" w:cs="Times New Roman Bold"/>
                <w:b/>
                <w:sz w:val="20"/>
              </w:rPr>
            </w:pPr>
            <w:r>
              <w:rPr>
                <w:rFonts w:ascii="Times New Roman Bold" w:hAnsi="Times New Roman Bold" w:eastAsia="MS Mincho" w:cs="Times New Roman Bold"/>
                <w:b/>
                <w:sz w:val="20"/>
              </w:rPr>
              <w:t>Parameter</w:t>
            </w:r>
          </w:p>
        </w:tc>
        <w:tc>
          <w:tcPr>
            <w:tcW w:w="1443" w:type="pct"/>
            <w:vAlign w:val="center"/>
          </w:tcPr>
          <w:p>
            <w:pPr>
              <w:keepNext/>
              <w:tabs>
                <w:tab w:val="left" w:pos="1134"/>
                <w:tab w:val="left" w:pos="1871"/>
                <w:tab w:val="left" w:pos="2268"/>
              </w:tabs>
              <w:spacing w:before="80" w:after="80"/>
              <w:jc w:val="center"/>
              <w:rPr>
                <w:rFonts w:ascii="Times New Roman Bold" w:hAnsi="Times New Roman Bold" w:eastAsia="MS Mincho" w:cs="Times New Roman Bold"/>
                <w:b/>
                <w:sz w:val="20"/>
              </w:rPr>
            </w:pPr>
            <w:r>
              <w:rPr>
                <w:rFonts w:ascii="Times New Roman Bold" w:hAnsi="Times New Roman Bold" w:eastAsia="MS Mincho" w:cs="Times New Roman Bold"/>
                <w:b/>
                <w:sz w:val="20"/>
              </w:rPr>
              <w:t xml:space="preserve">Base station </w:t>
            </w:r>
            <w:r>
              <w:rPr>
                <w:rFonts w:ascii="Times New Roman Bold" w:hAnsi="Times New Roman Bold" w:eastAsia="MS Mincho" w:cs="Times New Roman Bold"/>
                <w:b/>
                <w:sz w:val="20"/>
              </w:rPr>
              <w:br w:type="textWrapping"/>
            </w:r>
            <w:r>
              <w:rPr>
                <w:rFonts w:ascii="Times New Roman Bold" w:hAnsi="Times New Roman Bold" w:eastAsia="MS Mincho" w:cs="Times New Roman Bold"/>
                <w:b/>
                <w:sz w:val="20"/>
              </w:rPr>
              <w:t>(AAS)</w:t>
            </w:r>
          </w:p>
        </w:tc>
        <w:tc>
          <w:tcPr>
            <w:tcW w:w="1442" w:type="pct"/>
            <w:vAlign w:val="center"/>
          </w:tcPr>
          <w:p>
            <w:pPr>
              <w:keepNext/>
              <w:tabs>
                <w:tab w:val="left" w:pos="1134"/>
                <w:tab w:val="left" w:pos="1871"/>
                <w:tab w:val="left" w:pos="2268"/>
              </w:tabs>
              <w:spacing w:before="80" w:after="80"/>
              <w:jc w:val="center"/>
              <w:rPr>
                <w:rFonts w:ascii="Times New Roman Bold" w:hAnsi="Times New Roman Bold" w:eastAsia="MS Mincho" w:cs="Times New Roman Bold"/>
                <w:b/>
                <w:sz w:val="20"/>
              </w:rPr>
            </w:pPr>
            <w:r>
              <w:rPr>
                <w:rFonts w:ascii="Times New Roman Bold" w:hAnsi="Times New Roman Bold" w:eastAsia="MS Mincho" w:cs="Times New Roman Bold"/>
                <w:b/>
                <w:sz w:val="20"/>
              </w:rPr>
              <w:t>Mobile station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9" w:type="pct"/>
            <w:shd w:val="clear" w:color="auto" w:fill="auto"/>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hint="default" w:ascii="Times New Roman" w:hAnsi="Times New Roman" w:eastAsia="MS Mincho" w:cs="Times New Roman"/>
                <w:sz w:val="20"/>
              </w:rPr>
            </w:pPr>
            <w:r>
              <w:rPr>
                <w:rFonts w:hint="default" w:ascii="Times New Roman" w:hAnsi="Times New Roman" w:eastAsia="MS Mincho" w:cs="Times New Roman"/>
                <w:sz w:val="20"/>
              </w:rPr>
              <w:t>1</w:t>
            </w:r>
          </w:p>
        </w:tc>
        <w:tc>
          <w:tcPr>
            <w:tcW w:w="1734" w:type="pct"/>
            <w:shd w:val="clear" w:color="auto" w:fill="auto"/>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eastAsia="MS Mincho" w:cs="Times New Roman"/>
                <w:sz w:val="20"/>
              </w:rPr>
            </w:pPr>
            <w:r>
              <w:rPr>
                <w:rFonts w:hint="default" w:ascii="Times New Roman" w:hAnsi="Times New Roman" w:eastAsia="MS Mincho" w:cs="Times New Roman"/>
                <w:sz w:val="20"/>
              </w:rPr>
              <w:t>Duplex Method</w:t>
            </w:r>
          </w:p>
        </w:tc>
        <w:tc>
          <w:tcPr>
            <w:tcW w:w="1443" w:type="pct"/>
            <w:shd w:val="clear" w:color="auto" w:fill="auto"/>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TDD</w:t>
            </w:r>
          </w:p>
        </w:tc>
        <w:tc>
          <w:tcPr>
            <w:tcW w:w="1442" w:type="pct"/>
            <w:shd w:val="clear" w:color="auto" w:fill="auto"/>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9"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hint="default" w:ascii="Times New Roman" w:hAnsi="Times New Roman" w:eastAsia="MS Mincho" w:cs="Times New Roman"/>
                <w:sz w:val="20"/>
              </w:rPr>
            </w:pPr>
            <w:r>
              <w:rPr>
                <w:rFonts w:hint="default" w:ascii="Times New Roman" w:hAnsi="Times New Roman" w:eastAsia="MS Mincho" w:cs="Times New Roman"/>
                <w:sz w:val="20"/>
              </w:rPr>
              <w:t>2</w:t>
            </w:r>
          </w:p>
        </w:tc>
        <w:tc>
          <w:tcPr>
            <w:tcW w:w="1734"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eastAsia="MS Mincho" w:cs="Times New Roman"/>
                <w:sz w:val="20"/>
              </w:rPr>
            </w:pPr>
            <w:r>
              <w:rPr>
                <w:rFonts w:hint="default" w:ascii="Times New Roman" w:hAnsi="Times New Roman" w:eastAsia="MS Mincho" w:cs="Times New Roman"/>
                <w:sz w:val="20"/>
              </w:rPr>
              <w:t>Channel bandwidth (MHz)</w:t>
            </w:r>
          </w:p>
        </w:tc>
        <w:tc>
          <w:tcPr>
            <w:tcW w:w="1443" w:type="pct"/>
            <w:vAlign w:val="center"/>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100MHz (typical)</w:t>
            </w:r>
          </w:p>
        </w:tc>
        <w:tc>
          <w:tcPr>
            <w:tcW w:w="1442" w:type="pct"/>
            <w:vAlign w:val="center"/>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eastAsia="MS Mincho" w:cs="Times New Roman"/>
                <w:sz w:val="20"/>
              </w:rPr>
            </w:pPr>
            <w:r>
              <w:rPr>
                <w:rFonts w:hint="default" w:ascii="Times New Roman" w:hAnsi="Times New Roman" w:eastAsia="宋体" w:cs="Times New Roman"/>
                <w:sz w:val="20"/>
                <w:lang w:val="en-US" w:eastAsia="zh-CN"/>
              </w:rPr>
              <w:t>100MHz (typical)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9"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hint="default" w:ascii="Times New Roman" w:hAnsi="Times New Roman" w:eastAsia="MS Mincho" w:cs="Times New Roman"/>
                <w:sz w:val="20"/>
              </w:rPr>
            </w:pPr>
            <w:r>
              <w:rPr>
                <w:rFonts w:hint="default" w:ascii="Times New Roman" w:hAnsi="Times New Roman" w:eastAsia="MS Mincho" w:cs="Times New Roman"/>
                <w:sz w:val="20"/>
              </w:rPr>
              <w:t>3</w:t>
            </w:r>
          </w:p>
        </w:tc>
        <w:tc>
          <w:tcPr>
            <w:tcW w:w="1734"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cs="Times New Roman"/>
                <w:sz w:val="20"/>
                <w:lang w:eastAsia="zh-CN"/>
              </w:rPr>
            </w:pPr>
            <w:r>
              <w:rPr>
                <w:rFonts w:hint="default" w:ascii="Times New Roman" w:hAnsi="Times New Roman" w:eastAsia="MS Mincho" w:cs="Times New Roman"/>
                <w:sz w:val="20"/>
              </w:rPr>
              <w:t xml:space="preserve">Signal bandwidth </w:t>
            </w:r>
            <w:r>
              <w:rPr>
                <w:rFonts w:hint="default" w:ascii="Times New Roman" w:hAnsi="Times New Roman" w:cs="Times New Roman"/>
                <w:sz w:val="20"/>
                <w:lang w:eastAsia="zh-CN"/>
              </w:rPr>
              <w:t>(MHz)</w:t>
            </w:r>
          </w:p>
        </w:tc>
        <w:tc>
          <w:tcPr>
            <w:tcW w:w="1443"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Related to channel bandwidth, see 38.104 section 5.3.2</w:t>
            </w:r>
          </w:p>
        </w:tc>
        <w:tc>
          <w:tcPr>
            <w:tcW w:w="1442"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eastAsia="MS Mincho" w:cs="Times New Roman"/>
                <w:sz w:val="20"/>
              </w:rPr>
            </w:pPr>
            <w:r>
              <w:rPr>
                <w:rFonts w:hint="default" w:ascii="Times New Roman" w:hAnsi="Times New Roman" w:eastAsia="宋体" w:cs="Times New Roman"/>
                <w:sz w:val="20"/>
                <w:lang w:val="en-US" w:eastAsia="zh-CN"/>
              </w:rPr>
              <w:t>Related to channel bandwidth, see 38.101-1 section 5.3.2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9"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hint="default" w:ascii="Times New Roman" w:hAnsi="Times New Roman" w:eastAsia="MS Mincho" w:cs="Times New Roman"/>
                <w:sz w:val="20"/>
              </w:rPr>
            </w:pPr>
            <w:r>
              <w:rPr>
                <w:rFonts w:hint="default" w:ascii="Times New Roman" w:hAnsi="Times New Roman" w:eastAsia="MS Mincho" w:cs="Times New Roman"/>
                <w:sz w:val="20"/>
              </w:rPr>
              <w:t>4</w:t>
            </w:r>
          </w:p>
        </w:tc>
        <w:tc>
          <w:tcPr>
            <w:tcW w:w="1734"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eastAsia="MS Mincho" w:cs="Times New Roman"/>
                <w:sz w:val="20"/>
              </w:rPr>
            </w:pPr>
            <w:r>
              <w:rPr>
                <w:rFonts w:hint="default" w:ascii="Times New Roman" w:hAnsi="Times New Roman" w:eastAsia="MS Mincho" w:cs="Times New Roman"/>
                <w:sz w:val="20"/>
              </w:rPr>
              <w:t>Transmitter characteristics</w:t>
            </w:r>
          </w:p>
        </w:tc>
        <w:tc>
          <w:tcPr>
            <w:tcW w:w="1443" w:type="pct"/>
            <w:vAlign w:val="center"/>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hint="default" w:ascii="Times New Roman" w:hAnsi="Times New Roman" w:eastAsia="MS Mincho" w:cs="Times New Roman"/>
                <w:sz w:val="20"/>
              </w:rPr>
            </w:pPr>
          </w:p>
        </w:tc>
        <w:tc>
          <w:tcPr>
            <w:tcW w:w="1442" w:type="pct"/>
            <w:vAlign w:val="center"/>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eastAsia="MS Mincho" w:cs="Times New Roman"/>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9"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hint="default" w:ascii="Times New Roman" w:hAnsi="Times New Roman" w:eastAsia="MS Mincho" w:cs="Times New Roman"/>
                <w:sz w:val="20"/>
              </w:rPr>
            </w:pPr>
            <w:r>
              <w:rPr>
                <w:rFonts w:hint="default" w:ascii="Times New Roman" w:hAnsi="Times New Roman" w:eastAsia="MS Mincho" w:cs="Times New Roman"/>
                <w:sz w:val="20"/>
              </w:rPr>
              <w:t>4.1</w:t>
            </w:r>
          </w:p>
        </w:tc>
        <w:tc>
          <w:tcPr>
            <w:tcW w:w="1734"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eastAsia="MS Mincho" w:cs="Times New Roman"/>
                <w:sz w:val="20"/>
              </w:rPr>
            </w:pPr>
            <w:r>
              <w:rPr>
                <w:rFonts w:hint="default" w:ascii="Times New Roman" w:hAnsi="Times New Roman" w:eastAsia="MS Mincho" w:cs="Times New Roman"/>
                <w:sz w:val="20"/>
              </w:rPr>
              <w:t>Power dynamic range (dB)</w:t>
            </w:r>
          </w:p>
        </w:tc>
        <w:tc>
          <w:tcPr>
            <w:tcW w:w="1443"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0dB</w:t>
            </w:r>
          </w:p>
        </w:tc>
        <w:tc>
          <w:tcPr>
            <w:tcW w:w="1442" w:type="pct"/>
            <w:shd w:val="clear" w:color="auto" w:fill="auto"/>
            <w:vAlign w:val="center"/>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56dB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9"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hint="default" w:ascii="Times New Roman" w:hAnsi="Times New Roman" w:eastAsia="MS Mincho" w:cs="Times New Roman"/>
                <w:sz w:val="20"/>
              </w:rPr>
            </w:pPr>
            <w:r>
              <w:rPr>
                <w:rFonts w:hint="default" w:ascii="Times New Roman" w:hAnsi="Times New Roman" w:eastAsia="MS Mincho" w:cs="Times New Roman"/>
                <w:sz w:val="20"/>
              </w:rPr>
              <w:t>4.2</w:t>
            </w:r>
          </w:p>
        </w:tc>
        <w:tc>
          <w:tcPr>
            <w:tcW w:w="1734"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eastAsia="MS Mincho" w:cs="Times New Roman"/>
                <w:sz w:val="20"/>
              </w:rPr>
            </w:pPr>
            <w:r>
              <w:rPr>
                <w:rFonts w:hint="default" w:ascii="Times New Roman" w:hAnsi="Times New Roman" w:eastAsia="MS Mincho" w:cs="Times New Roman"/>
                <w:sz w:val="20"/>
              </w:rPr>
              <w:t>Spectral mask (dB)</w:t>
            </w:r>
          </w:p>
        </w:tc>
        <w:tc>
          <w:tcPr>
            <w:tcW w:w="1443"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see 38.104 section 6.6.4.2 for n104</w:t>
            </w:r>
          </w:p>
        </w:tc>
        <w:tc>
          <w:tcPr>
            <w:tcW w:w="1442" w:type="pct"/>
            <w:shd w:val="clear" w:color="auto" w:fill="auto"/>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eastAsia="MS Mincho" w:cs="Times New Roman"/>
                <w:sz w:val="20"/>
              </w:rPr>
            </w:pPr>
            <w:r>
              <w:rPr>
                <w:rFonts w:hint="default" w:ascii="Times New Roman" w:hAnsi="Times New Roman" w:eastAsia="宋体" w:cs="Times New Roman"/>
                <w:sz w:val="20"/>
                <w:lang w:val="en-US" w:eastAsia="zh-CN"/>
              </w:rPr>
              <w:t>see 38.10</w:t>
            </w:r>
            <w:r>
              <w:rPr>
                <w:rFonts w:hint="default" w:ascii="Times New Roman" w:hAnsi="Times New Roman" w:cs="Times New Roman"/>
                <w:sz w:val="20"/>
                <w:lang w:val="en-US" w:eastAsia="zh-CN"/>
              </w:rPr>
              <w:t>1-1</w:t>
            </w:r>
            <w:r>
              <w:rPr>
                <w:rFonts w:hint="default" w:ascii="Times New Roman" w:hAnsi="Times New Roman" w:eastAsia="宋体" w:cs="Times New Roman"/>
                <w:sz w:val="20"/>
                <w:lang w:val="en-US" w:eastAsia="zh-CN"/>
              </w:rPr>
              <w:t xml:space="preserve"> section 6.</w:t>
            </w:r>
            <w:r>
              <w:rPr>
                <w:rFonts w:hint="default" w:ascii="Times New Roman" w:hAnsi="Times New Roman" w:cs="Times New Roman"/>
                <w:sz w:val="20"/>
                <w:lang w:val="en-US" w:eastAsia="zh-CN"/>
              </w:rPr>
              <w:t>5</w:t>
            </w:r>
            <w:r>
              <w:rPr>
                <w:rFonts w:hint="default" w:ascii="Times New Roman" w:hAnsi="Times New Roman" w:eastAsia="宋体" w:cs="Times New Roman"/>
                <w:sz w:val="20"/>
                <w:lang w:val="en-US" w:eastAsia="zh-CN"/>
              </w:rPr>
              <w:t>.</w:t>
            </w:r>
            <w:r>
              <w:rPr>
                <w:rFonts w:hint="default" w:ascii="Times New Roman" w:hAnsi="Times New Roman" w:cs="Times New Roman"/>
                <w:sz w:val="20"/>
                <w:lang w:val="en-US" w:eastAsia="zh-CN"/>
              </w:rPr>
              <w:t>2</w:t>
            </w:r>
            <w:r>
              <w:rPr>
                <w:rFonts w:hint="default" w:ascii="Times New Roman" w:hAnsi="Times New Roman" w:eastAsia="宋体" w:cs="Times New Roman"/>
                <w:sz w:val="20"/>
                <w:lang w:val="en-US" w:eastAsia="zh-CN"/>
              </w:rPr>
              <w:t>.2 for n104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9"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hint="default" w:ascii="Times New Roman" w:hAnsi="Times New Roman" w:eastAsia="MS Mincho" w:cs="Times New Roman"/>
                <w:sz w:val="20"/>
              </w:rPr>
            </w:pPr>
            <w:r>
              <w:rPr>
                <w:rFonts w:hint="default" w:ascii="Times New Roman" w:hAnsi="Times New Roman" w:eastAsia="MS Mincho" w:cs="Times New Roman"/>
                <w:sz w:val="20"/>
              </w:rPr>
              <w:t>4.3</w:t>
            </w:r>
          </w:p>
        </w:tc>
        <w:tc>
          <w:tcPr>
            <w:tcW w:w="1734"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eastAsia="MS Mincho" w:cs="Times New Roman"/>
                <w:sz w:val="20"/>
              </w:rPr>
            </w:pPr>
            <w:r>
              <w:rPr>
                <w:rFonts w:hint="default" w:ascii="Times New Roman" w:hAnsi="Times New Roman" w:eastAsia="MS Mincho" w:cs="Times New Roman"/>
                <w:sz w:val="20"/>
              </w:rPr>
              <w:t>ACLR (dB)</w:t>
            </w:r>
          </w:p>
        </w:tc>
        <w:tc>
          <w:tcPr>
            <w:tcW w:w="1443" w:type="pct"/>
            <w:vAlign w:val="center"/>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38dB</w:t>
            </w:r>
          </w:p>
        </w:tc>
        <w:tc>
          <w:tcPr>
            <w:tcW w:w="1442" w:type="pct"/>
            <w:shd w:val="clear" w:color="auto" w:fill="auto"/>
            <w:vAlign w:val="center"/>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26dB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9"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hint="default" w:ascii="Times New Roman" w:hAnsi="Times New Roman" w:eastAsia="MS Mincho" w:cs="Times New Roman"/>
                <w:sz w:val="20"/>
              </w:rPr>
            </w:pPr>
            <w:r>
              <w:rPr>
                <w:rFonts w:hint="default" w:ascii="Times New Roman" w:hAnsi="Times New Roman" w:eastAsia="MS Mincho" w:cs="Times New Roman"/>
                <w:sz w:val="20"/>
              </w:rPr>
              <w:t>4.4</w:t>
            </w:r>
          </w:p>
        </w:tc>
        <w:tc>
          <w:tcPr>
            <w:tcW w:w="1734"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eastAsia="MS Mincho" w:cs="Times New Roman"/>
                <w:sz w:val="20"/>
              </w:rPr>
            </w:pPr>
            <w:r>
              <w:rPr>
                <w:rFonts w:hint="default" w:ascii="Times New Roman" w:hAnsi="Times New Roman" w:eastAsia="MS Mincho" w:cs="Times New Roman"/>
                <w:sz w:val="20"/>
              </w:rPr>
              <w:t>Spurious emissions /out of band emissions</w:t>
            </w:r>
          </w:p>
        </w:tc>
        <w:tc>
          <w:tcPr>
            <w:tcW w:w="1443" w:type="pct"/>
            <w:vAlign w:val="center"/>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hint="default" w:ascii="Times New Roman" w:hAnsi="Times New Roman" w:eastAsia="MS Mincho" w:cs="Times New Roman"/>
                <w:sz w:val="20"/>
                <w:lang w:val="en-US"/>
              </w:rPr>
            </w:pPr>
            <w:r>
              <w:rPr>
                <w:rFonts w:hint="default" w:ascii="Times New Roman" w:hAnsi="Times New Roman" w:eastAsia="宋体" w:cs="Times New Roman"/>
                <w:sz w:val="20"/>
                <w:lang w:val="en-US" w:eastAsia="zh-CN"/>
              </w:rPr>
              <w:t xml:space="preserve"> see 38.104 section </w:t>
            </w:r>
            <w:r>
              <w:rPr>
                <w:rFonts w:hint="default" w:ascii="Times New Roman" w:hAnsi="Times New Roman" w:cs="Times New Roman"/>
                <w:sz w:val="20"/>
                <w:lang w:val="en-US" w:eastAsia="zh-CN"/>
              </w:rPr>
              <w:t>6.6.5</w:t>
            </w:r>
          </w:p>
        </w:tc>
        <w:tc>
          <w:tcPr>
            <w:tcW w:w="1442" w:type="pct"/>
            <w:shd w:val="clear" w:color="auto" w:fill="auto"/>
            <w:vAlign w:val="center"/>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eastAsia="MS Mincho" w:cs="Times New Roman"/>
                <w:sz w:val="20"/>
              </w:rPr>
            </w:pPr>
            <w:r>
              <w:rPr>
                <w:rFonts w:hint="default" w:ascii="Times New Roman" w:hAnsi="Times New Roman" w:eastAsia="宋体" w:cs="Times New Roman"/>
                <w:sz w:val="20"/>
                <w:lang w:val="en-US" w:eastAsia="zh-CN"/>
              </w:rPr>
              <w:t>see 38.10</w:t>
            </w:r>
            <w:r>
              <w:rPr>
                <w:rFonts w:hint="default" w:ascii="Times New Roman" w:hAnsi="Times New Roman" w:cs="Times New Roman"/>
                <w:sz w:val="20"/>
                <w:lang w:val="en-US" w:eastAsia="zh-CN"/>
              </w:rPr>
              <w:t>1-1</w:t>
            </w:r>
            <w:r>
              <w:rPr>
                <w:rFonts w:hint="default" w:ascii="Times New Roman" w:hAnsi="Times New Roman" w:eastAsia="宋体" w:cs="Times New Roman"/>
                <w:sz w:val="20"/>
                <w:lang w:val="en-US" w:eastAsia="zh-CN"/>
              </w:rPr>
              <w:t xml:space="preserve"> section 6.</w:t>
            </w:r>
            <w:r>
              <w:rPr>
                <w:rFonts w:hint="default" w:ascii="Times New Roman" w:hAnsi="Times New Roman" w:cs="Times New Roman"/>
                <w:sz w:val="20"/>
                <w:lang w:val="en-US" w:eastAsia="zh-CN"/>
              </w:rPr>
              <w:t>5</w:t>
            </w:r>
            <w:r>
              <w:rPr>
                <w:rFonts w:hint="default" w:ascii="Times New Roman" w:hAnsi="Times New Roman" w:eastAsia="宋体" w:cs="Times New Roman"/>
                <w:sz w:val="20"/>
                <w:lang w:val="en-US" w:eastAsia="zh-CN"/>
              </w:rPr>
              <w:t>.</w:t>
            </w:r>
            <w:r>
              <w:rPr>
                <w:rFonts w:hint="default" w:ascii="Times New Roman" w:hAnsi="Times New Roman" w:cs="Times New Roman"/>
                <w:sz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9"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hint="default" w:ascii="Times New Roman" w:hAnsi="Times New Roman" w:eastAsia="MS Mincho" w:cs="Times New Roman"/>
                <w:sz w:val="20"/>
              </w:rPr>
            </w:pPr>
            <w:r>
              <w:rPr>
                <w:rFonts w:hint="default" w:ascii="Times New Roman" w:hAnsi="Times New Roman" w:eastAsia="MS Mincho" w:cs="Times New Roman"/>
                <w:sz w:val="20"/>
              </w:rPr>
              <w:t>4.5</w:t>
            </w:r>
          </w:p>
        </w:tc>
        <w:tc>
          <w:tcPr>
            <w:tcW w:w="1734"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eastAsia="MS Mincho" w:cs="Times New Roman"/>
                <w:sz w:val="20"/>
              </w:rPr>
            </w:pPr>
            <w:r>
              <w:rPr>
                <w:rFonts w:hint="default" w:ascii="Times New Roman" w:hAnsi="Times New Roman" w:eastAsia="MS Mincho" w:cs="Times New Roman"/>
                <w:sz w:val="20"/>
              </w:rPr>
              <w:t>Maximum output power (dBm)</w:t>
            </w:r>
          </w:p>
        </w:tc>
        <w:tc>
          <w:tcPr>
            <w:tcW w:w="1443"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hint="default" w:ascii="Times New Roman" w:hAnsi="Times New Roman" w:eastAsia="宋体" w:cs="Times New Roman"/>
                <w:sz w:val="20"/>
                <w:lang w:val="en-US" w:eastAsia="zh-CN"/>
              </w:rPr>
            </w:pPr>
            <w:r>
              <w:rPr>
                <w:rFonts w:hint="default" w:ascii="Times New Roman" w:hAnsi="Times New Roman" w:cs="Times New Roman"/>
                <w:sz w:val="20"/>
              </w:rPr>
              <w:t>Defined by the conducted power per antenna element,</w:t>
            </w:r>
            <w:r>
              <w:rPr>
                <w:rFonts w:hint="default" w:ascii="Times New Roman" w:hAnsi="Times New Roman" w:cs="Times New Roman"/>
                <w:sz w:val="20"/>
                <w:lang w:val="en-US" w:eastAsia="zh-CN"/>
              </w:rPr>
              <w:t xml:space="preserve"> 22dB for macro suburban, 22dB for macro urban, 16dB for small cell outdoor/micro urban, 9dB for small cell indoor/indoor urban</w:t>
            </w:r>
          </w:p>
        </w:tc>
        <w:tc>
          <w:tcPr>
            <w:tcW w:w="1442" w:type="pct"/>
            <w:shd w:val="clear" w:color="auto" w:fill="auto"/>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23dBm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9"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hint="default" w:ascii="Times New Roman" w:hAnsi="Times New Roman" w:eastAsia="MS Mincho" w:cs="Times New Roman"/>
                <w:sz w:val="20"/>
              </w:rPr>
            </w:pPr>
            <w:r>
              <w:rPr>
                <w:rFonts w:hint="default" w:ascii="Times New Roman" w:hAnsi="Times New Roman" w:eastAsia="MS Mincho" w:cs="Times New Roman"/>
                <w:sz w:val="20"/>
              </w:rPr>
              <w:br w:type="page"/>
            </w:r>
            <w:r>
              <w:rPr>
                <w:rFonts w:hint="default" w:ascii="Times New Roman" w:hAnsi="Times New Roman" w:eastAsia="MS Mincho" w:cs="Times New Roman"/>
                <w:sz w:val="20"/>
              </w:rPr>
              <w:t>5</w:t>
            </w:r>
          </w:p>
        </w:tc>
        <w:tc>
          <w:tcPr>
            <w:tcW w:w="1734"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eastAsia="MS Mincho" w:cs="Times New Roman"/>
                <w:sz w:val="20"/>
              </w:rPr>
            </w:pPr>
            <w:r>
              <w:rPr>
                <w:rFonts w:hint="default" w:ascii="Times New Roman" w:hAnsi="Times New Roman" w:eastAsia="MS Mincho" w:cs="Times New Roman"/>
                <w:sz w:val="20"/>
              </w:rPr>
              <w:t>Receiver characteristics</w:t>
            </w:r>
          </w:p>
        </w:tc>
        <w:tc>
          <w:tcPr>
            <w:tcW w:w="1443"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eastAsia="MS Mincho" w:cs="Times New Roman"/>
                <w:sz w:val="20"/>
              </w:rPr>
            </w:pPr>
          </w:p>
        </w:tc>
        <w:tc>
          <w:tcPr>
            <w:tcW w:w="1442"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eastAsia="MS Mincho" w:cs="Times New Roman"/>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9"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hint="default" w:ascii="Times New Roman" w:hAnsi="Times New Roman" w:eastAsia="MS Mincho" w:cs="Times New Roman"/>
                <w:sz w:val="20"/>
              </w:rPr>
            </w:pPr>
            <w:r>
              <w:rPr>
                <w:rFonts w:hint="default" w:ascii="Times New Roman" w:hAnsi="Times New Roman" w:eastAsia="MS Mincho" w:cs="Times New Roman"/>
                <w:sz w:val="20"/>
              </w:rPr>
              <w:t>5.1</w:t>
            </w:r>
          </w:p>
        </w:tc>
        <w:tc>
          <w:tcPr>
            <w:tcW w:w="1734"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eastAsia="MS Mincho" w:cs="Times New Roman"/>
                <w:sz w:val="20"/>
              </w:rPr>
            </w:pPr>
            <w:r>
              <w:rPr>
                <w:rFonts w:hint="default" w:ascii="Times New Roman" w:hAnsi="Times New Roman" w:eastAsia="MS Mincho" w:cs="Times New Roman"/>
                <w:sz w:val="20"/>
              </w:rPr>
              <w:t>Noise figure (dB)</w:t>
            </w:r>
          </w:p>
        </w:tc>
        <w:tc>
          <w:tcPr>
            <w:tcW w:w="1443"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hint="default" w:ascii="Times New Roman" w:hAnsi="Times New Roman" w:eastAsia="MS Mincho" w:cs="Times New Roman"/>
                <w:sz w:val="20"/>
              </w:rPr>
            </w:pPr>
            <w:r>
              <w:rPr>
                <w:rFonts w:hint="default" w:ascii="Times New Roman" w:hAnsi="Times New Roman" w:cs="Times New Roman"/>
                <w:sz w:val="20"/>
              </w:rPr>
              <w:t>6 dB (Wide Area BS)</w:t>
            </w:r>
            <w:r>
              <w:rPr>
                <w:rFonts w:hint="default" w:ascii="Times New Roman" w:hAnsi="Times New Roman" w:cs="Times New Roman"/>
                <w:sz w:val="20"/>
              </w:rPr>
              <w:br w:type="textWrapping"/>
            </w:r>
            <w:r>
              <w:rPr>
                <w:rFonts w:hint="default" w:ascii="Times New Roman" w:hAnsi="Times New Roman" w:cs="Times New Roman"/>
                <w:sz w:val="20"/>
              </w:rPr>
              <w:t>11 dB (Medium Range BS)</w:t>
            </w:r>
            <w:r>
              <w:rPr>
                <w:rFonts w:hint="default" w:ascii="Times New Roman" w:hAnsi="Times New Roman" w:cs="Times New Roman"/>
                <w:sz w:val="20"/>
              </w:rPr>
              <w:br w:type="textWrapping"/>
            </w:r>
            <w:r>
              <w:rPr>
                <w:rFonts w:hint="default" w:ascii="Times New Roman" w:hAnsi="Times New Roman" w:cs="Times New Roman"/>
                <w:sz w:val="20"/>
              </w:rPr>
              <w:t>14 dB (Local Area BS)</w:t>
            </w:r>
          </w:p>
        </w:tc>
        <w:tc>
          <w:tcPr>
            <w:tcW w:w="1442" w:type="pct"/>
            <w:vAlign w:val="center"/>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9-13dB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9"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hint="default" w:ascii="Times New Roman" w:hAnsi="Times New Roman" w:eastAsia="MS Mincho" w:cs="Times New Roman"/>
                <w:sz w:val="20"/>
              </w:rPr>
            </w:pPr>
            <w:r>
              <w:rPr>
                <w:rFonts w:hint="default" w:ascii="Times New Roman" w:hAnsi="Times New Roman" w:eastAsia="MS Mincho" w:cs="Times New Roman"/>
                <w:sz w:val="20"/>
              </w:rPr>
              <w:t>5.2</w:t>
            </w:r>
          </w:p>
        </w:tc>
        <w:tc>
          <w:tcPr>
            <w:tcW w:w="1734"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eastAsia="MS Mincho" w:cs="Times New Roman"/>
                <w:sz w:val="20"/>
              </w:rPr>
            </w:pPr>
            <w:r>
              <w:rPr>
                <w:rFonts w:hint="default" w:ascii="Times New Roman" w:hAnsi="Times New Roman" w:eastAsia="MS Mincho" w:cs="Times New Roman"/>
                <w:sz w:val="20"/>
              </w:rPr>
              <w:t>Sensitivity (dBm)</w:t>
            </w:r>
          </w:p>
        </w:tc>
        <w:tc>
          <w:tcPr>
            <w:tcW w:w="1443"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eastAsia="MS Mincho" w:cs="Times New Roman"/>
                <w:sz w:val="20"/>
                <w:lang w:val="en-US"/>
              </w:rPr>
            </w:pPr>
            <w:r>
              <w:rPr>
                <w:rFonts w:hint="default" w:ascii="Times New Roman" w:hAnsi="Times New Roman" w:eastAsia="宋体" w:cs="Times New Roman"/>
                <w:sz w:val="20"/>
                <w:lang w:val="en-US" w:eastAsia="zh-CN"/>
              </w:rPr>
              <w:t xml:space="preserve"> see 38.104 section </w:t>
            </w:r>
            <w:r>
              <w:rPr>
                <w:rFonts w:hint="default" w:ascii="Times New Roman" w:hAnsi="Times New Roman" w:cs="Times New Roman"/>
                <w:sz w:val="20"/>
                <w:lang w:val="en-US" w:eastAsia="zh-CN"/>
              </w:rPr>
              <w:t>7.2.2</w:t>
            </w:r>
          </w:p>
        </w:tc>
        <w:tc>
          <w:tcPr>
            <w:tcW w:w="1442"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eastAsia="MS Mincho" w:cs="Times New Roman"/>
                <w:sz w:val="20"/>
                <w:lang w:val="en-US"/>
              </w:rPr>
            </w:pPr>
            <w:r>
              <w:rPr>
                <w:rFonts w:hint="default" w:ascii="Times New Roman" w:hAnsi="Times New Roman" w:eastAsia="宋体" w:cs="Times New Roman"/>
                <w:sz w:val="20"/>
                <w:lang w:val="en-US" w:eastAsia="zh-CN"/>
              </w:rPr>
              <w:t>see 38.10</w:t>
            </w:r>
            <w:r>
              <w:rPr>
                <w:rFonts w:hint="default" w:ascii="Times New Roman" w:hAnsi="Times New Roman" w:cs="Times New Roman"/>
                <w:sz w:val="20"/>
                <w:lang w:val="en-US" w:eastAsia="zh-CN"/>
              </w:rPr>
              <w:t>1-1</w:t>
            </w:r>
            <w:r>
              <w:rPr>
                <w:rFonts w:hint="default" w:ascii="Times New Roman" w:hAnsi="Times New Roman" w:eastAsia="宋体" w:cs="Times New Roman"/>
                <w:sz w:val="20"/>
                <w:lang w:val="en-US" w:eastAsia="zh-CN"/>
              </w:rPr>
              <w:t xml:space="preserve"> section </w:t>
            </w:r>
            <w:r>
              <w:rPr>
                <w:rFonts w:hint="default" w:ascii="Times New Roman" w:hAnsi="Times New Roman" w:cs="Times New Roman"/>
                <w:sz w:val="20"/>
                <w:lang w:val="en-US" w:eastAsia="zh-CN"/>
              </w:rPr>
              <w:t>7.3.2 for band n104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9"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hint="default" w:ascii="Times New Roman" w:hAnsi="Times New Roman" w:eastAsia="MS Mincho" w:cs="Times New Roman"/>
                <w:sz w:val="20"/>
              </w:rPr>
            </w:pPr>
            <w:r>
              <w:rPr>
                <w:rFonts w:hint="default" w:ascii="Times New Roman" w:hAnsi="Times New Roman" w:eastAsia="MS Mincho" w:cs="Times New Roman"/>
                <w:sz w:val="20"/>
              </w:rPr>
              <w:t>5.3</w:t>
            </w:r>
          </w:p>
        </w:tc>
        <w:tc>
          <w:tcPr>
            <w:tcW w:w="1734"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eastAsia="MS Mincho" w:cs="Times New Roman"/>
                <w:sz w:val="20"/>
              </w:rPr>
            </w:pPr>
            <w:r>
              <w:rPr>
                <w:rFonts w:hint="default" w:ascii="Times New Roman" w:hAnsi="Times New Roman" w:eastAsia="MS Mincho" w:cs="Times New Roman"/>
                <w:sz w:val="20"/>
              </w:rPr>
              <w:t>Blocking response</w:t>
            </w:r>
          </w:p>
        </w:tc>
        <w:tc>
          <w:tcPr>
            <w:tcW w:w="1443" w:type="pct"/>
            <w:vAlign w:val="top"/>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cs="Times New Roman"/>
                <w:sz w:val="20"/>
                <w:lang w:val="en-US" w:eastAsia="zh-CN"/>
              </w:rPr>
            </w:pPr>
            <w:r>
              <w:rPr>
                <w:rFonts w:hint="default" w:ascii="Times New Roman" w:hAnsi="Times New Roman" w:cs="Times New Roman"/>
                <w:sz w:val="20"/>
                <w:lang w:val="en-US" w:eastAsia="zh-CN"/>
              </w:rPr>
              <w:t>In-band blocking:</w:t>
            </w:r>
            <w:r>
              <w:rPr>
                <w:rFonts w:hint="default" w:ascii="Times New Roman" w:hAnsi="Times New Roman" w:eastAsia="宋体" w:cs="Times New Roman"/>
                <w:sz w:val="20"/>
                <w:lang w:val="en-US" w:eastAsia="zh-CN"/>
              </w:rPr>
              <w:t xml:space="preserve"> see 38.104 section </w:t>
            </w:r>
            <w:r>
              <w:rPr>
                <w:rFonts w:hint="default" w:ascii="Times New Roman" w:hAnsi="Times New Roman" w:cs="Times New Roman"/>
                <w:sz w:val="20"/>
                <w:lang w:val="en-US" w:eastAsia="zh-CN"/>
              </w:rPr>
              <w:t>7.4.2</w:t>
            </w:r>
          </w:p>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cs="Times New Roman"/>
                <w:sz w:val="20"/>
                <w:lang w:val="en-US" w:eastAsia="zh-CN"/>
              </w:rPr>
            </w:pPr>
            <w:r>
              <w:rPr>
                <w:rFonts w:hint="default" w:ascii="Times New Roman" w:hAnsi="Times New Roman" w:cs="Times New Roman"/>
                <w:sz w:val="20"/>
                <w:lang w:val="en-US" w:eastAsia="zh-CN"/>
              </w:rPr>
              <w:t xml:space="preserve">Out-of-band blocking: </w:t>
            </w:r>
            <w:r>
              <w:rPr>
                <w:rFonts w:hint="default" w:ascii="Times New Roman" w:hAnsi="Times New Roman" w:eastAsia="宋体" w:cs="Times New Roman"/>
                <w:sz w:val="20"/>
                <w:lang w:val="en-US" w:eastAsia="zh-CN"/>
              </w:rPr>
              <w:t xml:space="preserve">see 38.104 section </w:t>
            </w:r>
            <w:r>
              <w:rPr>
                <w:rFonts w:hint="default" w:ascii="Times New Roman" w:hAnsi="Times New Roman" w:cs="Times New Roman"/>
                <w:sz w:val="20"/>
                <w:lang w:val="en-US" w:eastAsia="zh-CN"/>
              </w:rPr>
              <w:t>7.5.2</w:t>
            </w:r>
          </w:p>
        </w:tc>
        <w:tc>
          <w:tcPr>
            <w:tcW w:w="1442" w:type="pct"/>
            <w:vAlign w:val="top"/>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cs="Times New Roman"/>
                <w:sz w:val="20"/>
                <w:lang w:val="en-US" w:eastAsia="zh-CN"/>
              </w:rPr>
            </w:pPr>
            <w:r>
              <w:rPr>
                <w:rFonts w:hint="default" w:ascii="Times New Roman" w:hAnsi="Times New Roman" w:cs="Times New Roman"/>
                <w:sz w:val="20"/>
                <w:lang w:val="en-US" w:eastAsia="zh-CN"/>
              </w:rPr>
              <w:t xml:space="preserve">In-band blocking: </w:t>
            </w:r>
            <w:r>
              <w:rPr>
                <w:rFonts w:hint="default" w:ascii="Times New Roman" w:hAnsi="Times New Roman" w:eastAsia="宋体" w:cs="Times New Roman"/>
                <w:sz w:val="20"/>
                <w:lang w:val="en-US" w:eastAsia="zh-CN"/>
              </w:rPr>
              <w:t>see 38.10</w:t>
            </w:r>
            <w:r>
              <w:rPr>
                <w:rFonts w:hint="default" w:ascii="Times New Roman" w:hAnsi="Times New Roman" w:cs="Times New Roman"/>
                <w:sz w:val="20"/>
                <w:lang w:val="en-US" w:eastAsia="zh-CN"/>
              </w:rPr>
              <w:t>1-1</w:t>
            </w:r>
            <w:r>
              <w:rPr>
                <w:rFonts w:hint="default" w:ascii="Times New Roman" w:hAnsi="Times New Roman" w:eastAsia="宋体" w:cs="Times New Roman"/>
                <w:sz w:val="20"/>
                <w:lang w:val="en-US" w:eastAsia="zh-CN"/>
              </w:rPr>
              <w:t xml:space="preserve"> </w:t>
            </w:r>
            <w:r>
              <w:rPr>
                <w:rFonts w:hint="default" w:ascii="Times New Roman" w:hAnsi="Times New Roman" w:cs="Times New Roman"/>
                <w:sz w:val="20"/>
                <w:lang w:val="en-US" w:eastAsia="zh-CN"/>
              </w:rPr>
              <w:t>table</w:t>
            </w:r>
            <w:r>
              <w:rPr>
                <w:rFonts w:hint="default" w:ascii="Times New Roman" w:hAnsi="Times New Roman" w:eastAsia="宋体" w:cs="Times New Roman"/>
                <w:sz w:val="20"/>
                <w:lang w:val="en-US" w:eastAsia="zh-CN"/>
              </w:rPr>
              <w:t xml:space="preserve"> </w:t>
            </w:r>
            <w:r>
              <w:rPr>
                <w:rFonts w:hint="default" w:ascii="Times New Roman" w:hAnsi="Times New Roman" w:cs="Times New Roman"/>
                <w:sz w:val="20"/>
                <w:lang w:val="en-US" w:eastAsia="zh-CN"/>
              </w:rPr>
              <w:t>7.6.2-4 for band n104</w:t>
            </w:r>
          </w:p>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cs="Times New Roman"/>
                <w:sz w:val="20"/>
                <w:lang w:val="en-US" w:eastAsia="zh-CN"/>
              </w:rPr>
            </w:pPr>
            <w:r>
              <w:rPr>
                <w:rFonts w:hint="default" w:ascii="Times New Roman" w:hAnsi="Times New Roman" w:cs="Times New Roman"/>
                <w:sz w:val="20"/>
                <w:lang w:val="en-US" w:eastAsia="zh-CN"/>
              </w:rPr>
              <w:t xml:space="preserve">Out-of-band blocking: </w:t>
            </w:r>
            <w:r>
              <w:rPr>
                <w:rFonts w:hint="default" w:ascii="Times New Roman" w:hAnsi="Times New Roman" w:eastAsia="宋体" w:cs="Times New Roman"/>
                <w:sz w:val="20"/>
                <w:lang w:val="en-US" w:eastAsia="zh-CN"/>
              </w:rPr>
              <w:t>see 38.10</w:t>
            </w:r>
            <w:r>
              <w:rPr>
                <w:rFonts w:hint="default" w:ascii="Times New Roman" w:hAnsi="Times New Roman" w:cs="Times New Roman"/>
                <w:sz w:val="20"/>
                <w:lang w:val="en-US" w:eastAsia="zh-CN"/>
              </w:rPr>
              <w:t>1-1</w:t>
            </w:r>
            <w:r>
              <w:rPr>
                <w:rFonts w:hint="default" w:ascii="Times New Roman" w:hAnsi="Times New Roman" w:eastAsia="宋体" w:cs="Times New Roman"/>
                <w:sz w:val="20"/>
                <w:lang w:val="en-US" w:eastAsia="zh-CN"/>
              </w:rPr>
              <w:t xml:space="preserve"> </w:t>
            </w:r>
            <w:r>
              <w:rPr>
                <w:rFonts w:hint="default" w:ascii="Times New Roman" w:hAnsi="Times New Roman" w:cs="Times New Roman"/>
                <w:sz w:val="20"/>
                <w:lang w:val="en-US" w:eastAsia="zh-CN"/>
              </w:rPr>
              <w:t>table 7.6.3-4</w:t>
            </w:r>
            <w:r>
              <w:rPr>
                <w:rFonts w:hint="default" w:ascii="Times New Roman" w:hAnsi="Times New Roman" w:eastAsia="宋体" w:cs="Times New Roman"/>
                <w:sz w:val="2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9" w:type="pct"/>
            <w:tcBorders>
              <w:bottom w:val="single" w:color="auto" w:sz="4" w:space="0"/>
            </w:tcBorders>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hint="default" w:ascii="Times New Roman" w:hAnsi="Times New Roman" w:eastAsia="MS Mincho" w:cs="Times New Roman"/>
                <w:sz w:val="20"/>
              </w:rPr>
            </w:pPr>
            <w:r>
              <w:rPr>
                <w:rFonts w:hint="default" w:ascii="Times New Roman" w:hAnsi="Times New Roman" w:eastAsia="MS Mincho" w:cs="Times New Roman"/>
                <w:sz w:val="20"/>
              </w:rPr>
              <w:t>5.4</w:t>
            </w:r>
          </w:p>
        </w:tc>
        <w:tc>
          <w:tcPr>
            <w:tcW w:w="1734" w:type="pct"/>
            <w:tcBorders>
              <w:bottom w:val="single" w:color="auto" w:sz="4" w:space="0"/>
            </w:tcBorders>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eastAsia="MS Mincho" w:cs="Times New Roman"/>
                <w:sz w:val="20"/>
              </w:rPr>
            </w:pPr>
            <w:r>
              <w:rPr>
                <w:rFonts w:hint="default" w:ascii="Times New Roman" w:hAnsi="Times New Roman" w:eastAsia="MS Mincho" w:cs="Times New Roman"/>
                <w:sz w:val="20"/>
              </w:rPr>
              <w:t>ACS</w:t>
            </w:r>
          </w:p>
        </w:tc>
        <w:tc>
          <w:tcPr>
            <w:tcW w:w="1443" w:type="pct"/>
            <w:tcBorders>
              <w:bottom w:val="single" w:color="auto" w:sz="4" w:space="0"/>
            </w:tcBorders>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42dB</w:t>
            </w:r>
          </w:p>
        </w:tc>
        <w:tc>
          <w:tcPr>
            <w:tcW w:w="1442" w:type="pct"/>
            <w:tcBorders>
              <w:bottom w:val="single" w:color="auto" w:sz="4" w:space="0"/>
            </w:tcBorders>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32dB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9" w:type="pct"/>
            <w:tcBorders>
              <w:bottom w:val="single" w:color="auto" w:sz="4" w:space="0"/>
            </w:tcBorders>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hint="default" w:ascii="Times New Roman" w:hAnsi="Times New Roman" w:eastAsia="MS Mincho" w:cs="Times New Roman"/>
                <w:sz w:val="20"/>
              </w:rPr>
            </w:pPr>
            <w:r>
              <w:rPr>
                <w:rFonts w:hint="default" w:ascii="Times New Roman" w:hAnsi="Times New Roman" w:eastAsia="MS Mincho" w:cs="Times New Roman"/>
                <w:sz w:val="20"/>
              </w:rPr>
              <w:t>5.5</w:t>
            </w:r>
          </w:p>
        </w:tc>
        <w:tc>
          <w:tcPr>
            <w:tcW w:w="1734" w:type="pct"/>
            <w:tcBorders>
              <w:bottom w:val="single" w:color="auto" w:sz="4" w:space="0"/>
            </w:tcBorders>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eastAsia="MS Mincho" w:cs="Times New Roman"/>
                <w:sz w:val="20"/>
              </w:rPr>
            </w:pPr>
            <w:r>
              <w:rPr>
                <w:rFonts w:hint="default" w:ascii="Times New Roman" w:hAnsi="Times New Roman" w:eastAsia="MS Mincho" w:cs="Times New Roman"/>
                <w:sz w:val="20"/>
              </w:rPr>
              <w:t>SINR operating range (dB)</w:t>
            </w:r>
          </w:p>
        </w:tc>
        <w:tc>
          <w:tcPr>
            <w:tcW w:w="2885" w:type="pct"/>
            <w:gridSpan w:val="2"/>
            <w:tcBorders>
              <w:bottom w:val="single" w:color="auto" w:sz="4" w:space="0"/>
            </w:tcBorders>
            <w:vAlign w:val="center"/>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As below</w:t>
            </w:r>
          </w:p>
        </w:tc>
      </w:tr>
    </w:tbl>
    <w:p>
      <w:pPr>
        <w:numPr>
          <w:ilvl w:val="0"/>
          <w:numId w:val="0"/>
        </w:numPr>
        <w:spacing w:after="180"/>
        <w:ind w:leftChars="0"/>
        <w:rPr>
          <w:rFonts w:hint="default" w:ascii="Times New Roman" w:hAnsi="Times New Roman" w:cs="Times New Roman"/>
          <w:b/>
          <w:bCs/>
          <w:sz w:val="20"/>
          <w:szCs w:val="20"/>
          <w:lang w:val="en-US" w:eastAsia="zh-CN"/>
        </w:rPr>
      </w:pPr>
    </w:p>
    <w:p>
      <w:pPr>
        <w:numPr>
          <w:ilvl w:val="0"/>
          <w:numId w:val="0"/>
        </w:numPr>
        <w:spacing w:after="180"/>
        <w:ind w:leftChars="0"/>
        <w:rPr>
          <w:rFonts w:hint="default"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Proposal 3: the legacy sub-array antenna modeling in TR 38.803 is still applicable for the frequency range 7125-8400MHz.</w:t>
      </w:r>
    </w:p>
    <w:p>
      <w:pPr>
        <w:keepNext/>
        <w:keepLines/>
        <w:widowControl/>
        <w:pBdr>
          <w:top w:val="single" w:color="auto" w:sz="12" w:space="1"/>
        </w:pBdr>
        <w:tabs>
          <w:tab w:val="left" w:pos="567"/>
        </w:tabs>
        <w:adjustRightInd w:val="0"/>
        <w:spacing w:before="240" w:after="180"/>
        <w:ind w:left="510" w:hanging="510"/>
        <w:outlineLvl w:val="0"/>
        <w:rPr>
          <w:rFonts w:ascii="Calibri" w:hAnsi="Calibri" w:eastAsiaTheme="minorEastAsia" w:cstheme="minorBidi"/>
          <w:sz w:val="32"/>
          <w:szCs w:val="36"/>
        </w:rPr>
      </w:pPr>
      <w:r>
        <w:rPr>
          <w:rFonts w:ascii="Arial" w:hAnsi="Arial" w:eastAsiaTheme="minorEastAsia" w:cstheme="minorBidi"/>
          <w:sz w:val="32"/>
          <w:szCs w:val="36"/>
        </w:rPr>
        <w:t>4. Reference</w:t>
      </w:r>
    </w:p>
    <w:p>
      <w:pPr>
        <w:numPr>
          <w:ilvl w:val="0"/>
          <w:numId w:val="5"/>
        </w:numPr>
        <w:tabs>
          <w:tab w:val="right" w:pos="10440"/>
          <w:tab w:val="right" w:pos="13323"/>
        </w:tabs>
        <w:spacing w:after="0"/>
        <w:jc w:val="left"/>
        <w:rPr>
          <w:rFonts w:hint="default" w:ascii="Times New Roman" w:hAnsi="Times New Roman" w:eastAsia="宋体"/>
          <w:sz w:val="20"/>
          <w:szCs w:val="20"/>
          <w:lang w:val="en-US" w:eastAsia="zh-CN"/>
        </w:rPr>
      </w:pPr>
      <w:r>
        <w:rPr>
          <w:rFonts w:hint="default" w:ascii="Times New Roman" w:hAnsi="Times New Roman" w:cs="Times New Roman"/>
          <w:sz w:val="20"/>
          <w:szCs w:val="20"/>
          <w:highlight w:val="none"/>
        </w:rPr>
        <w:t>R</w:t>
      </w:r>
      <w:r>
        <w:rPr>
          <w:rFonts w:hint="eastAsia" w:ascii="Times New Roman" w:hAnsi="Times New Roman" w:cs="Times New Roman"/>
          <w:sz w:val="20"/>
          <w:szCs w:val="20"/>
          <w:highlight w:val="none"/>
          <w:lang w:val="en-US" w:eastAsia="zh-CN"/>
        </w:rPr>
        <w:t>4</w:t>
      </w:r>
      <w:r>
        <w:rPr>
          <w:rFonts w:hint="default" w:ascii="Times New Roman" w:hAnsi="Times New Roman" w:cs="Times New Roman"/>
          <w:sz w:val="20"/>
          <w:szCs w:val="20"/>
          <w:highlight w:val="none"/>
        </w:rPr>
        <w:t>-</w:t>
      </w:r>
      <w:r>
        <w:rPr>
          <w:rFonts w:hint="eastAsia" w:ascii="Times New Roman" w:hAnsi="Times New Roman" w:cs="Times New Roman"/>
          <w:sz w:val="20"/>
          <w:szCs w:val="20"/>
          <w:highlight w:val="none"/>
          <w:lang w:val="en-US" w:eastAsia="zh-CN"/>
        </w:rPr>
        <w:t>2400333</w:t>
      </w:r>
      <w:r>
        <w:rPr>
          <w:rFonts w:hint="default" w:ascii="Times New Roman" w:hAnsi="Times New Roman" w:cs="Times New Roman"/>
          <w:sz w:val="20"/>
          <w:szCs w:val="20"/>
          <w:highlight w:val="none"/>
        </w:rPr>
        <w:t>,</w:t>
      </w:r>
      <w:r>
        <w:rPr>
          <w:rFonts w:hint="eastAsia" w:ascii="Times New Roman" w:hAnsi="Times New Roman" w:cs="Times New Roman"/>
          <w:sz w:val="20"/>
          <w:szCs w:val="20"/>
          <w:highlight w:val="none"/>
          <w:lang w:val="en-US" w:eastAsia="zh-CN"/>
        </w:rPr>
        <w:t xml:space="preserve"> Parameters of terrestrial component of IMT for sharing and compatibility studies in the frequency bands 4 400-4 800 MHz, 7 125-8 400 MHz and 14.8-15.35 GHz</w:t>
      </w:r>
      <w:r>
        <w:rPr>
          <w:rFonts w:hint="default" w:ascii="Times New Roman" w:hAnsi="Times New Roman" w:cs="Times New Roman"/>
          <w:sz w:val="20"/>
          <w:szCs w:val="20"/>
          <w:highlight w:val="none"/>
        </w:rPr>
        <w:t>, ITU-R Working Party 5D.</w:t>
      </w:r>
    </w:p>
    <w:p>
      <w:pPr>
        <w:numPr>
          <w:ilvl w:val="0"/>
          <w:numId w:val="5"/>
        </w:numPr>
        <w:tabs>
          <w:tab w:val="right" w:pos="10440"/>
          <w:tab w:val="right" w:pos="13323"/>
        </w:tabs>
        <w:spacing w:after="0"/>
        <w:jc w:val="left"/>
        <w:rPr>
          <w:rFonts w:hint="default" w:ascii="Times New Roman" w:hAnsi="Times New Roman" w:eastAsia="宋体"/>
          <w:sz w:val="20"/>
          <w:szCs w:val="20"/>
          <w:lang w:val="en-US" w:eastAsia="zh-CN"/>
        </w:rPr>
      </w:pPr>
      <w:r>
        <w:rPr>
          <w:rFonts w:hint="eastAsia" w:ascii="Times New Roman" w:hAnsi="Times New Roman" w:cs="Times New Roman"/>
          <w:b w:val="0"/>
          <w:bCs w:val="0"/>
          <w:sz w:val="20"/>
          <w:szCs w:val="20"/>
          <w:lang w:val="en-US" w:eastAsia="zh-CN"/>
        </w:rPr>
        <w:t>R4-2403653, LS on Parameters of terrestrial component of IMT for sharing and compatibility studies in the frequency bands 4 400-4 800 MHz, 7 125-8 400 MHz and 14.8-15.35 GHz, Ericsson</w:t>
      </w: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auto"/>
    <w:pitch w:val="default"/>
    <w:sig w:usb0="FFFFFFFF" w:usb1="E9FFFFFF" w:usb2="0000003F" w:usb3="00000000" w:csb0="603F01FF" w:csb1="FFFF0000"/>
  </w:font>
  <w:font w:name="MS Mincho">
    <w:panose1 w:val="02020609040205080304"/>
    <w:charset w:val="80"/>
    <w:family w:val="modern"/>
    <w:pitch w:val="default"/>
    <w:sig w:usb0="A00002BF" w:usb1="68C7FCFB" w:usb2="00000010" w:usb3="00000000" w:csb0="4002009F" w:csb1="DFD70000"/>
  </w:font>
  <w:font w:name="New York">
    <w:altName w:val="DejaVu Math TeX Gyre"/>
    <w:panose1 w:val="02040503060506020304"/>
    <w:charset w:val="00"/>
    <w:family w:val="roman"/>
    <w:pitch w:val="default"/>
    <w:sig w:usb0="00000000" w:usb1="00000000" w:usb2="00000000" w:usb3="00000000" w:csb0="00000001" w:csb1="00000000"/>
  </w:font>
  <w:font w:name="Yu Mincho">
    <w:altName w:val="MS Gothic"/>
    <w:panose1 w:val="00000000000000000000"/>
    <w:charset w:val="80"/>
    <w:family w:val="roma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Cambria Math">
    <w:panose1 w:val="02040503050406030204"/>
    <w:charset w:val="00"/>
    <w:family w:val="roman"/>
    <w:pitch w:val="default"/>
    <w:sig w:usb0="E00006FF" w:usb1="420024FF" w:usb2="0200000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44EE66C"/>
    <w:multiLevelType w:val="multilevel"/>
    <w:tmpl w:val="044EE66C"/>
    <w:lvl w:ilvl="0" w:tentative="0">
      <w:start w:val="2"/>
      <w:numFmt w:val="decimal"/>
      <w:suff w:val="space"/>
      <w:lvlText w:val="%1."/>
      <w:lvlJc w:val="left"/>
    </w:lvl>
    <w:lvl w:ilvl="1" w:tentative="0">
      <w:start w:val="1"/>
      <w:numFmt w:val="decimal"/>
      <w:suff w:val="space"/>
      <w:lvlText w:val="%1.%2"/>
      <w:lvlJc w:val="left"/>
      <w:pPr>
        <w:ind w:left="42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2">
    <w:nsid w:val="05759DDB"/>
    <w:multiLevelType w:val="singleLevel"/>
    <w:tmpl w:val="05759DDB"/>
    <w:lvl w:ilvl="0" w:tentative="0">
      <w:start w:val="1"/>
      <w:numFmt w:val="bullet"/>
      <w:lvlText w:val=""/>
      <w:lvlJc w:val="left"/>
      <w:pPr>
        <w:ind w:left="420" w:hanging="420"/>
      </w:pPr>
      <w:rPr>
        <w:rFonts w:hint="default" w:ascii="Wingdings" w:hAnsi="Wingdings"/>
      </w:rPr>
    </w:lvl>
  </w:abstractNum>
  <w:abstractNum w:abstractNumId="3">
    <w:nsid w:val="20D3FB4B"/>
    <w:multiLevelType w:val="multilevel"/>
    <w:tmpl w:val="20D3FB4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ambria"/>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ambria"/>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ambria"/>
      </w:rPr>
    </w:lvl>
    <w:lvl w:ilvl="8" w:tentative="0">
      <w:start w:val="1"/>
      <w:numFmt w:val="bullet"/>
      <w:lvlText w:val=""/>
      <w:lvlJc w:val="left"/>
      <w:pPr>
        <w:ind w:left="6480" w:hanging="360"/>
      </w:pPr>
      <w:rPr>
        <w:rFonts w:hint="default" w:ascii="Wingdings" w:hAnsi="Wingdings"/>
      </w:rPr>
    </w:lvl>
  </w:abstractNum>
  <w:abstractNum w:abstractNumId="4">
    <w:nsid w:val="39A1A71E"/>
    <w:multiLevelType w:val="multilevel"/>
    <w:tmpl w:val="39A1A71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ambria"/>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ambria"/>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ambria"/>
      </w:rPr>
    </w:lvl>
    <w:lvl w:ilvl="8" w:tentative="0">
      <w:start w:val="1"/>
      <w:numFmt w:val="bullet"/>
      <w:lvlText w:val=""/>
      <w:lvlJc w:val="left"/>
      <w:pPr>
        <w:ind w:left="6480" w:hanging="360"/>
      </w:pPr>
      <w:rPr>
        <w:rFonts w:hint="default" w:ascii="Wingdings" w:hAnsi="Wingdings"/>
      </w:r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927"/>
    <w:rsid w:val="00012C96"/>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334A"/>
    <w:rsid w:val="00034492"/>
    <w:rsid w:val="00035DA1"/>
    <w:rsid w:val="000367A0"/>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47BA"/>
    <w:rsid w:val="0005511F"/>
    <w:rsid w:val="0005591D"/>
    <w:rsid w:val="00055B1F"/>
    <w:rsid w:val="00057657"/>
    <w:rsid w:val="00057B7E"/>
    <w:rsid w:val="000606D3"/>
    <w:rsid w:val="00062456"/>
    <w:rsid w:val="00065984"/>
    <w:rsid w:val="000660F4"/>
    <w:rsid w:val="0006714C"/>
    <w:rsid w:val="00067233"/>
    <w:rsid w:val="00067A9F"/>
    <w:rsid w:val="00070B68"/>
    <w:rsid w:val="00070E60"/>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B9F"/>
    <w:rsid w:val="00087747"/>
    <w:rsid w:val="00087810"/>
    <w:rsid w:val="00087A2B"/>
    <w:rsid w:val="000902B5"/>
    <w:rsid w:val="00090A5D"/>
    <w:rsid w:val="000915BB"/>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C0"/>
    <w:rsid w:val="000D5BDD"/>
    <w:rsid w:val="000D630F"/>
    <w:rsid w:val="000D633B"/>
    <w:rsid w:val="000D6A04"/>
    <w:rsid w:val="000D6FD9"/>
    <w:rsid w:val="000E001B"/>
    <w:rsid w:val="000E0496"/>
    <w:rsid w:val="000E09ED"/>
    <w:rsid w:val="000E25FF"/>
    <w:rsid w:val="000E348C"/>
    <w:rsid w:val="000E3ACD"/>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3CED"/>
    <w:rsid w:val="001741D3"/>
    <w:rsid w:val="00176F93"/>
    <w:rsid w:val="001775D3"/>
    <w:rsid w:val="00177F4C"/>
    <w:rsid w:val="00180138"/>
    <w:rsid w:val="00180913"/>
    <w:rsid w:val="00181052"/>
    <w:rsid w:val="00182088"/>
    <w:rsid w:val="00182911"/>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4BE"/>
    <w:rsid w:val="001A08E2"/>
    <w:rsid w:val="001A22BD"/>
    <w:rsid w:val="001A3034"/>
    <w:rsid w:val="001A32E3"/>
    <w:rsid w:val="001A43E9"/>
    <w:rsid w:val="001A4EEC"/>
    <w:rsid w:val="001A59A4"/>
    <w:rsid w:val="001A63AE"/>
    <w:rsid w:val="001A7F9A"/>
    <w:rsid w:val="001B0FF3"/>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31E0"/>
    <w:rsid w:val="00213A14"/>
    <w:rsid w:val="00214B90"/>
    <w:rsid w:val="00214D42"/>
    <w:rsid w:val="00215703"/>
    <w:rsid w:val="002159B3"/>
    <w:rsid w:val="00217A20"/>
    <w:rsid w:val="002210C0"/>
    <w:rsid w:val="002211D8"/>
    <w:rsid w:val="00221F31"/>
    <w:rsid w:val="00222116"/>
    <w:rsid w:val="00222860"/>
    <w:rsid w:val="00222A08"/>
    <w:rsid w:val="0022300D"/>
    <w:rsid w:val="00223A14"/>
    <w:rsid w:val="00224C40"/>
    <w:rsid w:val="00224E27"/>
    <w:rsid w:val="00226915"/>
    <w:rsid w:val="002314FD"/>
    <w:rsid w:val="002333B8"/>
    <w:rsid w:val="00233587"/>
    <w:rsid w:val="0023392F"/>
    <w:rsid w:val="00233B01"/>
    <w:rsid w:val="00234010"/>
    <w:rsid w:val="00235FEF"/>
    <w:rsid w:val="002361BE"/>
    <w:rsid w:val="0023622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4E9"/>
    <w:rsid w:val="00256E91"/>
    <w:rsid w:val="00257CD7"/>
    <w:rsid w:val="002628DD"/>
    <w:rsid w:val="00262B4C"/>
    <w:rsid w:val="002630BE"/>
    <w:rsid w:val="00263E14"/>
    <w:rsid w:val="0026417D"/>
    <w:rsid w:val="002643F2"/>
    <w:rsid w:val="0026484A"/>
    <w:rsid w:val="00264A81"/>
    <w:rsid w:val="00265211"/>
    <w:rsid w:val="00266120"/>
    <w:rsid w:val="0026774E"/>
    <w:rsid w:val="00270E88"/>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22BF"/>
    <w:rsid w:val="00292FC0"/>
    <w:rsid w:val="002932E6"/>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4583"/>
    <w:rsid w:val="002C4601"/>
    <w:rsid w:val="002C59C0"/>
    <w:rsid w:val="002C6A8B"/>
    <w:rsid w:val="002C6F34"/>
    <w:rsid w:val="002D009B"/>
    <w:rsid w:val="002D12B5"/>
    <w:rsid w:val="002D2108"/>
    <w:rsid w:val="002D2388"/>
    <w:rsid w:val="002D289B"/>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41FD"/>
    <w:rsid w:val="00374AF0"/>
    <w:rsid w:val="00375D11"/>
    <w:rsid w:val="00376121"/>
    <w:rsid w:val="003779F7"/>
    <w:rsid w:val="00377AB0"/>
    <w:rsid w:val="003805A0"/>
    <w:rsid w:val="003820B9"/>
    <w:rsid w:val="00382D05"/>
    <w:rsid w:val="00383660"/>
    <w:rsid w:val="003836CF"/>
    <w:rsid w:val="00383798"/>
    <w:rsid w:val="00384DEC"/>
    <w:rsid w:val="00387DE0"/>
    <w:rsid w:val="0039099D"/>
    <w:rsid w:val="003916B5"/>
    <w:rsid w:val="00392BAD"/>
    <w:rsid w:val="00392D98"/>
    <w:rsid w:val="003934F2"/>
    <w:rsid w:val="00394CDD"/>
    <w:rsid w:val="00395100"/>
    <w:rsid w:val="00395B8C"/>
    <w:rsid w:val="00396258"/>
    <w:rsid w:val="00396D76"/>
    <w:rsid w:val="003971FA"/>
    <w:rsid w:val="00397BAF"/>
    <w:rsid w:val="003A07B8"/>
    <w:rsid w:val="003A1D04"/>
    <w:rsid w:val="003A2130"/>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24C4"/>
    <w:rsid w:val="003C261C"/>
    <w:rsid w:val="003C27C4"/>
    <w:rsid w:val="003C28A5"/>
    <w:rsid w:val="003C2F55"/>
    <w:rsid w:val="003C347D"/>
    <w:rsid w:val="003C39A7"/>
    <w:rsid w:val="003C466D"/>
    <w:rsid w:val="003C57A7"/>
    <w:rsid w:val="003C6757"/>
    <w:rsid w:val="003C6A82"/>
    <w:rsid w:val="003C7A12"/>
    <w:rsid w:val="003C7B4D"/>
    <w:rsid w:val="003D2ADD"/>
    <w:rsid w:val="003D38C7"/>
    <w:rsid w:val="003D3A57"/>
    <w:rsid w:val="003D3A7F"/>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7F29"/>
    <w:rsid w:val="004017E5"/>
    <w:rsid w:val="00403E79"/>
    <w:rsid w:val="0040406D"/>
    <w:rsid w:val="00405536"/>
    <w:rsid w:val="004100DE"/>
    <w:rsid w:val="00410B17"/>
    <w:rsid w:val="004111A1"/>
    <w:rsid w:val="004119D3"/>
    <w:rsid w:val="00411B75"/>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307A"/>
    <w:rsid w:val="00434694"/>
    <w:rsid w:val="00434E36"/>
    <w:rsid w:val="004354E1"/>
    <w:rsid w:val="00437BD1"/>
    <w:rsid w:val="00440184"/>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E88"/>
    <w:rsid w:val="00461F16"/>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330"/>
    <w:rsid w:val="004B2E50"/>
    <w:rsid w:val="004B312E"/>
    <w:rsid w:val="004B3ACD"/>
    <w:rsid w:val="004B4E16"/>
    <w:rsid w:val="004B6C9D"/>
    <w:rsid w:val="004B7ECF"/>
    <w:rsid w:val="004C0275"/>
    <w:rsid w:val="004C046C"/>
    <w:rsid w:val="004C04CB"/>
    <w:rsid w:val="004C0923"/>
    <w:rsid w:val="004C2071"/>
    <w:rsid w:val="004C2097"/>
    <w:rsid w:val="004C27F1"/>
    <w:rsid w:val="004C4033"/>
    <w:rsid w:val="004D1EF3"/>
    <w:rsid w:val="004D4695"/>
    <w:rsid w:val="004D48AD"/>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73"/>
    <w:rsid w:val="004E45D9"/>
    <w:rsid w:val="004E4CFA"/>
    <w:rsid w:val="004E6011"/>
    <w:rsid w:val="004E613C"/>
    <w:rsid w:val="004E64DB"/>
    <w:rsid w:val="004E6B5E"/>
    <w:rsid w:val="004E7582"/>
    <w:rsid w:val="004E7B3E"/>
    <w:rsid w:val="004F0B06"/>
    <w:rsid w:val="004F0FC0"/>
    <w:rsid w:val="004F125E"/>
    <w:rsid w:val="004F5464"/>
    <w:rsid w:val="004F5F34"/>
    <w:rsid w:val="004F5F6B"/>
    <w:rsid w:val="005008DD"/>
    <w:rsid w:val="00500DD8"/>
    <w:rsid w:val="00503695"/>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507CB"/>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51D7"/>
    <w:rsid w:val="00566223"/>
    <w:rsid w:val="00566A9F"/>
    <w:rsid w:val="00567DF7"/>
    <w:rsid w:val="00567E02"/>
    <w:rsid w:val="005722FC"/>
    <w:rsid w:val="00572CC7"/>
    <w:rsid w:val="005764B2"/>
    <w:rsid w:val="00576DA2"/>
    <w:rsid w:val="0057796C"/>
    <w:rsid w:val="0058053B"/>
    <w:rsid w:val="00580670"/>
    <w:rsid w:val="0058142F"/>
    <w:rsid w:val="005815B1"/>
    <w:rsid w:val="005826E8"/>
    <w:rsid w:val="00582FB6"/>
    <w:rsid w:val="00583A1F"/>
    <w:rsid w:val="0058515D"/>
    <w:rsid w:val="0058676E"/>
    <w:rsid w:val="005874D8"/>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A79"/>
    <w:rsid w:val="005B5B4F"/>
    <w:rsid w:val="005B7524"/>
    <w:rsid w:val="005B7DE2"/>
    <w:rsid w:val="005C0DC7"/>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41CA"/>
    <w:rsid w:val="00695570"/>
    <w:rsid w:val="0069575E"/>
    <w:rsid w:val="00695DA0"/>
    <w:rsid w:val="00695DDB"/>
    <w:rsid w:val="00696996"/>
    <w:rsid w:val="006A0117"/>
    <w:rsid w:val="006A0A07"/>
    <w:rsid w:val="006A0D75"/>
    <w:rsid w:val="006A2E24"/>
    <w:rsid w:val="006A571E"/>
    <w:rsid w:val="006A57EA"/>
    <w:rsid w:val="006A6B04"/>
    <w:rsid w:val="006A750A"/>
    <w:rsid w:val="006A7954"/>
    <w:rsid w:val="006A7EBB"/>
    <w:rsid w:val="006B014E"/>
    <w:rsid w:val="006B039D"/>
    <w:rsid w:val="006B06CA"/>
    <w:rsid w:val="006B0BB5"/>
    <w:rsid w:val="006B0C19"/>
    <w:rsid w:val="006B101D"/>
    <w:rsid w:val="006B1D20"/>
    <w:rsid w:val="006B4AD6"/>
    <w:rsid w:val="006B4B3C"/>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21D8"/>
    <w:rsid w:val="00702A9F"/>
    <w:rsid w:val="007032BB"/>
    <w:rsid w:val="00704004"/>
    <w:rsid w:val="007048D3"/>
    <w:rsid w:val="007069AC"/>
    <w:rsid w:val="00710904"/>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2317"/>
    <w:rsid w:val="007230FF"/>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5322"/>
    <w:rsid w:val="007A6BD0"/>
    <w:rsid w:val="007A6CF2"/>
    <w:rsid w:val="007A7156"/>
    <w:rsid w:val="007A73CF"/>
    <w:rsid w:val="007A7617"/>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3AD6"/>
    <w:rsid w:val="007E43BA"/>
    <w:rsid w:val="007E44CC"/>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3032"/>
    <w:rsid w:val="008037BF"/>
    <w:rsid w:val="00803DC4"/>
    <w:rsid w:val="00804ED9"/>
    <w:rsid w:val="0080605A"/>
    <w:rsid w:val="0080629B"/>
    <w:rsid w:val="00806730"/>
    <w:rsid w:val="00807677"/>
    <w:rsid w:val="00807DA0"/>
    <w:rsid w:val="008103EA"/>
    <w:rsid w:val="00810598"/>
    <w:rsid w:val="00812A06"/>
    <w:rsid w:val="00812AC5"/>
    <w:rsid w:val="00812D5B"/>
    <w:rsid w:val="00813619"/>
    <w:rsid w:val="00813834"/>
    <w:rsid w:val="00814CD5"/>
    <w:rsid w:val="0081515D"/>
    <w:rsid w:val="0081591F"/>
    <w:rsid w:val="00817449"/>
    <w:rsid w:val="008179E7"/>
    <w:rsid w:val="00817B5D"/>
    <w:rsid w:val="00817F8C"/>
    <w:rsid w:val="00820630"/>
    <w:rsid w:val="00820CC2"/>
    <w:rsid w:val="008224E6"/>
    <w:rsid w:val="008227A6"/>
    <w:rsid w:val="00824080"/>
    <w:rsid w:val="00824152"/>
    <w:rsid w:val="00824A4D"/>
    <w:rsid w:val="00825207"/>
    <w:rsid w:val="00826711"/>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71B7"/>
    <w:rsid w:val="00850E66"/>
    <w:rsid w:val="008516F9"/>
    <w:rsid w:val="0085183E"/>
    <w:rsid w:val="00851F1C"/>
    <w:rsid w:val="00852499"/>
    <w:rsid w:val="00853050"/>
    <w:rsid w:val="0085332D"/>
    <w:rsid w:val="008545FE"/>
    <w:rsid w:val="00855019"/>
    <w:rsid w:val="00856F1E"/>
    <w:rsid w:val="00857600"/>
    <w:rsid w:val="008621C7"/>
    <w:rsid w:val="00862D36"/>
    <w:rsid w:val="00863171"/>
    <w:rsid w:val="00865DA4"/>
    <w:rsid w:val="0086612E"/>
    <w:rsid w:val="0086676B"/>
    <w:rsid w:val="00872F12"/>
    <w:rsid w:val="00873799"/>
    <w:rsid w:val="0087419F"/>
    <w:rsid w:val="00874CD1"/>
    <w:rsid w:val="00875A53"/>
    <w:rsid w:val="0087668A"/>
    <w:rsid w:val="00876BF1"/>
    <w:rsid w:val="00877494"/>
    <w:rsid w:val="00877612"/>
    <w:rsid w:val="0087762C"/>
    <w:rsid w:val="00880666"/>
    <w:rsid w:val="008811D7"/>
    <w:rsid w:val="0088218A"/>
    <w:rsid w:val="00884341"/>
    <w:rsid w:val="00884D26"/>
    <w:rsid w:val="008863A6"/>
    <w:rsid w:val="008863D9"/>
    <w:rsid w:val="0088712A"/>
    <w:rsid w:val="00887F82"/>
    <w:rsid w:val="008911A1"/>
    <w:rsid w:val="00891D3D"/>
    <w:rsid w:val="008937F8"/>
    <w:rsid w:val="008939BB"/>
    <w:rsid w:val="00893DD5"/>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53C"/>
    <w:rsid w:val="008B1F6A"/>
    <w:rsid w:val="008B317F"/>
    <w:rsid w:val="008B381B"/>
    <w:rsid w:val="008B4C84"/>
    <w:rsid w:val="008B590D"/>
    <w:rsid w:val="008B6ABF"/>
    <w:rsid w:val="008B7337"/>
    <w:rsid w:val="008B7D42"/>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9AD"/>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4CC"/>
    <w:rsid w:val="009547EC"/>
    <w:rsid w:val="009550A5"/>
    <w:rsid w:val="00955290"/>
    <w:rsid w:val="00955F0E"/>
    <w:rsid w:val="00956081"/>
    <w:rsid w:val="00956A92"/>
    <w:rsid w:val="0096160D"/>
    <w:rsid w:val="0096366C"/>
    <w:rsid w:val="009643C5"/>
    <w:rsid w:val="0096622C"/>
    <w:rsid w:val="00966C59"/>
    <w:rsid w:val="009676F8"/>
    <w:rsid w:val="009701D3"/>
    <w:rsid w:val="00970397"/>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B03A9"/>
    <w:rsid w:val="009B06DB"/>
    <w:rsid w:val="009B0F1D"/>
    <w:rsid w:val="009B17B0"/>
    <w:rsid w:val="009B1C54"/>
    <w:rsid w:val="009B1EA2"/>
    <w:rsid w:val="009B23D6"/>
    <w:rsid w:val="009B2847"/>
    <w:rsid w:val="009B293E"/>
    <w:rsid w:val="009B2ABD"/>
    <w:rsid w:val="009B496D"/>
    <w:rsid w:val="009B650A"/>
    <w:rsid w:val="009B7A85"/>
    <w:rsid w:val="009C04FD"/>
    <w:rsid w:val="009C107C"/>
    <w:rsid w:val="009C2060"/>
    <w:rsid w:val="009C3C78"/>
    <w:rsid w:val="009C51D0"/>
    <w:rsid w:val="009C550B"/>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43F"/>
    <w:rsid w:val="009F152E"/>
    <w:rsid w:val="009F1C22"/>
    <w:rsid w:val="009F1FCB"/>
    <w:rsid w:val="009F2894"/>
    <w:rsid w:val="009F3277"/>
    <w:rsid w:val="009F3F3B"/>
    <w:rsid w:val="009F414D"/>
    <w:rsid w:val="009F5C07"/>
    <w:rsid w:val="009F5C4A"/>
    <w:rsid w:val="009F649D"/>
    <w:rsid w:val="009F6F3E"/>
    <w:rsid w:val="009F7435"/>
    <w:rsid w:val="009F761F"/>
    <w:rsid w:val="009F7C13"/>
    <w:rsid w:val="00A01397"/>
    <w:rsid w:val="00A02067"/>
    <w:rsid w:val="00A0299A"/>
    <w:rsid w:val="00A04464"/>
    <w:rsid w:val="00A07772"/>
    <w:rsid w:val="00A07F01"/>
    <w:rsid w:val="00A104FF"/>
    <w:rsid w:val="00A106F7"/>
    <w:rsid w:val="00A10BFD"/>
    <w:rsid w:val="00A11224"/>
    <w:rsid w:val="00A11BF7"/>
    <w:rsid w:val="00A12F53"/>
    <w:rsid w:val="00A13062"/>
    <w:rsid w:val="00A13C9E"/>
    <w:rsid w:val="00A1407A"/>
    <w:rsid w:val="00A164D7"/>
    <w:rsid w:val="00A1660C"/>
    <w:rsid w:val="00A1685E"/>
    <w:rsid w:val="00A178D0"/>
    <w:rsid w:val="00A24C2D"/>
    <w:rsid w:val="00A24E75"/>
    <w:rsid w:val="00A24F28"/>
    <w:rsid w:val="00A25102"/>
    <w:rsid w:val="00A27728"/>
    <w:rsid w:val="00A27A2C"/>
    <w:rsid w:val="00A27A67"/>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71B7E"/>
    <w:rsid w:val="00A71E1F"/>
    <w:rsid w:val="00A7270F"/>
    <w:rsid w:val="00A727A4"/>
    <w:rsid w:val="00A73990"/>
    <w:rsid w:val="00A74469"/>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DAE"/>
    <w:rsid w:val="00A93FE7"/>
    <w:rsid w:val="00A94F0A"/>
    <w:rsid w:val="00A95C6E"/>
    <w:rsid w:val="00A95E18"/>
    <w:rsid w:val="00A96319"/>
    <w:rsid w:val="00A9632A"/>
    <w:rsid w:val="00A96555"/>
    <w:rsid w:val="00AA1108"/>
    <w:rsid w:val="00AA2A02"/>
    <w:rsid w:val="00AA307C"/>
    <w:rsid w:val="00AA3782"/>
    <w:rsid w:val="00AA3CEA"/>
    <w:rsid w:val="00AA5C3E"/>
    <w:rsid w:val="00AA6BF3"/>
    <w:rsid w:val="00AA727D"/>
    <w:rsid w:val="00AA7C27"/>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501"/>
    <w:rsid w:val="00B2755B"/>
    <w:rsid w:val="00B27909"/>
    <w:rsid w:val="00B27BE3"/>
    <w:rsid w:val="00B31EAB"/>
    <w:rsid w:val="00B35354"/>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55E"/>
    <w:rsid w:val="00B570C0"/>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C95"/>
    <w:rsid w:val="00BE3102"/>
    <w:rsid w:val="00BE6193"/>
    <w:rsid w:val="00BE69F2"/>
    <w:rsid w:val="00BE73A0"/>
    <w:rsid w:val="00BE746D"/>
    <w:rsid w:val="00BE79B7"/>
    <w:rsid w:val="00BF02B8"/>
    <w:rsid w:val="00BF03DC"/>
    <w:rsid w:val="00BF0FCB"/>
    <w:rsid w:val="00BF345A"/>
    <w:rsid w:val="00BF46E4"/>
    <w:rsid w:val="00BF5A85"/>
    <w:rsid w:val="00BF6796"/>
    <w:rsid w:val="00BF6D86"/>
    <w:rsid w:val="00BF718A"/>
    <w:rsid w:val="00BF7B74"/>
    <w:rsid w:val="00C00B46"/>
    <w:rsid w:val="00C01291"/>
    <w:rsid w:val="00C01B87"/>
    <w:rsid w:val="00C01F24"/>
    <w:rsid w:val="00C02428"/>
    <w:rsid w:val="00C030D7"/>
    <w:rsid w:val="00C034CE"/>
    <w:rsid w:val="00C03B4C"/>
    <w:rsid w:val="00C0421A"/>
    <w:rsid w:val="00C05033"/>
    <w:rsid w:val="00C05FF9"/>
    <w:rsid w:val="00C0617E"/>
    <w:rsid w:val="00C062FC"/>
    <w:rsid w:val="00C105FF"/>
    <w:rsid w:val="00C1061D"/>
    <w:rsid w:val="00C10797"/>
    <w:rsid w:val="00C10C29"/>
    <w:rsid w:val="00C14D53"/>
    <w:rsid w:val="00C15B2F"/>
    <w:rsid w:val="00C15D66"/>
    <w:rsid w:val="00C16AEC"/>
    <w:rsid w:val="00C17984"/>
    <w:rsid w:val="00C20161"/>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7A93"/>
    <w:rsid w:val="00C406DC"/>
    <w:rsid w:val="00C412C3"/>
    <w:rsid w:val="00C41873"/>
    <w:rsid w:val="00C418E8"/>
    <w:rsid w:val="00C42308"/>
    <w:rsid w:val="00C4295C"/>
    <w:rsid w:val="00C446D7"/>
    <w:rsid w:val="00C5059D"/>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3184"/>
    <w:rsid w:val="00C94732"/>
    <w:rsid w:val="00C968C3"/>
    <w:rsid w:val="00C9703D"/>
    <w:rsid w:val="00C970DC"/>
    <w:rsid w:val="00C97103"/>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547E"/>
    <w:rsid w:val="00CB6CF9"/>
    <w:rsid w:val="00CB6DD9"/>
    <w:rsid w:val="00CB7B20"/>
    <w:rsid w:val="00CB7C62"/>
    <w:rsid w:val="00CC0CB4"/>
    <w:rsid w:val="00CC200D"/>
    <w:rsid w:val="00CC3CEF"/>
    <w:rsid w:val="00CC4CA8"/>
    <w:rsid w:val="00CC4CD6"/>
    <w:rsid w:val="00CC4DFE"/>
    <w:rsid w:val="00CC5284"/>
    <w:rsid w:val="00CC5EAF"/>
    <w:rsid w:val="00CC6A79"/>
    <w:rsid w:val="00CC6FEB"/>
    <w:rsid w:val="00CC7F5B"/>
    <w:rsid w:val="00CD0DDF"/>
    <w:rsid w:val="00CD1906"/>
    <w:rsid w:val="00CD21C9"/>
    <w:rsid w:val="00CD2AB4"/>
    <w:rsid w:val="00CD381A"/>
    <w:rsid w:val="00CD5B89"/>
    <w:rsid w:val="00CD5BE2"/>
    <w:rsid w:val="00CD6A30"/>
    <w:rsid w:val="00CD6C68"/>
    <w:rsid w:val="00CD74B4"/>
    <w:rsid w:val="00CD7FEA"/>
    <w:rsid w:val="00CE4474"/>
    <w:rsid w:val="00CE5E70"/>
    <w:rsid w:val="00CE7379"/>
    <w:rsid w:val="00CF0EDF"/>
    <w:rsid w:val="00CF12B7"/>
    <w:rsid w:val="00CF3694"/>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737"/>
    <w:rsid w:val="00D26F79"/>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E79"/>
    <w:rsid w:val="00D4614A"/>
    <w:rsid w:val="00D47084"/>
    <w:rsid w:val="00D474C1"/>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67"/>
    <w:rsid w:val="00D87FD3"/>
    <w:rsid w:val="00D909D1"/>
    <w:rsid w:val="00D91899"/>
    <w:rsid w:val="00D92134"/>
    <w:rsid w:val="00D9319D"/>
    <w:rsid w:val="00D9334C"/>
    <w:rsid w:val="00D937BB"/>
    <w:rsid w:val="00D93E96"/>
    <w:rsid w:val="00D94FDF"/>
    <w:rsid w:val="00D955C1"/>
    <w:rsid w:val="00DA12BE"/>
    <w:rsid w:val="00DA1D05"/>
    <w:rsid w:val="00DA1FF3"/>
    <w:rsid w:val="00DA2367"/>
    <w:rsid w:val="00DA2791"/>
    <w:rsid w:val="00DA279D"/>
    <w:rsid w:val="00DA42B9"/>
    <w:rsid w:val="00DA4E23"/>
    <w:rsid w:val="00DA6320"/>
    <w:rsid w:val="00DA670D"/>
    <w:rsid w:val="00DA7FC8"/>
    <w:rsid w:val="00DB0112"/>
    <w:rsid w:val="00DB0148"/>
    <w:rsid w:val="00DB0FBC"/>
    <w:rsid w:val="00DB2EE7"/>
    <w:rsid w:val="00DB3D1A"/>
    <w:rsid w:val="00DB3E15"/>
    <w:rsid w:val="00DB4702"/>
    <w:rsid w:val="00DB50DC"/>
    <w:rsid w:val="00DB56B3"/>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658"/>
    <w:rsid w:val="00DE106C"/>
    <w:rsid w:val="00DE3F0D"/>
    <w:rsid w:val="00DE44D0"/>
    <w:rsid w:val="00DE5070"/>
    <w:rsid w:val="00DE5345"/>
    <w:rsid w:val="00DE610B"/>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1421"/>
    <w:rsid w:val="00E0452F"/>
    <w:rsid w:val="00E05302"/>
    <w:rsid w:val="00E0799A"/>
    <w:rsid w:val="00E1001F"/>
    <w:rsid w:val="00E10DA8"/>
    <w:rsid w:val="00E116FA"/>
    <w:rsid w:val="00E118C2"/>
    <w:rsid w:val="00E11E75"/>
    <w:rsid w:val="00E13FBB"/>
    <w:rsid w:val="00E15630"/>
    <w:rsid w:val="00E156E3"/>
    <w:rsid w:val="00E15854"/>
    <w:rsid w:val="00E17598"/>
    <w:rsid w:val="00E20149"/>
    <w:rsid w:val="00E217DA"/>
    <w:rsid w:val="00E22060"/>
    <w:rsid w:val="00E220BC"/>
    <w:rsid w:val="00E224CB"/>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D4D"/>
    <w:rsid w:val="00E51564"/>
    <w:rsid w:val="00E51B9F"/>
    <w:rsid w:val="00E5284E"/>
    <w:rsid w:val="00E549C1"/>
    <w:rsid w:val="00E555F4"/>
    <w:rsid w:val="00E5561E"/>
    <w:rsid w:val="00E568AD"/>
    <w:rsid w:val="00E603DC"/>
    <w:rsid w:val="00E60639"/>
    <w:rsid w:val="00E60651"/>
    <w:rsid w:val="00E60806"/>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BEA"/>
    <w:rsid w:val="00E93EF7"/>
    <w:rsid w:val="00E94174"/>
    <w:rsid w:val="00E95DE9"/>
    <w:rsid w:val="00E96141"/>
    <w:rsid w:val="00E96388"/>
    <w:rsid w:val="00E96623"/>
    <w:rsid w:val="00EA0371"/>
    <w:rsid w:val="00EA399C"/>
    <w:rsid w:val="00EA3E9D"/>
    <w:rsid w:val="00EA4DBD"/>
    <w:rsid w:val="00EA6E84"/>
    <w:rsid w:val="00EB15D3"/>
    <w:rsid w:val="00EB1BF8"/>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30FE"/>
    <w:rsid w:val="00F73144"/>
    <w:rsid w:val="00F75557"/>
    <w:rsid w:val="00F7558B"/>
    <w:rsid w:val="00F75BE9"/>
    <w:rsid w:val="00F80305"/>
    <w:rsid w:val="00F805A6"/>
    <w:rsid w:val="00F80D9A"/>
    <w:rsid w:val="00F81C46"/>
    <w:rsid w:val="00F8211A"/>
    <w:rsid w:val="00F8345F"/>
    <w:rsid w:val="00F83561"/>
    <w:rsid w:val="00F85587"/>
    <w:rsid w:val="00F85A4B"/>
    <w:rsid w:val="00F85A94"/>
    <w:rsid w:val="00F872D0"/>
    <w:rsid w:val="00F87ABB"/>
    <w:rsid w:val="00F87E82"/>
    <w:rsid w:val="00F87EC0"/>
    <w:rsid w:val="00F9056D"/>
    <w:rsid w:val="00F91174"/>
    <w:rsid w:val="00F9133B"/>
    <w:rsid w:val="00F92B7E"/>
    <w:rsid w:val="00F92D57"/>
    <w:rsid w:val="00F92DBD"/>
    <w:rsid w:val="00F94FD8"/>
    <w:rsid w:val="00F96C4E"/>
    <w:rsid w:val="00FA11B5"/>
    <w:rsid w:val="00FA2022"/>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13F5"/>
    <w:rsid w:val="00FC277D"/>
    <w:rsid w:val="00FC3D54"/>
    <w:rsid w:val="00FC41D7"/>
    <w:rsid w:val="00FC4A0B"/>
    <w:rsid w:val="00FC5481"/>
    <w:rsid w:val="00FC65E0"/>
    <w:rsid w:val="00FC694B"/>
    <w:rsid w:val="00FC6FDF"/>
    <w:rsid w:val="00FC70D2"/>
    <w:rsid w:val="00FC7384"/>
    <w:rsid w:val="00FC74EF"/>
    <w:rsid w:val="00FD0EC8"/>
    <w:rsid w:val="00FD139C"/>
    <w:rsid w:val="00FD2E6D"/>
    <w:rsid w:val="00FD2FFB"/>
    <w:rsid w:val="00FD319A"/>
    <w:rsid w:val="00FD3C10"/>
    <w:rsid w:val="00FD4236"/>
    <w:rsid w:val="00FD498D"/>
    <w:rsid w:val="00FD5B4B"/>
    <w:rsid w:val="00FD5CA0"/>
    <w:rsid w:val="00FD7062"/>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BD0368"/>
    <w:rsid w:val="01DE089D"/>
    <w:rsid w:val="020970CA"/>
    <w:rsid w:val="028E1852"/>
    <w:rsid w:val="02C81B1F"/>
    <w:rsid w:val="035967B1"/>
    <w:rsid w:val="035D4591"/>
    <w:rsid w:val="03631D1E"/>
    <w:rsid w:val="03E26584"/>
    <w:rsid w:val="04492C16"/>
    <w:rsid w:val="04A732AF"/>
    <w:rsid w:val="04B527F1"/>
    <w:rsid w:val="05026E46"/>
    <w:rsid w:val="053C405B"/>
    <w:rsid w:val="056F5AD7"/>
    <w:rsid w:val="059E10D1"/>
    <w:rsid w:val="05A012C8"/>
    <w:rsid w:val="05BF54F8"/>
    <w:rsid w:val="06305334"/>
    <w:rsid w:val="06434355"/>
    <w:rsid w:val="06CC0A35"/>
    <w:rsid w:val="0769686A"/>
    <w:rsid w:val="076E27BD"/>
    <w:rsid w:val="0770402F"/>
    <w:rsid w:val="078E5270"/>
    <w:rsid w:val="07B42F31"/>
    <w:rsid w:val="07CA6B66"/>
    <w:rsid w:val="07F15671"/>
    <w:rsid w:val="08200491"/>
    <w:rsid w:val="08425E71"/>
    <w:rsid w:val="085D3E3F"/>
    <w:rsid w:val="08973524"/>
    <w:rsid w:val="08A65D3D"/>
    <w:rsid w:val="0900762B"/>
    <w:rsid w:val="093E65CC"/>
    <w:rsid w:val="09626007"/>
    <w:rsid w:val="09993AB5"/>
    <w:rsid w:val="09F66D51"/>
    <w:rsid w:val="0A0219DF"/>
    <w:rsid w:val="0AA20101"/>
    <w:rsid w:val="0ABA1F25"/>
    <w:rsid w:val="0ADD2F10"/>
    <w:rsid w:val="0AE113D2"/>
    <w:rsid w:val="0AF67B8B"/>
    <w:rsid w:val="0B0758A7"/>
    <w:rsid w:val="0B1B4548"/>
    <w:rsid w:val="0BBF5056"/>
    <w:rsid w:val="0BC542EA"/>
    <w:rsid w:val="0BE65845"/>
    <w:rsid w:val="0BF0521B"/>
    <w:rsid w:val="0BF7455D"/>
    <w:rsid w:val="0BFE4B3A"/>
    <w:rsid w:val="0C296C83"/>
    <w:rsid w:val="0C8D3125"/>
    <w:rsid w:val="0D545798"/>
    <w:rsid w:val="0D624402"/>
    <w:rsid w:val="0D747B9F"/>
    <w:rsid w:val="0E037D57"/>
    <w:rsid w:val="0E1D4B35"/>
    <w:rsid w:val="0E5F68A3"/>
    <w:rsid w:val="0E7813A9"/>
    <w:rsid w:val="0EBD33B9"/>
    <w:rsid w:val="0EBE690E"/>
    <w:rsid w:val="0F1A117A"/>
    <w:rsid w:val="0F5116AE"/>
    <w:rsid w:val="0F596ABB"/>
    <w:rsid w:val="0F5F09C4"/>
    <w:rsid w:val="0F5F4247"/>
    <w:rsid w:val="0F6273CA"/>
    <w:rsid w:val="0F7D4B34"/>
    <w:rsid w:val="0FA367AC"/>
    <w:rsid w:val="0FC419ED"/>
    <w:rsid w:val="0FD9288C"/>
    <w:rsid w:val="0FEE6FAE"/>
    <w:rsid w:val="0FF20B73"/>
    <w:rsid w:val="10003991"/>
    <w:rsid w:val="100565B7"/>
    <w:rsid w:val="10254F0A"/>
    <w:rsid w:val="107B7E97"/>
    <w:rsid w:val="109C57D8"/>
    <w:rsid w:val="10D64689"/>
    <w:rsid w:val="10EF7E56"/>
    <w:rsid w:val="11321BC4"/>
    <w:rsid w:val="1155307D"/>
    <w:rsid w:val="117C38F8"/>
    <w:rsid w:val="117D6EEE"/>
    <w:rsid w:val="11B5219D"/>
    <w:rsid w:val="11DF67EB"/>
    <w:rsid w:val="122946DB"/>
    <w:rsid w:val="12750F57"/>
    <w:rsid w:val="12E83AF4"/>
    <w:rsid w:val="13771DFE"/>
    <w:rsid w:val="13F25EC4"/>
    <w:rsid w:val="14245767"/>
    <w:rsid w:val="145C23B3"/>
    <w:rsid w:val="149E7662"/>
    <w:rsid w:val="1508348E"/>
    <w:rsid w:val="15350710"/>
    <w:rsid w:val="155F416A"/>
    <w:rsid w:val="156354FD"/>
    <w:rsid w:val="156C0FB4"/>
    <w:rsid w:val="157A51BC"/>
    <w:rsid w:val="159557BE"/>
    <w:rsid w:val="15CD7D54"/>
    <w:rsid w:val="15D00CD9"/>
    <w:rsid w:val="15E450B5"/>
    <w:rsid w:val="16371982"/>
    <w:rsid w:val="163D388B"/>
    <w:rsid w:val="168B5B89"/>
    <w:rsid w:val="16C005E1"/>
    <w:rsid w:val="175862BF"/>
    <w:rsid w:val="17F263D4"/>
    <w:rsid w:val="17F52BDC"/>
    <w:rsid w:val="180D2D20"/>
    <w:rsid w:val="182249A5"/>
    <w:rsid w:val="18642373"/>
    <w:rsid w:val="18834ED9"/>
    <w:rsid w:val="18E26C79"/>
    <w:rsid w:val="18E55D68"/>
    <w:rsid w:val="18FE0AB6"/>
    <w:rsid w:val="19813C3F"/>
    <w:rsid w:val="19B263B5"/>
    <w:rsid w:val="19DF2D99"/>
    <w:rsid w:val="19EA686E"/>
    <w:rsid w:val="1A8670A6"/>
    <w:rsid w:val="1AB02A55"/>
    <w:rsid w:val="1AFD11C6"/>
    <w:rsid w:val="1B00542F"/>
    <w:rsid w:val="1B2F42F1"/>
    <w:rsid w:val="1B3F3E40"/>
    <w:rsid w:val="1B7C00B3"/>
    <w:rsid w:val="1B7C0EA4"/>
    <w:rsid w:val="1BF509C2"/>
    <w:rsid w:val="1BF95FEE"/>
    <w:rsid w:val="1C363B56"/>
    <w:rsid w:val="1C700838"/>
    <w:rsid w:val="1CE56278"/>
    <w:rsid w:val="1CFC261A"/>
    <w:rsid w:val="1CFF6E5D"/>
    <w:rsid w:val="1D0432AA"/>
    <w:rsid w:val="1D0A4412"/>
    <w:rsid w:val="1D0B38F8"/>
    <w:rsid w:val="1D1D5776"/>
    <w:rsid w:val="1D2753AE"/>
    <w:rsid w:val="1D3E218A"/>
    <w:rsid w:val="1D6D7456"/>
    <w:rsid w:val="1D7879E5"/>
    <w:rsid w:val="1D867707"/>
    <w:rsid w:val="1E3D0B9B"/>
    <w:rsid w:val="1E81151C"/>
    <w:rsid w:val="1E884DB6"/>
    <w:rsid w:val="1EFE1319"/>
    <w:rsid w:val="1F0D1045"/>
    <w:rsid w:val="1F1F489E"/>
    <w:rsid w:val="1F2F076D"/>
    <w:rsid w:val="1FFB17BC"/>
    <w:rsid w:val="201828B7"/>
    <w:rsid w:val="203D39F0"/>
    <w:rsid w:val="20817033"/>
    <w:rsid w:val="20990887"/>
    <w:rsid w:val="20E833A7"/>
    <w:rsid w:val="20EA2C10"/>
    <w:rsid w:val="216C01F4"/>
    <w:rsid w:val="219168A1"/>
    <w:rsid w:val="21B038D2"/>
    <w:rsid w:val="21D70408"/>
    <w:rsid w:val="21F531C2"/>
    <w:rsid w:val="221E7789"/>
    <w:rsid w:val="228B3B2E"/>
    <w:rsid w:val="22E84C54"/>
    <w:rsid w:val="235E2230"/>
    <w:rsid w:val="2370600B"/>
    <w:rsid w:val="23CA7445"/>
    <w:rsid w:val="241B0EB4"/>
    <w:rsid w:val="24513BF6"/>
    <w:rsid w:val="24683E4B"/>
    <w:rsid w:val="246C2851"/>
    <w:rsid w:val="24841763"/>
    <w:rsid w:val="2488042D"/>
    <w:rsid w:val="24896A55"/>
    <w:rsid w:val="24C36C6D"/>
    <w:rsid w:val="254E0ABD"/>
    <w:rsid w:val="25641764"/>
    <w:rsid w:val="258A21E5"/>
    <w:rsid w:val="25A10883"/>
    <w:rsid w:val="25D729E7"/>
    <w:rsid w:val="260F5480"/>
    <w:rsid w:val="26382DB8"/>
    <w:rsid w:val="265C4D5F"/>
    <w:rsid w:val="26644B8A"/>
    <w:rsid w:val="268A1547"/>
    <w:rsid w:val="268B3CAF"/>
    <w:rsid w:val="26A73075"/>
    <w:rsid w:val="26B2270B"/>
    <w:rsid w:val="26F853FE"/>
    <w:rsid w:val="274B1605"/>
    <w:rsid w:val="277D7855"/>
    <w:rsid w:val="278B3C06"/>
    <w:rsid w:val="27990C94"/>
    <w:rsid w:val="27E33F9B"/>
    <w:rsid w:val="27F23097"/>
    <w:rsid w:val="2805016B"/>
    <w:rsid w:val="286036CB"/>
    <w:rsid w:val="28AA4C8A"/>
    <w:rsid w:val="294A494E"/>
    <w:rsid w:val="29560760"/>
    <w:rsid w:val="2960326E"/>
    <w:rsid w:val="2975343F"/>
    <w:rsid w:val="29922597"/>
    <w:rsid w:val="29C71D19"/>
    <w:rsid w:val="2A144016"/>
    <w:rsid w:val="2A24682F"/>
    <w:rsid w:val="2A2C74BF"/>
    <w:rsid w:val="2A53737E"/>
    <w:rsid w:val="2A704730"/>
    <w:rsid w:val="2AC70C94"/>
    <w:rsid w:val="2AE354DA"/>
    <w:rsid w:val="2B1E47FB"/>
    <w:rsid w:val="2B2A3B5F"/>
    <w:rsid w:val="2C0547C6"/>
    <w:rsid w:val="2C380499"/>
    <w:rsid w:val="2C401128"/>
    <w:rsid w:val="2C7E06D0"/>
    <w:rsid w:val="2C8A2F49"/>
    <w:rsid w:val="2C9F3BCE"/>
    <w:rsid w:val="2CA64350"/>
    <w:rsid w:val="2D4D51B1"/>
    <w:rsid w:val="2D4D79AC"/>
    <w:rsid w:val="2DB7418D"/>
    <w:rsid w:val="2DD5373D"/>
    <w:rsid w:val="2DF80479"/>
    <w:rsid w:val="2E747DC3"/>
    <w:rsid w:val="2E9C0F87"/>
    <w:rsid w:val="2EB7077F"/>
    <w:rsid w:val="2EB8044F"/>
    <w:rsid w:val="2EC16B9C"/>
    <w:rsid w:val="2EDF426C"/>
    <w:rsid w:val="2EEC4E92"/>
    <w:rsid w:val="2F1A1856"/>
    <w:rsid w:val="2F1C0982"/>
    <w:rsid w:val="2F5B00C1"/>
    <w:rsid w:val="2F747966"/>
    <w:rsid w:val="2FCB6344"/>
    <w:rsid w:val="2FEC1523"/>
    <w:rsid w:val="3011145B"/>
    <w:rsid w:val="30524DF2"/>
    <w:rsid w:val="306B7868"/>
    <w:rsid w:val="3099089E"/>
    <w:rsid w:val="31432160"/>
    <w:rsid w:val="31490DA5"/>
    <w:rsid w:val="31570E00"/>
    <w:rsid w:val="315F5D75"/>
    <w:rsid w:val="31CA113F"/>
    <w:rsid w:val="31E91E87"/>
    <w:rsid w:val="3243059C"/>
    <w:rsid w:val="32697D44"/>
    <w:rsid w:val="326D0948"/>
    <w:rsid w:val="328A5CFA"/>
    <w:rsid w:val="32C835E0"/>
    <w:rsid w:val="32DF7982"/>
    <w:rsid w:val="331537CD"/>
    <w:rsid w:val="331E4E70"/>
    <w:rsid w:val="336E17F0"/>
    <w:rsid w:val="33E2230D"/>
    <w:rsid w:val="33FB26D9"/>
    <w:rsid w:val="34291F23"/>
    <w:rsid w:val="34413D46"/>
    <w:rsid w:val="344A45A5"/>
    <w:rsid w:val="345C5BF5"/>
    <w:rsid w:val="348103B3"/>
    <w:rsid w:val="353942DE"/>
    <w:rsid w:val="357C3ACE"/>
    <w:rsid w:val="35962F2D"/>
    <w:rsid w:val="35B629AE"/>
    <w:rsid w:val="35B71496"/>
    <w:rsid w:val="35B8262E"/>
    <w:rsid w:val="35CC12CF"/>
    <w:rsid w:val="35D319E6"/>
    <w:rsid w:val="35D72EE3"/>
    <w:rsid w:val="35E768F5"/>
    <w:rsid w:val="35F559C7"/>
    <w:rsid w:val="36075C31"/>
    <w:rsid w:val="36510879"/>
    <w:rsid w:val="37036DCD"/>
    <w:rsid w:val="372F46A7"/>
    <w:rsid w:val="37726C9D"/>
    <w:rsid w:val="379A1E22"/>
    <w:rsid w:val="37BD6848"/>
    <w:rsid w:val="37CC6816"/>
    <w:rsid w:val="37DE6907"/>
    <w:rsid w:val="37E810A7"/>
    <w:rsid w:val="380E1C87"/>
    <w:rsid w:val="38A9437C"/>
    <w:rsid w:val="38C2712E"/>
    <w:rsid w:val="38D16127"/>
    <w:rsid w:val="393C0FF6"/>
    <w:rsid w:val="39706EC7"/>
    <w:rsid w:val="39787B56"/>
    <w:rsid w:val="398E1CFA"/>
    <w:rsid w:val="39B62EBE"/>
    <w:rsid w:val="3A3F5379"/>
    <w:rsid w:val="3A436689"/>
    <w:rsid w:val="3A675260"/>
    <w:rsid w:val="3AAC45FF"/>
    <w:rsid w:val="3AC37B79"/>
    <w:rsid w:val="3AE070A1"/>
    <w:rsid w:val="3B1E2869"/>
    <w:rsid w:val="3B617677"/>
    <w:rsid w:val="3B757B5E"/>
    <w:rsid w:val="3BA65BED"/>
    <w:rsid w:val="3BDB4DC2"/>
    <w:rsid w:val="3C09240E"/>
    <w:rsid w:val="3C146221"/>
    <w:rsid w:val="3CC365B8"/>
    <w:rsid w:val="3CD51844"/>
    <w:rsid w:val="3CE979FE"/>
    <w:rsid w:val="3D014BA4"/>
    <w:rsid w:val="3D08452F"/>
    <w:rsid w:val="3D3675FD"/>
    <w:rsid w:val="3D5001A7"/>
    <w:rsid w:val="3D55441E"/>
    <w:rsid w:val="3D6B2F4F"/>
    <w:rsid w:val="3D713555"/>
    <w:rsid w:val="3D741DEE"/>
    <w:rsid w:val="3D85737C"/>
    <w:rsid w:val="3D9C3FFF"/>
    <w:rsid w:val="3DDE328E"/>
    <w:rsid w:val="3E0B0DB0"/>
    <w:rsid w:val="3E116F60"/>
    <w:rsid w:val="3E572F58"/>
    <w:rsid w:val="3E636D6A"/>
    <w:rsid w:val="3E872DEF"/>
    <w:rsid w:val="3E962A3C"/>
    <w:rsid w:val="3E9704BE"/>
    <w:rsid w:val="3F043070"/>
    <w:rsid w:val="3F1D2CEE"/>
    <w:rsid w:val="3F4D6968"/>
    <w:rsid w:val="3F8B424E"/>
    <w:rsid w:val="3F934EDE"/>
    <w:rsid w:val="3FCE6ABE"/>
    <w:rsid w:val="40130E98"/>
    <w:rsid w:val="401776B5"/>
    <w:rsid w:val="403501D5"/>
    <w:rsid w:val="40516596"/>
    <w:rsid w:val="407E4ADB"/>
    <w:rsid w:val="40B04E56"/>
    <w:rsid w:val="40C60753"/>
    <w:rsid w:val="40D24565"/>
    <w:rsid w:val="410113A2"/>
    <w:rsid w:val="41880811"/>
    <w:rsid w:val="41C60C56"/>
    <w:rsid w:val="41E9727E"/>
    <w:rsid w:val="41F50509"/>
    <w:rsid w:val="420226D9"/>
    <w:rsid w:val="42375131"/>
    <w:rsid w:val="42610172"/>
    <w:rsid w:val="426339F7"/>
    <w:rsid w:val="42733C91"/>
    <w:rsid w:val="428C76CE"/>
    <w:rsid w:val="42916AC5"/>
    <w:rsid w:val="42CE0B28"/>
    <w:rsid w:val="436807A8"/>
    <w:rsid w:val="439901E8"/>
    <w:rsid w:val="43CD51C7"/>
    <w:rsid w:val="43EC12FF"/>
    <w:rsid w:val="43F11B33"/>
    <w:rsid w:val="43F17986"/>
    <w:rsid w:val="43FF4262"/>
    <w:rsid w:val="444678CE"/>
    <w:rsid w:val="44565A46"/>
    <w:rsid w:val="44604594"/>
    <w:rsid w:val="447E086E"/>
    <w:rsid w:val="44B454C5"/>
    <w:rsid w:val="44C125DD"/>
    <w:rsid w:val="44D35D7A"/>
    <w:rsid w:val="44DD6689"/>
    <w:rsid w:val="44E7774D"/>
    <w:rsid w:val="45127C50"/>
    <w:rsid w:val="454416D4"/>
    <w:rsid w:val="455E7EDC"/>
    <w:rsid w:val="45830A1B"/>
    <w:rsid w:val="458D51A8"/>
    <w:rsid w:val="459B4244"/>
    <w:rsid w:val="45A33E4B"/>
    <w:rsid w:val="45A94422"/>
    <w:rsid w:val="45B253E8"/>
    <w:rsid w:val="45CC5F92"/>
    <w:rsid w:val="46236563"/>
    <w:rsid w:val="465C2D4B"/>
    <w:rsid w:val="465C457C"/>
    <w:rsid w:val="467609A9"/>
    <w:rsid w:val="46E67A01"/>
    <w:rsid w:val="47262D4B"/>
    <w:rsid w:val="47670737"/>
    <w:rsid w:val="47F00216"/>
    <w:rsid w:val="480F5247"/>
    <w:rsid w:val="4839608B"/>
    <w:rsid w:val="483A3F41"/>
    <w:rsid w:val="48B06FCF"/>
    <w:rsid w:val="48FF25D1"/>
    <w:rsid w:val="49281A93"/>
    <w:rsid w:val="492F313E"/>
    <w:rsid w:val="495010D7"/>
    <w:rsid w:val="4955555E"/>
    <w:rsid w:val="498C7C37"/>
    <w:rsid w:val="49A21DDA"/>
    <w:rsid w:val="49E453DD"/>
    <w:rsid w:val="49EE4458"/>
    <w:rsid w:val="4A521971"/>
    <w:rsid w:val="4A880DD3"/>
    <w:rsid w:val="4A9C4E28"/>
    <w:rsid w:val="4AFF7B18"/>
    <w:rsid w:val="4B254325"/>
    <w:rsid w:val="4B2941E0"/>
    <w:rsid w:val="4B3C27E9"/>
    <w:rsid w:val="4BFF2F3E"/>
    <w:rsid w:val="4C261BDE"/>
    <w:rsid w:val="4C334692"/>
    <w:rsid w:val="4C660668"/>
    <w:rsid w:val="4C816990"/>
    <w:rsid w:val="4CCC6E0F"/>
    <w:rsid w:val="4D1B40EF"/>
    <w:rsid w:val="4D2079EB"/>
    <w:rsid w:val="4D2B4C2A"/>
    <w:rsid w:val="4D570F71"/>
    <w:rsid w:val="4DC12B9F"/>
    <w:rsid w:val="4DEE01EB"/>
    <w:rsid w:val="4DF036EE"/>
    <w:rsid w:val="4DF30DF0"/>
    <w:rsid w:val="4DFC16FF"/>
    <w:rsid w:val="4E03108A"/>
    <w:rsid w:val="4E2822B5"/>
    <w:rsid w:val="4E5A1A99"/>
    <w:rsid w:val="4E640249"/>
    <w:rsid w:val="4E723844"/>
    <w:rsid w:val="4E85035F"/>
    <w:rsid w:val="4EB95335"/>
    <w:rsid w:val="4ED33CE1"/>
    <w:rsid w:val="4F01352B"/>
    <w:rsid w:val="4F13254C"/>
    <w:rsid w:val="4F423F95"/>
    <w:rsid w:val="4FBF6DE2"/>
    <w:rsid w:val="502D7993"/>
    <w:rsid w:val="504273BB"/>
    <w:rsid w:val="505605DA"/>
    <w:rsid w:val="50941CF8"/>
    <w:rsid w:val="509636E2"/>
    <w:rsid w:val="50B13272"/>
    <w:rsid w:val="50B6710F"/>
    <w:rsid w:val="50BC2F96"/>
    <w:rsid w:val="50DE7239"/>
    <w:rsid w:val="51A227FA"/>
    <w:rsid w:val="51A57002"/>
    <w:rsid w:val="51F65583"/>
    <w:rsid w:val="521274CB"/>
    <w:rsid w:val="528278EA"/>
    <w:rsid w:val="52E03A67"/>
    <w:rsid w:val="52FC46EA"/>
    <w:rsid w:val="534D042C"/>
    <w:rsid w:val="5350703E"/>
    <w:rsid w:val="538C361F"/>
    <w:rsid w:val="538D10A1"/>
    <w:rsid w:val="53A46AC8"/>
    <w:rsid w:val="53A54549"/>
    <w:rsid w:val="53F47B4C"/>
    <w:rsid w:val="5403314B"/>
    <w:rsid w:val="544A4CD7"/>
    <w:rsid w:val="545309AA"/>
    <w:rsid w:val="54BF0519"/>
    <w:rsid w:val="552827AD"/>
    <w:rsid w:val="552B1450"/>
    <w:rsid w:val="55584783"/>
    <w:rsid w:val="55835CD9"/>
    <w:rsid w:val="558E2FA7"/>
    <w:rsid w:val="55B464A8"/>
    <w:rsid w:val="55B7742C"/>
    <w:rsid w:val="55BD2802"/>
    <w:rsid w:val="55F969E7"/>
    <w:rsid w:val="56024028"/>
    <w:rsid w:val="5616190A"/>
    <w:rsid w:val="56941399"/>
    <w:rsid w:val="569F71AC"/>
    <w:rsid w:val="56BA15D9"/>
    <w:rsid w:val="56EF3AF5"/>
    <w:rsid w:val="56F83407"/>
    <w:rsid w:val="571E54DC"/>
    <w:rsid w:val="572210F5"/>
    <w:rsid w:val="572A730E"/>
    <w:rsid w:val="574B7843"/>
    <w:rsid w:val="576146B9"/>
    <w:rsid w:val="577865C9"/>
    <w:rsid w:val="578F7CCE"/>
    <w:rsid w:val="579C1BCB"/>
    <w:rsid w:val="57B74973"/>
    <w:rsid w:val="57E1103B"/>
    <w:rsid w:val="57E23AB5"/>
    <w:rsid w:val="58467715"/>
    <w:rsid w:val="587B1239"/>
    <w:rsid w:val="58886F75"/>
    <w:rsid w:val="58B65B9B"/>
    <w:rsid w:val="593309E8"/>
    <w:rsid w:val="59B07FB1"/>
    <w:rsid w:val="59FB712C"/>
    <w:rsid w:val="59FD262F"/>
    <w:rsid w:val="5A050D40"/>
    <w:rsid w:val="5A770B6E"/>
    <w:rsid w:val="5A8A0BF0"/>
    <w:rsid w:val="5AB246DC"/>
    <w:rsid w:val="5AB3215E"/>
    <w:rsid w:val="5AD42692"/>
    <w:rsid w:val="5B2F7529"/>
    <w:rsid w:val="5BBA168B"/>
    <w:rsid w:val="5BBD01B3"/>
    <w:rsid w:val="5C13779B"/>
    <w:rsid w:val="5CCF11D3"/>
    <w:rsid w:val="5D4A309B"/>
    <w:rsid w:val="5D7F7CF2"/>
    <w:rsid w:val="5D851C35"/>
    <w:rsid w:val="5F187E14"/>
    <w:rsid w:val="5F255EFF"/>
    <w:rsid w:val="5F5159EF"/>
    <w:rsid w:val="5FDA5B33"/>
    <w:rsid w:val="5FDC7E75"/>
    <w:rsid w:val="5FF120B4"/>
    <w:rsid w:val="603A596D"/>
    <w:rsid w:val="607B393B"/>
    <w:rsid w:val="609B470C"/>
    <w:rsid w:val="60AC4695"/>
    <w:rsid w:val="60BA2331"/>
    <w:rsid w:val="60EB32AF"/>
    <w:rsid w:val="61171AD8"/>
    <w:rsid w:val="6142291C"/>
    <w:rsid w:val="61B73BDF"/>
    <w:rsid w:val="61FE0917"/>
    <w:rsid w:val="623E513D"/>
    <w:rsid w:val="62563CE5"/>
    <w:rsid w:val="62E47AC9"/>
    <w:rsid w:val="6350047D"/>
    <w:rsid w:val="6412053C"/>
    <w:rsid w:val="64430D0B"/>
    <w:rsid w:val="648065F1"/>
    <w:rsid w:val="65046BCA"/>
    <w:rsid w:val="650A2CD2"/>
    <w:rsid w:val="651435E1"/>
    <w:rsid w:val="654153AA"/>
    <w:rsid w:val="654D4A40"/>
    <w:rsid w:val="6566621E"/>
    <w:rsid w:val="65821697"/>
    <w:rsid w:val="65CE6293"/>
    <w:rsid w:val="661E7317"/>
    <w:rsid w:val="66495BDD"/>
    <w:rsid w:val="669E696B"/>
    <w:rsid w:val="66C60005"/>
    <w:rsid w:val="66D435C2"/>
    <w:rsid w:val="66ED66EB"/>
    <w:rsid w:val="67763396"/>
    <w:rsid w:val="678A1A6C"/>
    <w:rsid w:val="679F070D"/>
    <w:rsid w:val="67A9335C"/>
    <w:rsid w:val="67D44D17"/>
    <w:rsid w:val="680C4CB4"/>
    <w:rsid w:val="680E2045"/>
    <w:rsid w:val="68374408"/>
    <w:rsid w:val="68976726"/>
    <w:rsid w:val="69156EBB"/>
    <w:rsid w:val="69760313"/>
    <w:rsid w:val="698A6FB3"/>
    <w:rsid w:val="69DD483F"/>
    <w:rsid w:val="69F942E4"/>
    <w:rsid w:val="6A0568FD"/>
    <w:rsid w:val="6A2B6B3C"/>
    <w:rsid w:val="6A5F0290"/>
    <w:rsid w:val="6A865F51"/>
    <w:rsid w:val="6B9F60AC"/>
    <w:rsid w:val="6BA350A4"/>
    <w:rsid w:val="6BFA38B5"/>
    <w:rsid w:val="6C0A3B4F"/>
    <w:rsid w:val="6C254067"/>
    <w:rsid w:val="6C3426E1"/>
    <w:rsid w:val="6C7A1884"/>
    <w:rsid w:val="6D0A6F75"/>
    <w:rsid w:val="6D2E4BAB"/>
    <w:rsid w:val="6D4A44DB"/>
    <w:rsid w:val="6D63623C"/>
    <w:rsid w:val="6D853006"/>
    <w:rsid w:val="6DEB7F47"/>
    <w:rsid w:val="6E123F24"/>
    <w:rsid w:val="6E3B72E7"/>
    <w:rsid w:val="6E5C02CB"/>
    <w:rsid w:val="6E680DA5"/>
    <w:rsid w:val="6E804558"/>
    <w:rsid w:val="6EA0288E"/>
    <w:rsid w:val="6EE509F4"/>
    <w:rsid w:val="6EFC51A7"/>
    <w:rsid w:val="6F023405"/>
    <w:rsid w:val="6F0B13DB"/>
    <w:rsid w:val="6F25039A"/>
    <w:rsid w:val="6FA8783E"/>
    <w:rsid w:val="6FBC2EB1"/>
    <w:rsid w:val="703A6DAC"/>
    <w:rsid w:val="70623166"/>
    <w:rsid w:val="7073020B"/>
    <w:rsid w:val="709C35CE"/>
    <w:rsid w:val="70D127A3"/>
    <w:rsid w:val="70F86AD9"/>
    <w:rsid w:val="71032079"/>
    <w:rsid w:val="71936767"/>
    <w:rsid w:val="72100F31"/>
    <w:rsid w:val="72287D95"/>
    <w:rsid w:val="72304FDF"/>
    <w:rsid w:val="72434C03"/>
    <w:rsid w:val="7247717D"/>
    <w:rsid w:val="729926C8"/>
    <w:rsid w:val="73096F4B"/>
    <w:rsid w:val="73131A58"/>
    <w:rsid w:val="7317045F"/>
    <w:rsid w:val="732D5E85"/>
    <w:rsid w:val="733D42E3"/>
    <w:rsid w:val="737230F7"/>
    <w:rsid w:val="73854316"/>
    <w:rsid w:val="73A57DF9"/>
    <w:rsid w:val="73A744CA"/>
    <w:rsid w:val="73CC19D5"/>
    <w:rsid w:val="741A7D2C"/>
    <w:rsid w:val="74694588"/>
    <w:rsid w:val="746C550D"/>
    <w:rsid w:val="746D457D"/>
    <w:rsid w:val="74AF2AFE"/>
    <w:rsid w:val="74E146D2"/>
    <w:rsid w:val="74F86B15"/>
    <w:rsid w:val="756A3232"/>
    <w:rsid w:val="75895CE5"/>
    <w:rsid w:val="759901A2"/>
    <w:rsid w:val="759F2407"/>
    <w:rsid w:val="75D02BD6"/>
    <w:rsid w:val="75E15270"/>
    <w:rsid w:val="76116EC2"/>
    <w:rsid w:val="76325B80"/>
    <w:rsid w:val="76B72ED4"/>
    <w:rsid w:val="76F00D88"/>
    <w:rsid w:val="771928DB"/>
    <w:rsid w:val="771C067A"/>
    <w:rsid w:val="772A6AEC"/>
    <w:rsid w:val="77693C0F"/>
    <w:rsid w:val="77695CCA"/>
    <w:rsid w:val="776C5E7A"/>
    <w:rsid w:val="779415BD"/>
    <w:rsid w:val="779C0BC8"/>
    <w:rsid w:val="779C4C9B"/>
    <w:rsid w:val="77C2468B"/>
    <w:rsid w:val="7855167B"/>
    <w:rsid w:val="78A92755"/>
    <w:rsid w:val="78B9366E"/>
    <w:rsid w:val="78BC17CD"/>
    <w:rsid w:val="78D366C6"/>
    <w:rsid w:val="790B20A3"/>
    <w:rsid w:val="796C47DC"/>
    <w:rsid w:val="79DF2C7C"/>
    <w:rsid w:val="79E47779"/>
    <w:rsid w:val="79F57AA2"/>
    <w:rsid w:val="7A1F66E8"/>
    <w:rsid w:val="7A4C3D34"/>
    <w:rsid w:val="7A7D4CC5"/>
    <w:rsid w:val="7AE67D87"/>
    <w:rsid w:val="7B6E2211"/>
    <w:rsid w:val="7B8472B4"/>
    <w:rsid w:val="7BC80470"/>
    <w:rsid w:val="7BE0484E"/>
    <w:rsid w:val="7C081A8C"/>
    <w:rsid w:val="7C0F40E4"/>
    <w:rsid w:val="7C153320"/>
    <w:rsid w:val="7C6248B5"/>
    <w:rsid w:val="7C92278E"/>
    <w:rsid w:val="7C970076"/>
    <w:rsid w:val="7CD32459"/>
    <w:rsid w:val="7CDE07EA"/>
    <w:rsid w:val="7CF22D0E"/>
    <w:rsid w:val="7D0C0035"/>
    <w:rsid w:val="7D9E7791"/>
    <w:rsid w:val="7DA22244"/>
    <w:rsid w:val="7DC50AE8"/>
    <w:rsid w:val="7DCE3976"/>
    <w:rsid w:val="7E0B59D9"/>
    <w:rsid w:val="7E4C3A0F"/>
    <w:rsid w:val="7E4C3A98"/>
    <w:rsid w:val="7E4C4244"/>
    <w:rsid w:val="7E9E07CB"/>
    <w:rsid w:val="7EDD5D31"/>
    <w:rsid w:val="7F23352A"/>
    <w:rsid w:val="7F6C689A"/>
    <w:rsid w:val="7F7D33DC"/>
    <w:rsid w:val="7FA06BEF"/>
    <w:rsid w:val="7FAA1790"/>
    <w:rsid w:val="7FAB1C02"/>
    <w:rsid w:val="7FBD539F"/>
    <w:rsid w:val="7FC13DA6"/>
    <w:rsid w:val="7FD3213E"/>
    <w:rsid w:val="7FED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G Times (WN)" w:hAnsi="CG Times (WN)" w:eastAsia="宋体" w:cs="Times New Roman"/>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2"/>
    <w:next w:val="1"/>
    <w:link w:val="43"/>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6"/>
    <w:unhideWhenUsed/>
    <w:qFormat/>
    <w:uiPriority w:val="9"/>
    <w:pPr>
      <w:keepNext/>
      <w:keepLines/>
      <w:spacing w:before="50" w:beforeLines="50" w:after="50" w:afterLines="50" w:line="240" w:lineRule="auto"/>
      <w:outlineLvl w:val="2"/>
    </w:pPr>
    <w:rPr>
      <w:rFonts w:ascii="Arial" w:hAnsi="Arial" w:eastAsia="Arial Unicode MS"/>
      <w:bCs/>
      <w:sz w:val="30"/>
      <w:szCs w:val="32"/>
    </w:rPr>
  </w:style>
  <w:style w:type="paragraph" w:styleId="5">
    <w:name w:val="heading 5"/>
    <w:basedOn w:val="1"/>
    <w:next w:val="1"/>
    <w:link w:val="50"/>
    <w:semiHidden/>
    <w:unhideWhenUsed/>
    <w:qFormat/>
    <w:uiPriority w:val="9"/>
    <w:pPr>
      <w:keepNext/>
      <w:keepLines/>
      <w:spacing w:before="280" w:after="290" w:line="376" w:lineRule="auto"/>
      <w:outlineLvl w:val="4"/>
    </w:pPr>
    <w:rPr>
      <w:b/>
      <w:bCs/>
      <w:sz w:val="28"/>
      <w:szCs w:val="28"/>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40"/>
    <w:qFormat/>
    <w:uiPriority w:val="35"/>
    <w:pPr>
      <w:widowControl/>
      <w:spacing w:before="120" w:after="120"/>
      <w:jc w:val="left"/>
    </w:pPr>
    <w:rPr>
      <w:rFonts w:ascii="Times New Roman" w:hAnsi="Times New Roman" w:eastAsia="MS Mincho"/>
      <w:b/>
      <w:kern w:val="0"/>
      <w:sz w:val="20"/>
      <w:szCs w:val="20"/>
      <w:lang w:val="en-GB" w:eastAsia="en-US"/>
    </w:rPr>
  </w:style>
  <w:style w:type="paragraph" w:styleId="7">
    <w:name w:val="Document Map"/>
    <w:basedOn w:val="1"/>
    <w:link w:val="39"/>
    <w:semiHidden/>
    <w:unhideWhenUsed/>
    <w:qFormat/>
    <w:uiPriority w:val="99"/>
    <w:rPr>
      <w:rFonts w:ascii="宋体"/>
      <w:sz w:val="18"/>
      <w:szCs w:val="18"/>
    </w:rPr>
  </w:style>
  <w:style w:type="paragraph" w:styleId="8">
    <w:name w:val="annotation text"/>
    <w:basedOn w:val="1"/>
    <w:link w:val="37"/>
    <w:unhideWhenUsed/>
    <w:qFormat/>
    <w:uiPriority w:val="0"/>
    <w:pPr>
      <w:jc w:val="left"/>
    </w:pPr>
  </w:style>
  <w:style w:type="paragraph" w:styleId="9">
    <w:name w:val="List 2"/>
    <w:basedOn w:val="10"/>
    <w:qFormat/>
    <w:uiPriority w:val="0"/>
    <w:pPr>
      <w:ind w:left="851"/>
    </w:pPr>
  </w:style>
  <w:style w:type="paragraph" w:styleId="10">
    <w:name w:val="List"/>
    <w:basedOn w:val="1"/>
    <w:semiHidden/>
    <w:unhideWhenUsed/>
    <w:qFormat/>
    <w:uiPriority w:val="99"/>
    <w:pPr>
      <w:ind w:left="200" w:hanging="200" w:hangingChars="200"/>
      <w:contextualSpacing/>
    </w:pPr>
  </w:style>
  <w:style w:type="paragraph" w:styleId="11">
    <w:name w:val="Balloon Text"/>
    <w:basedOn w:val="1"/>
    <w:link w:val="35"/>
    <w:semiHidden/>
    <w:unhideWhenUsed/>
    <w:qFormat/>
    <w:uiPriority w:val="99"/>
    <w:rPr>
      <w:sz w:val="18"/>
      <w:szCs w:val="18"/>
    </w:rPr>
  </w:style>
  <w:style w:type="paragraph" w:styleId="12">
    <w:name w:val="footer"/>
    <w:basedOn w:val="1"/>
    <w:link w:val="22"/>
    <w:unhideWhenUsed/>
    <w:qFormat/>
    <w:uiPriority w:val="99"/>
    <w:pPr>
      <w:tabs>
        <w:tab w:val="center" w:pos="4153"/>
        <w:tab w:val="right" w:pos="8306"/>
      </w:tabs>
      <w:snapToGrid w:val="0"/>
      <w:jc w:val="left"/>
    </w:pPr>
    <w:rPr>
      <w:sz w:val="18"/>
      <w:szCs w:val="18"/>
    </w:rPr>
  </w:style>
  <w:style w:type="paragraph" w:styleId="13">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paragraph" w:styleId="15">
    <w:name w:val="annotation subject"/>
    <w:basedOn w:val="8"/>
    <w:next w:val="8"/>
    <w:link w:val="38"/>
    <w:semiHidden/>
    <w:unhideWhenUsed/>
    <w:qFormat/>
    <w:uiPriority w:val="99"/>
    <w:rPr>
      <w:b/>
      <w:bCs/>
    </w:rPr>
  </w:style>
  <w:style w:type="table" w:styleId="17">
    <w:name w:val="Table Grid"/>
    <w:basedOn w:val="16"/>
    <w:qFormat/>
    <w:uiPriority w:val="0"/>
    <w:pPr>
      <w:spacing w:before="120" w:line="280" w:lineRule="atLeast"/>
      <w:jc w:val="both"/>
    </w:pPr>
    <w:rPr>
      <w:rFonts w:ascii="New York" w:hAnsi="New York"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basedOn w:val="18"/>
    <w:unhideWhenUsed/>
    <w:qFormat/>
    <w:uiPriority w:val="99"/>
    <w:rPr>
      <w:color w:val="0000FF"/>
      <w:u w:val="single"/>
    </w:rPr>
  </w:style>
  <w:style w:type="character" w:styleId="20">
    <w:name w:val="annotation reference"/>
    <w:basedOn w:val="18"/>
    <w:unhideWhenUsed/>
    <w:qFormat/>
    <w:uiPriority w:val="99"/>
    <w:rPr>
      <w:sz w:val="21"/>
      <w:szCs w:val="21"/>
    </w:rPr>
  </w:style>
  <w:style w:type="character" w:customStyle="1" w:styleId="21">
    <w:name w:val="Header Char"/>
    <w:basedOn w:val="18"/>
    <w:link w:val="13"/>
    <w:qFormat/>
    <w:uiPriority w:val="99"/>
    <w:rPr>
      <w:sz w:val="18"/>
      <w:szCs w:val="18"/>
    </w:rPr>
  </w:style>
  <w:style w:type="character" w:customStyle="1" w:styleId="22">
    <w:name w:val="Footer Char"/>
    <w:basedOn w:val="18"/>
    <w:link w:val="12"/>
    <w:qFormat/>
    <w:uiPriority w:val="99"/>
    <w:rPr>
      <w:sz w:val="18"/>
      <w:szCs w:val="18"/>
    </w:rPr>
  </w:style>
  <w:style w:type="character" w:customStyle="1" w:styleId="23">
    <w:name w:val="Char Char"/>
    <w:link w:val="24"/>
    <w:qFormat/>
    <w:uiPriority w:val="0"/>
    <w:rPr>
      <w:rFonts w:ascii="Arial" w:hAnsi="Arial"/>
      <w:sz w:val="32"/>
      <w:szCs w:val="36"/>
    </w:rPr>
  </w:style>
  <w:style w:type="paragraph" w:customStyle="1" w:styleId="24">
    <w:name w:val="Char"/>
    <w:basedOn w:val="25"/>
    <w:link w:val="23"/>
    <w:qFormat/>
    <w:uiPriority w:val="0"/>
    <w:pPr>
      <w:keepNext/>
      <w:keepLines/>
      <w:widowControl/>
      <w:pBdr>
        <w:top w:val="single" w:color="auto" w:sz="12" w:space="1"/>
      </w:pBdr>
      <w:tabs>
        <w:tab w:val="left" w:pos="1985"/>
      </w:tabs>
      <w:spacing w:before="240" w:after="180"/>
      <w:ind w:left="360" w:firstLine="0" w:firstLineChars="0"/>
      <w:outlineLvl w:val="0"/>
    </w:pPr>
    <w:rPr>
      <w:rFonts w:ascii="Arial" w:hAnsi="Arial" w:eastAsiaTheme="minorEastAsia" w:cstheme="minorBidi"/>
      <w:sz w:val="32"/>
      <w:szCs w:val="36"/>
    </w:rPr>
  </w:style>
  <w:style w:type="paragraph" w:styleId="25">
    <w:name w:val="List Paragraph"/>
    <w:basedOn w:val="1"/>
    <w:link w:val="41"/>
    <w:qFormat/>
    <w:uiPriority w:val="34"/>
    <w:pPr>
      <w:ind w:firstLine="420" w:firstLineChars="200"/>
    </w:pPr>
  </w:style>
  <w:style w:type="character" w:customStyle="1" w:styleId="26">
    <w:name w:val="TAH Car"/>
    <w:link w:val="27"/>
    <w:qFormat/>
    <w:uiPriority w:val="0"/>
    <w:rPr>
      <w:rFonts w:ascii="Arial" w:hAnsi="Arial" w:eastAsia="Times New Roman" w:cs="Times New Roman"/>
      <w:b/>
      <w:kern w:val="0"/>
      <w:sz w:val="18"/>
      <w:szCs w:val="20"/>
      <w:lang w:val="en-GB" w:eastAsia="ja-JP"/>
    </w:rPr>
  </w:style>
  <w:style w:type="paragraph" w:customStyle="1" w:styleId="27">
    <w:name w:val="TAH"/>
    <w:basedOn w:val="28"/>
    <w:link w:val="26"/>
    <w:qFormat/>
    <w:uiPriority w:val="0"/>
    <w:rPr>
      <w:b/>
    </w:rPr>
  </w:style>
  <w:style w:type="paragraph" w:customStyle="1" w:styleId="28">
    <w:name w:val="TAC"/>
    <w:basedOn w:val="29"/>
    <w:link w:val="32"/>
    <w:qFormat/>
    <w:uiPriority w:val="0"/>
    <w:pPr>
      <w:overflowPunct w:val="0"/>
      <w:autoSpaceDE w:val="0"/>
      <w:autoSpaceDN w:val="0"/>
      <w:adjustRightInd w:val="0"/>
      <w:jc w:val="center"/>
      <w:textAlignment w:val="baseline"/>
    </w:pPr>
    <w:rPr>
      <w:lang w:eastAsia="ja-JP"/>
    </w:rPr>
  </w:style>
  <w:style w:type="paragraph" w:customStyle="1" w:styleId="29">
    <w:name w:val="TAL"/>
    <w:basedOn w:val="1"/>
    <w:link w:val="36"/>
    <w:qFormat/>
    <w:uiPriority w:val="0"/>
    <w:pPr>
      <w:keepNext/>
      <w:keepLines/>
      <w:widowControl/>
      <w:jc w:val="left"/>
    </w:pPr>
    <w:rPr>
      <w:rFonts w:ascii="Arial" w:hAnsi="Arial" w:eastAsia="Times New Roman"/>
      <w:kern w:val="0"/>
      <w:sz w:val="18"/>
      <w:szCs w:val="20"/>
      <w:lang w:val="en-GB" w:eastAsia="en-US"/>
    </w:rPr>
  </w:style>
  <w:style w:type="character" w:customStyle="1" w:styleId="30">
    <w:name w:val="B1 Char"/>
    <w:link w:val="31"/>
    <w:qFormat/>
    <w:uiPriority w:val="0"/>
    <w:rPr>
      <w:rFonts w:ascii="Times New Roman" w:hAnsi="Times New Roman" w:eastAsia="MS Mincho"/>
      <w:lang w:val="en-GB" w:eastAsia="de-DE"/>
    </w:rPr>
  </w:style>
  <w:style w:type="paragraph" w:customStyle="1" w:styleId="31">
    <w:name w:val="B1"/>
    <w:basedOn w:val="10"/>
    <w:link w:val="30"/>
    <w:qFormat/>
    <w:uiPriority w:val="0"/>
    <w:pPr>
      <w:widowControl/>
      <w:spacing w:after="180"/>
      <w:ind w:left="568" w:hanging="284" w:firstLineChars="0"/>
      <w:jc w:val="left"/>
    </w:pPr>
    <w:rPr>
      <w:rFonts w:ascii="Times New Roman" w:hAnsi="Times New Roman" w:eastAsia="MS Mincho" w:cstheme="minorBidi"/>
      <w:lang w:val="en-GB" w:eastAsia="de-DE"/>
    </w:rPr>
  </w:style>
  <w:style w:type="character" w:customStyle="1" w:styleId="32">
    <w:name w:val="TAC Char"/>
    <w:link w:val="28"/>
    <w:qFormat/>
    <w:uiPriority w:val="0"/>
    <w:rPr>
      <w:rFonts w:ascii="Arial" w:hAnsi="Arial" w:eastAsia="Times New Roman" w:cs="Times New Roman"/>
      <w:kern w:val="0"/>
      <w:sz w:val="18"/>
      <w:szCs w:val="20"/>
      <w:lang w:val="en-GB" w:eastAsia="ja-JP"/>
    </w:rPr>
  </w:style>
  <w:style w:type="paragraph" w:styleId="33">
    <w:name w:val="No Spacing"/>
    <w:qFormat/>
    <w:uiPriority w:val="1"/>
    <w:pPr>
      <w:widowControl w:val="0"/>
      <w:jc w:val="both"/>
    </w:pPr>
    <w:rPr>
      <w:rFonts w:ascii="CG Times (WN)" w:hAnsi="CG Times (WN)" w:eastAsia="宋体" w:cs="Times New Roman"/>
      <w:kern w:val="2"/>
      <w:sz w:val="21"/>
      <w:szCs w:val="24"/>
      <w:lang w:val="en-US" w:eastAsia="zh-CN" w:bidi="ar-SA"/>
    </w:rPr>
  </w:style>
  <w:style w:type="paragraph" w:customStyle="1" w:styleId="34">
    <w:name w:val="_Style 0"/>
    <w:qFormat/>
    <w:uiPriority w:val="1"/>
    <w:pPr>
      <w:widowControl w:val="0"/>
      <w:jc w:val="both"/>
    </w:pPr>
    <w:rPr>
      <w:rFonts w:ascii="CG Times (WN)" w:hAnsi="CG Times (WN)" w:eastAsia="宋体" w:cs="Times New Roman"/>
      <w:kern w:val="2"/>
      <w:sz w:val="21"/>
      <w:szCs w:val="24"/>
      <w:lang w:val="en-US" w:eastAsia="zh-CN" w:bidi="ar-SA"/>
    </w:rPr>
  </w:style>
  <w:style w:type="character" w:customStyle="1" w:styleId="35">
    <w:name w:val="Balloon Text Char"/>
    <w:basedOn w:val="18"/>
    <w:link w:val="11"/>
    <w:semiHidden/>
    <w:qFormat/>
    <w:uiPriority w:val="99"/>
    <w:rPr>
      <w:rFonts w:ascii="CG Times (WN)" w:hAnsi="CG Times (WN)" w:eastAsia="宋体" w:cs="Times New Roman"/>
      <w:sz w:val="18"/>
      <w:szCs w:val="18"/>
    </w:rPr>
  </w:style>
  <w:style w:type="character" w:customStyle="1" w:styleId="36">
    <w:name w:val="TAL Char"/>
    <w:link w:val="29"/>
    <w:qFormat/>
    <w:uiPriority w:val="0"/>
    <w:rPr>
      <w:rFonts w:ascii="Arial" w:hAnsi="Arial" w:eastAsia="Times New Roman" w:cs="Times New Roman"/>
      <w:kern w:val="0"/>
      <w:sz w:val="18"/>
      <w:szCs w:val="20"/>
      <w:lang w:val="en-GB" w:eastAsia="en-US"/>
    </w:rPr>
  </w:style>
  <w:style w:type="character" w:customStyle="1" w:styleId="37">
    <w:name w:val="Comment Text Char"/>
    <w:basedOn w:val="18"/>
    <w:link w:val="8"/>
    <w:qFormat/>
    <w:uiPriority w:val="0"/>
    <w:rPr>
      <w:rFonts w:ascii="CG Times (WN)" w:hAnsi="CG Times (WN)" w:eastAsia="宋体" w:cs="Times New Roman"/>
    </w:rPr>
  </w:style>
  <w:style w:type="character" w:customStyle="1" w:styleId="38">
    <w:name w:val="Comment Subject Char"/>
    <w:basedOn w:val="37"/>
    <w:link w:val="15"/>
    <w:semiHidden/>
    <w:qFormat/>
    <w:uiPriority w:val="99"/>
    <w:rPr>
      <w:rFonts w:ascii="CG Times (WN)" w:hAnsi="CG Times (WN)" w:eastAsia="宋体" w:cs="Times New Roman"/>
      <w:b/>
      <w:bCs/>
    </w:rPr>
  </w:style>
  <w:style w:type="character" w:customStyle="1" w:styleId="39">
    <w:name w:val="Document Map Char"/>
    <w:basedOn w:val="18"/>
    <w:link w:val="7"/>
    <w:semiHidden/>
    <w:qFormat/>
    <w:uiPriority w:val="99"/>
    <w:rPr>
      <w:rFonts w:ascii="宋体" w:hAnsi="CG Times (WN)" w:eastAsia="宋体" w:cs="Times New Roman"/>
      <w:sz w:val="18"/>
      <w:szCs w:val="18"/>
    </w:rPr>
  </w:style>
  <w:style w:type="character" w:customStyle="1" w:styleId="40">
    <w:name w:val="Caption Char"/>
    <w:link w:val="6"/>
    <w:qFormat/>
    <w:uiPriority w:val="35"/>
    <w:rPr>
      <w:rFonts w:ascii="Times New Roman" w:hAnsi="Times New Roman" w:eastAsia="MS Mincho" w:cs="Times New Roman"/>
      <w:b/>
      <w:kern w:val="0"/>
      <w:sz w:val="20"/>
      <w:szCs w:val="20"/>
      <w:lang w:val="en-GB" w:eastAsia="en-US"/>
    </w:rPr>
  </w:style>
  <w:style w:type="character" w:customStyle="1" w:styleId="41">
    <w:name w:val="List Paragraph Char"/>
    <w:link w:val="25"/>
    <w:qFormat/>
    <w:uiPriority w:val="34"/>
    <w:rPr>
      <w:rFonts w:ascii="CG Times (WN)" w:hAnsi="CG Times (WN)" w:eastAsia="宋体" w:cs="Times New Roman"/>
    </w:rPr>
  </w:style>
  <w:style w:type="paragraph" w:customStyle="1" w:styleId="4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character" w:customStyle="1" w:styleId="43">
    <w:name w:val="Heading 2 Char"/>
    <w:basedOn w:val="18"/>
    <w:link w:val="3"/>
    <w:qFormat/>
    <w:uiPriority w:val="9"/>
    <w:rPr>
      <w:rFonts w:asciiTheme="majorHAnsi" w:hAnsiTheme="majorHAnsi" w:eastAsiaTheme="majorEastAsia" w:cstheme="majorBidi"/>
      <w:b/>
      <w:bCs/>
      <w:sz w:val="32"/>
      <w:szCs w:val="32"/>
    </w:rPr>
  </w:style>
  <w:style w:type="table" w:customStyle="1" w:styleId="44">
    <w:name w:val="网格型1"/>
    <w:basedOn w:val="16"/>
    <w:qFormat/>
    <w:uiPriority w:val="39"/>
    <w:rPr>
      <w:rFonts w:ascii="Calibri" w:hAnsi="Calibri"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
    <w:name w:val="网格型2"/>
    <w:basedOn w:val="16"/>
    <w:qFormat/>
    <w:uiPriority w:val="0"/>
    <w:pPr>
      <w:spacing w:after="160" w:line="259" w:lineRule="auto"/>
    </w:pPr>
    <w:rPr>
      <w:lang w:val="fi-FI" w:eastAsia="fi-F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6">
    <w:name w:val="Heading 3 Char"/>
    <w:basedOn w:val="18"/>
    <w:link w:val="4"/>
    <w:qFormat/>
    <w:uiPriority w:val="9"/>
    <w:rPr>
      <w:rFonts w:ascii="Arial" w:hAnsi="Arial" w:eastAsia="Arial Unicode MS" w:cs="Times New Roman"/>
      <w:bCs/>
      <w:sz w:val="30"/>
      <w:szCs w:val="32"/>
    </w:rPr>
  </w:style>
  <w:style w:type="table" w:customStyle="1" w:styleId="47">
    <w:name w:val="网格型3"/>
    <w:basedOn w:val="16"/>
    <w:qFormat/>
    <w:uiPriority w:val="0"/>
    <w:pPr>
      <w:overflowPunct w:val="0"/>
      <w:autoSpaceDE w:val="0"/>
      <w:autoSpaceDN w:val="0"/>
      <w:adjustRightInd w:val="0"/>
      <w:spacing w:after="180"/>
      <w:textAlignment w:val="baseline"/>
    </w:pPr>
    <w:rPr>
      <w:rFonts w:ascii="Times New Roman" w:hAnsi="Times New Roman" w:eastAsia="Yu Mincho" w:cs="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Placeholder Text"/>
    <w:basedOn w:val="18"/>
    <w:semiHidden/>
    <w:qFormat/>
    <w:uiPriority w:val="99"/>
    <w:rPr>
      <w:color w:val="808080"/>
    </w:rPr>
  </w:style>
  <w:style w:type="table" w:customStyle="1" w:styleId="49">
    <w:name w:val="Table Grid1"/>
    <w:basedOn w:val="16"/>
    <w:qFormat/>
    <w:uiPriority w:val="0"/>
    <w:pPr>
      <w:spacing w:before="120" w:line="280" w:lineRule="atLeast"/>
      <w:jc w:val="both"/>
    </w:pPr>
    <w:rPr>
      <w:rFonts w:ascii="New York" w:hAnsi="New York"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
    <w:name w:val="Heading 5 Char"/>
    <w:basedOn w:val="18"/>
    <w:link w:val="5"/>
    <w:semiHidden/>
    <w:qFormat/>
    <w:uiPriority w:val="9"/>
    <w:rPr>
      <w:rFonts w:ascii="CG Times (WN)" w:hAnsi="CG Times (WN)" w:eastAsia="宋体" w:cs="Times New Roman"/>
      <w:b/>
      <w:bCs/>
      <w:sz w:val="28"/>
      <w:szCs w:val="28"/>
    </w:rPr>
  </w:style>
  <w:style w:type="paragraph" w:customStyle="1" w:styleId="51">
    <w:name w:val="TH"/>
    <w:basedOn w:val="1"/>
    <w:qFormat/>
    <w:uiPriority w:val="0"/>
    <w:pPr>
      <w:keepNext/>
      <w:keepLines/>
      <w:spacing w:before="60"/>
      <w:jc w:val="center"/>
    </w:pPr>
    <w:rPr>
      <w:rFonts w:ascii="Arial" w:hAnsi="Arial"/>
      <w:b/>
    </w:rPr>
  </w:style>
  <w:style w:type="paragraph" w:customStyle="1" w:styleId="52">
    <w:name w:val="EQ"/>
    <w:basedOn w:val="1"/>
    <w:next w:val="1"/>
    <w:qFormat/>
    <w:uiPriority w:val="0"/>
    <w:pPr>
      <w:keepLines/>
      <w:tabs>
        <w:tab w:val="center" w:pos="4536"/>
        <w:tab w:val="right" w:pos="9072"/>
      </w:tabs>
    </w:pPr>
  </w:style>
  <w:style w:type="paragraph" w:customStyle="1" w:styleId="53">
    <w:name w:val="B2"/>
    <w:basedOn w:val="9"/>
    <w:qFormat/>
    <w:uiPriority w:val="0"/>
  </w:style>
  <w:style w:type="paragraph" w:customStyle="1" w:styleId="54">
    <w:name w:val="TAN"/>
    <w:basedOn w:val="29"/>
    <w:qFormat/>
    <w:uiPriority w:val="0"/>
    <w:pPr>
      <w:ind w:left="851" w:hanging="851"/>
    </w:pPr>
  </w:style>
  <w:style w:type="character" w:customStyle="1" w:styleId="55">
    <w:name w:val="B1 Char1"/>
    <w:qFormat/>
    <w:uiPriority w:val="0"/>
    <w:rPr>
      <w:rFonts w:eastAsia="Times New Roman"/>
    </w:rPr>
  </w:style>
  <w:style w:type="paragraph" w:customStyle="1" w:styleId="56">
    <w:name w:val="enumlev1"/>
    <w:basedOn w:val="1"/>
    <w:qFormat/>
    <w:uiPriority w:val="0"/>
    <w:pPr>
      <w:tabs>
        <w:tab w:val="left" w:pos="1134"/>
        <w:tab w:val="left" w:pos="1871"/>
        <w:tab w:val="left" w:pos="2608"/>
        <w:tab w:val="left" w:pos="3345"/>
      </w:tabs>
      <w:spacing w:before="80"/>
      <w:ind w:left="1134" w:hanging="1134"/>
    </w:pPr>
  </w:style>
  <w:style w:type="paragraph" w:customStyle="1" w:styleId="57">
    <w:name w:val="Table_title"/>
    <w:basedOn w:val="1"/>
    <w:next w:val="58"/>
    <w:qFormat/>
    <w:uiPriority w:val="0"/>
    <w:pPr>
      <w:keepNext/>
      <w:keepLines/>
      <w:tabs>
        <w:tab w:val="left" w:pos="1134"/>
        <w:tab w:val="left" w:pos="1871"/>
        <w:tab w:val="left" w:pos="2268"/>
      </w:tabs>
      <w:spacing w:before="0" w:after="120"/>
      <w:jc w:val="center"/>
    </w:pPr>
    <w:rPr>
      <w:rFonts w:ascii="Times New Roman Bold" w:hAnsi="Times New Roman Bold"/>
      <w:b/>
      <w:sz w:val="20"/>
    </w:rPr>
  </w:style>
  <w:style w:type="paragraph" w:customStyle="1" w:styleId="58">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59">
    <w:name w:val="enumlev2"/>
    <w:basedOn w:val="56"/>
    <w:qFormat/>
    <w:uiPriority w:val="99"/>
    <w:pPr>
      <w:ind w:left="1871" w:hanging="737"/>
    </w:pPr>
  </w:style>
  <w:style w:type="paragraph" w:customStyle="1" w:styleId="60">
    <w:name w:val="enumlev3"/>
    <w:basedOn w:val="59"/>
    <w:qFormat/>
    <w:uiPriority w:val="0"/>
    <w:pPr>
      <w:ind w:left="2268" w:hanging="397"/>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datastoreItem>
</file>

<file path=docProps/app.xml><?xml version="1.0" encoding="utf-8"?>
<Properties xmlns="http://schemas.openxmlformats.org/officeDocument/2006/extended-properties" xmlns:vt="http://schemas.openxmlformats.org/officeDocument/2006/docPropsVTypes">
  <Template>Normal.dotm</Template>
  <Pages>3</Pages>
  <Words>787</Words>
  <Characters>4487</Characters>
  <Lines>37</Lines>
  <Paragraphs>10</Paragraphs>
  <TotalTime>1</TotalTime>
  <ScaleCrop>false</ScaleCrop>
  <LinksUpToDate>false</LinksUpToDate>
  <CharactersWithSpaces>5264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2022-04-25T02:55:00Z</dcterms:created>
  <dc:creator>cmcc</dc:creator>
  <cp:lastModifiedBy>cmcc-chunxia Guo</cp:lastModifiedBy>
  <dcterms:modified xsi:type="dcterms:W3CDTF">2024-04-08T12:15:22Z</dcterms:modified>
  <cp:revision>181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FB78A630D2F9430AB7BFC4D35C8334EE</vt:lpwstr>
  </property>
</Properties>
</file>