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highlight w:val="none"/>
          <w:lang w:val="en-US" w:eastAsia="zh-CN"/>
        </w:rPr>
      </w:pPr>
      <w:r>
        <w:rPr>
          <w:rFonts w:hint="default" w:ascii="Arial" w:hAnsi="Arial" w:cs="Arial"/>
          <w:b/>
          <w:bCs/>
          <w:sz w:val="24"/>
          <w:szCs w:val="28"/>
          <w:highlight w:val="none"/>
          <w:lang w:val="en-US" w:eastAsia="zh-CN"/>
        </w:rPr>
        <w:t>3GPP TSG-RAN WG4 Meeting #110bis</w:t>
      </w:r>
      <w:r>
        <w:rPr>
          <w:rFonts w:hint="default"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eastAsia" w:ascii="Arial" w:hAnsi="Arial" w:cs="Arial"/>
          <w:b/>
          <w:bCs/>
          <w:sz w:val="24"/>
          <w:szCs w:val="28"/>
          <w:highlight w:val="none"/>
          <w:lang w:val="en-US" w:eastAsia="zh-CN"/>
        </w:rPr>
        <w:tab/>
      </w:r>
      <w:r>
        <w:rPr>
          <w:rFonts w:hint="default" w:ascii="Arial" w:hAnsi="Arial" w:cs="Arial"/>
          <w:b/>
          <w:bCs/>
          <w:sz w:val="24"/>
          <w:szCs w:val="28"/>
          <w:highlight w:val="none"/>
          <w:lang w:val="en-US" w:eastAsia="zh-CN"/>
        </w:rPr>
        <w:t>R4-240</w:t>
      </w:r>
      <w:r>
        <w:rPr>
          <w:rFonts w:hint="eastAsia" w:ascii="Arial" w:hAnsi="Arial" w:cs="Arial"/>
          <w:b/>
          <w:bCs/>
          <w:sz w:val="24"/>
          <w:szCs w:val="28"/>
          <w:highlight w:val="none"/>
          <w:lang w:val="en-US" w:eastAsia="zh-CN"/>
        </w:rPr>
        <w:t>5306</w:t>
      </w:r>
      <w:bookmarkStart w:id="0" w:name="_GoBack"/>
      <w:bookmarkEnd w:id="0"/>
    </w:p>
    <w:p>
      <w:pPr>
        <w:bidi w:val="0"/>
        <w:rPr>
          <w:rFonts w:hint="default" w:ascii="Arial" w:hAnsi="Arial" w:cs="Arial"/>
          <w:b/>
          <w:bCs/>
          <w:sz w:val="24"/>
          <w:szCs w:val="28"/>
          <w:highlight w:val="none"/>
          <w:lang w:val="en-US" w:eastAsia="zh-CN"/>
        </w:rPr>
      </w:pPr>
      <w:r>
        <w:rPr>
          <w:rFonts w:hint="default" w:ascii="Arial" w:hAnsi="Arial" w:cs="Arial"/>
          <w:b/>
          <w:bCs/>
          <w:sz w:val="24"/>
          <w:szCs w:val="28"/>
          <w:highlight w:val="none"/>
          <w:lang w:val="en-US" w:eastAsia="zh-CN"/>
        </w:rPr>
        <w:t>Changsha, China, 15th – 19th April, 2024</w:t>
      </w:r>
    </w:p>
    <w:p>
      <w:pPr>
        <w:bidi w:val="0"/>
        <w:rPr>
          <w:rFonts w:hint="default" w:ascii="Arial" w:hAnsi="Arial" w:cs="Arial"/>
          <w:b/>
          <w:bCs/>
          <w:sz w:val="24"/>
          <w:szCs w:val="28"/>
          <w:highlight w:val="none"/>
          <w:lang w:val="en-US" w:eastAsia="zh-CN"/>
        </w:rPr>
      </w:pP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9.1.3</w:t>
      </w:r>
    </w:p>
    <w:p>
      <w:pPr>
        <w:tabs>
          <w:tab w:val="left" w:pos="1980"/>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CMCC</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enhanced MPR scenario</w:t>
      </w:r>
    </w:p>
    <w:p>
      <w:pPr>
        <w:tabs>
          <w:tab w:val="left" w:pos="1980"/>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highlight w:val="none"/>
        </w:rPr>
      </w:pPr>
      <w:r>
        <w:rPr>
          <w:rFonts w:ascii="Arial" w:hAnsi="Arial" w:eastAsiaTheme="minorEastAsia" w:cstheme="minorBidi"/>
          <w:sz w:val="32"/>
          <w:szCs w:val="36"/>
          <w:highlight w:val="none"/>
        </w:rPr>
        <w:t>1. Introduction</w:t>
      </w:r>
    </w:p>
    <w:p>
      <w:pPr>
        <w:spacing w:after="180"/>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In RAN plenary #103 meeting, a new WID[1] of UE power domain enhancement is approved with following RAN4 lead RF part objectives:</w:t>
      </w:r>
    </w:p>
    <w:p>
      <w:pPr>
        <w:pStyle w:val="25"/>
        <w:numPr>
          <w:ilvl w:val="0"/>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Specify</w:t>
      </w:r>
      <w:r>
        <w:rPr>
          <w:rFonts w:ascii="Times New Roman" w:hAnsi="Times New Roman" w:cs="Times New Roman"/>
          <w:sz w:val="20"/>
          <w:szCs w:val="20"/>
          <w:highlight w:val="none"/>
        </w:rPr>
        <w:t xml:space="preserve"> power domain enhancement, e.g., MPR reduction for NR single carrier and </w:t>
      </w:r>
      <w:r>
        <w:rPr>
          <w:rFonts w:ascii="Times New Roman" w:hAnsi="Times New Roman" w:cs="Times New Roman"/>
          <w:sz w:val="20"/>
          <w:szCs w:val="20"/>
          <w:highlight w:val="none"/>
        </w:rPr>
        <w:t>NR intra-band UL CA</w:t>
      </w:r>
    </w:p>
    <w:p>
      <w:pPr>
        <w:pStyle w:val="25"/>
        <w:numPr>
          <w:ilvl w:val="1"/>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 xml:space="preserve">Study </w:t>
      </w:r>
      <w:r>
        <w:rPr>
          <w:rFonts w:ascii="Times New Roman" w:hAnsi="Times New Roman" w:cs="Times New Roman"/>
          <w:sz w:val="20"/>
          <w:szCs w:val="20"/>
          <w:highlight w:val="none"/>
        </w:rPr>
        <w:t xml:space="preserve">the scenarios, </w:t>
      </w:r>
      <w:r>
        <w:rPr>
          <w:rFonts w:hint="eastAsia" w:ascii="Times New Roman" w:hAnsi="Times New Roman" w:cs="Times New Roman"/>
          <w:sz w:val="20"/>
          <w:szCs w:val="20"/>
          <w:highlight w:val="none"/>
        </w:rPr>
        <w:t>and</w:t>
      </w:r>
      <w:r>
        <w:rPr>
          <w:rFonts w:ascii="Times New Roman" w:hAnsi="Times New Roman" w:cs="Times New Roman"/>
          <w:sz w:val="20"/>
          <w:szCs w:val="20"/>
          <w:highlight w:val="none"/>
        </w:rPr>
        <w:t xml:space="preserve"> if feasible,</w:t>
      </w:r>
      <w:r>
        <w:rPr>
          <w:rFonts w:hint="eastAsia" w:ascii="Times New Roman" w:hAnsi="Times New Roman" w:cs="Times New Roman"/>
          <w:sz w:val="20"/>
          <w:szCs w:val="20"/>
          <w:highlight w:val="none"/>
        </w:rPr>
        <w:t xml:space="preserve"> sp</w:t>
      </w:r>
      <w:r>
        <w:rPr>
          <w:rFonts w:ascii="Times New Roman" w:hAnsi="Times New Roman" w:cs="Times New Roman"/>
          <w:sz w:val="20"/>
          <w:szCs w:val="20"/>
          <w:highlight w:val="none"/>
        </w:rPr>
        <w:t xml:space="preserve">ecify the power domain enhancement, e.g., MPR reduction, for PC2 and </w:t>
      </w:r>
      <w:r>
        <w:rPr>
          <w:rFonts w:ascii="Times New Roman" w:hAnsi="Times New Roman" w:cs="Times New Roman"/>
          <w:sz w:val="20"/>
          <w:szCs w:val="20"/>
          <w:highlight w:val="none"/>
        </w:rPr>
        <w:t>PC3 with applicable ACLR/SEM/spurious emission modification with BS indication for NR FR1 on a single UL carrier</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 t</w:t>
      </w:r>
      <w:r>
        <w:rPr>
          <w:rFonts w:hint="eastAsia" w:ascii="Times New Roman" w:hAnsi="Times New Roman" w:cs="Times New Roman"/>
          <w:sz w:val="20"/>
          <w:szCs w:val="20"/>
          <w:highlight w:val="none"/>
        </w:rPr>
        <w:t>he following scenarios</w:t>
      </w:r>
      <w:r>
        <w:rPr>
          <w:rFonts w:ascii="Times New Roman" w:hAnsi="Times New Roman" w:cs="Times New Roman"/>
          <w:sz w:val="20"/>
          <w:szCs w:val="20"/>
          <w:highlight w:val="none"/>
        </w:rPr>
        <w:t>:</w:t>
      </w:r>
    </w:p>
    <w:p>
      <w:pPr>
        <w:pStyle w:val="25"/>
        <w:numPr>
          <w:ilvl w:val="3"/>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when there is no</w:t>
      </w:r>
      <w:r>
        <w:rPr>
          <w:rFonts w:ascii="Times New Roman" w:hAnsi="Times New Roman" w:cs="Times New Roman"/>
          <w:sz w:val="20"/>
          <w:szCs w:val="20"/>
          <w:highlight w:val="none"/>
        </w:rPr>
        <w:t xml:space="preserve"> adjacent</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in-band/out-of-band co-existence issue</w:t>
      </w:r>
    </w:p>
    <w:p>
      <w:pPr>
        <w:pStyle w:val="25"/>
        <w:numPr>
          <w:ilvl w:val="3"/>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when a UE uses a narrower channel bandwidth within a wider BS bandwidth</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b</w:t>
      </w:r>
      <w:r>
        <w:rPr>
          <w:rFonts w:hint="eastAsia" w:ascii="Times New Roman" w:hAnsi="Times New Roman" w:cs="Times New Roman"/>
          <w:sz w:val="20"/>
          <w:szCs w:val="20"/>
          <w:highlight w:val="none"/>
        </w:rPr>
        <w:t xml:space="preserve">oth </w:t>
      </w:r>
      <w:r>
        <w:rPr>
          <w:rFonts w:ascii="Times New Roman" w:hAnsi="Times New Roman" w:cs="Times New Roman"/>
          <w:sz w:val="20"/>
          <w:szCs w:val="20"/>
          <w:highlight w:val="none"/>
        </w:rPr>
        <w:t>(e)</w:t>
      </w:r>
      <w:r>
        <w:rPr>
          <w:rFonts w:hint="eastAsia" w:ascii="Times New Roman" w:hAnsi="Times New Roman" w:cs="Times New Roman"/>
          <w:sz w:val="20"/>
          <w:szCs w:val="20"/>
          <w:highlight w:val="none"/>
        </w:rPr>
        <w:t>RedCap UE</w:t>
      </w:r>
      <w:r>
        <w:rPr>
          <w:rFonts w:ascii="Times New Roman" w:hAnsi="Times New Roman" w:cs="Times New Roman"/>
          <w:sz w:val="20"/>
          <w:szCs w:val="20"/>
          <w:highlight w:val="none"/>
        </w:rPr>
        <w:t xml:space="preserve"> (only PC3)</w:t>
      </w:r>
      <w:r>
        <w:rPr>
          <w:rFonts w:hint="eastAsia" w:ascii="Times New Roman" w:hAnsi="Times New Roman" w:cs="Times New Roman"/>
          <w:sz w:val="20"/>
          <w:szCs w:val="20"/>
          <w:highlight w:val="none"/>
        </w:rPr>
        <w:t xml:space="preserve"> and non-RedCap UE</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Limited to QSPK and 16QAM</w:t>
      </w:r>
    </w:p>
    <w:p>
      <w:pPr>
        <w:pStyle w:val="25"/>
        <w:numPr>
          <w:ilvl w:val="1"/>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Specify MPR applicability based on the UL CCs with activated cells for NR intra-band UL CA configuration</w:t>
      </w:r>
    </w:p>
    <w:p>
      <w:pPr>
        <w:pStyle w:val="25"/>
        <w:numPr>
          <w:ilvl w:val="2"/>
          <w:numId w:val="1"/>
        </w:numPr>
        <w:ind w:firstLineChars="0"/>
        <w:jc w:val="left"/>
        <w:rPr>
          <w:rFonts w:ascii="Times New Roman" w:hAnsi="Times New Roman" w:cs="Times New Roman"/>
          <w:sz w:val="20"/>
          <w:szCs w:val="20"/>
          <w:highlight w:val="none"/>
        </w:rPr>
      </w:pPr>
      <w:r>
        <w:rPr>
          <w:rFonts w:hint="eastAsia" w:ascii="Times New Roman" w:hAnsi="Times New Roman" w:cs="Times New Roman"/>
          <w:sz w:val="20"/>
          <w:szCs w:val="20"/>
          <w:highlight w:val="none"/>
        </w:rPr>
        <w:t xml:space="preserve">Include both intra-band UL </w:t>
      </w:r>
      <w:r>
        <w:rPr>
          <w:rFonts w:ascii="Times New Roman" w:hAnsi="Times New Roman" w:cs="Times New Roman"/>
          <w:sz w:val="20"/>
          <w:szCs w:val="20"/>
          <w:highlight w:val="none"/>
        </w:rPr>
        <w:t>contiguous</w:t>
      </w:r>
      <w:r>
        <w:rPr>
          <w:rFonts w:hint="eastAsia" w:ascii="Times New Roman" w:hAnsi="Times New Roman" w:cs="Times New Roman"/>
          <w:sz w:val="20"/>
          <w:szCs w:val="20"/>
          <w:highlight w:val="none"/>
        </w:rPr>
        <w:t xml:space="preserve"> </w:t>
      </w:r>
      <w:r>
        <w:rPr>
          <w:rFonts w:ascii="Times New Roman" w:hAnsi="Times New Roman" w:cs="Times New Roman"/>
          <w:sz w:val="20"/>
          <w:szCs w:val="20"/>
          <w:highlight w:val="none"/>
        </w:rPr>
        <w:t>CA and intra-band non-contiguous UL CA for FR1</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Include intra-band UL contiguous CA and intra-band DL contiguous CA with single UL for FR2</w:t>
      </w:r>
    </w:p>
    <w:p>
      <w:pPr>
        <w:pStyle w:val="25"/>
        <w:numPr>
          <w:ilvl w:val="2"/>
          <w:numId w:val="1"/>
        </w:numPr>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MPR requirement is not applicable until the SCell is activated</w:t>
      </w:r>
    </w:p>
    <w:p>
      <w:pPr>
        <w:pStyle w:val="25"/>
        <w:numPr>
          <w:ilvl w:val="1"/>
          <w:numId w:val="1"/>
        </w:numPr>
        <w:spacing w:after="180"/>
        <w:ind w:firstLineChars="0"/>
        <w:jc w:val="left"/>
        <w:rPr>
          <w:rFonts w:ascii="Times New Roman" w:hAnsi="Times New Roman" w:cs="Times New Roman"/>
          <w:sz w:val="20"/>
          <w:szCs w:val="20"/>
          <w:highlight w:val="none"/>
        </w:rPr>
      </w:pPr>
      <w:r>
        <w:rPr>
          <w:rFonts w:ascii="Times New Roman" w:hAnsi="Times New Roman" w:cs="Times New Roman"/>
          <w:sz w:val="20"/>
          <w:szCs w:val="20"/>
          <w:highlight w:val="none"/>
        </w:rPr>
        <w:t>Necessary signaling to support the above objectives</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highlight w:val="none"/>
          <w:lang w:val="en-US" w:eastAsia="zh-CN"/>
        </w:rPr>
      </w:pPr>
      <w:r>
        <w:rPr>
          <w:rFonts w:hint="eastAsia" w:ascii="Times New Roman" w:hAnsi="Times New Roman" w:cs="Times New Roman"/>
          <w:bCs/>
          <w:sz w:val="20"/>
          <w:szCs w:val="20"/>
          <w:highlight w:val="none"/>
          <w:lang w:val="en-US" w:eastAsia="zh-CN"/>
        </w:rPr>
        <w:t xml:space="preserve">In this contribution, we focus on the scenario discussion of ACLR/SEM/spurious emission relaxation. </w:t>
      </w:r>
    </w:p>
    <w:p>
      <w:pPr>
        <w:keepNext/>
        <w:keepLines/>
        <w:widowControl/>
        <w:numPr>
          <w:ilvl w:val="0"/>
          <w:numId w:val="2"/>
        </w:numPr>
        <w:pBdr>
          <w:top w:val="single" w:color="auto" w:sz="12" w:space="1"/>
        </w:pBdr>
        <w:tabs>
          <w:tab w:val="left" w:pos="567"/>
        </w:tabs>
        <w:adjustRightInd w:val="0"/>
        <w:spacing w:before="240" w:after="180"/>
        <w:outlineLvl w:val="0"/>
        <w:rPr>
          <w:rFonts w:hint="eastAsia"/>
          <w:highlight w:val="none"/>
          <w:lang w:val="en-US" w:eastAsia="zh-CN"/>
        </w:rPr>
      </w:pPr>
      <w:r>
        <w:rPr>
          <w:rFonts w:hint="eastAsia" w:ascii="Arial" w:hAnsi="Arial" w:eastAsiaTheme="minorEastAsia" w:cstheme="minorBidi"/>
          <w:sz w:val="32"/>
          <w:szCs w:val="36"/>
          <w:highlight w:val="none"/>
        </w:rPr>
        <w:t>Discussion</w:t>
      </w:r>
      <w:r>
        <w:rPr>
          <w:rFonts w:hint="eastAsia"/>
          <w:highlight w:val="none"/>
          <w:lang w:val="en-US" w:eastAsia="zh-CN"/>
        </w:rPr>
        <w:t xml:space="preserve"> </w:t>
      </w:r>
    </w:p>
    <w:p>
      <w:pPr>
        <w:numPr>
          <w:ilvl w:val="0"/>
          <w:numId w:val="0"/>
        </w:numPr>
        <w:spacing w:after="180"/>
        <w:ind w:leftChars="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The MPR is determined by unwanted Tx and signal quality requirements. For higher order modulation scheme, i.e. 256QAM, the MPR is mainly determined by EVM requirements. For other lower order modulation scheme, unwanted Tx requirements is the determining factor for MPR. Since the SID only focus on QPSK and 16QAM, the unwanted Tx requirement is determining factor for final MPR. </w:t>
      </w:r>
    </w:p>
    <w:p>
      <w:pPr>
        <w:numPr>
          <w:ilvl w:val="0"/>
          <w:numId w:val="0"/>
        </w:numPr>
        <w:spacing w:after="180"/>
        <w:ind w:leftChars="0"/>
        <w:jc w:val="left"/>
        <w:rPr>
          <w:rFonts w:hint="eastAsia" w:ascii="Times New Roman" w:hAnsi="Times New Roman" w:cs="Times New Roman"/>
          <w:sz w:val="20"/>
          <w:szCs w:val="20"/>
          <w:highlight w:val="none"/>
          <w:lang w:val="en-US" w:eastAsia="zh-CN"/>
        </w:rPr>
      </w:pPr>
      <w:r>
        <w:rPr>
          <w:rFonts w:hint="eastAsia" w:ascii="Times New Roman" w:hAnsi="Times New Roman"/>
          <w:b w:val="0"/>
          <w:bCs w:val="0"/>
          <w:sz w:val="20"/>
          <w:szCs w:val="20"/>
          <w:highlight w:val="none"/>
          <w:lang w:val="en-US" w:eastAsia="zh-CN"/>
        </w:rPr>
        <w:t>According to our deployment experience, we list following potential scenarios that may lead to relaxation of ACLR/SEM/spurious emission requirements</w:t>
      </w:r>
      <w:r>
        <w:rPr>
          <w:rFonts w:hint="eastAsia" w:ascii="Times New Roman" w:hAnsi="Times New Roman" w:cs="Times New Roman"/>
          <w:sz w:val="20"/>
          <w:szCs w:val="20"/>
          <w:highlight w:val="none"/>
          <w:lang w:val="en-US" w:eastAsia="zh-CN"/>
        </w:rPr>
        <w:t>:</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Scenario 1: One individual operator </w:t>
      </w:r>
      <w:r>
        <w:rPr>
          <w:rFonts w:hint="eastAsia" w:ascii="Times New Roman" w:hAnsi="Times New Roman"/>
          <w:b/>
          <w:bCs/>
          <w:sz w:val="20"/>
          <w:szCs w:val="20"/>
          <w:highlight w:val="none"/>
          <w:lang w:val="en-US" w:eastAsia="zh-CN"/>
        </w:rPr>
        <w:t>share the whole operation band</w:t>
      </w:r>
      <w:r>
        <w:rPr>
          <w:rFonts w:hint="eastAsia" w:ascii="Times New Roman" w:hAnsi="Times New Roman"/>
          <w:b w:val="0"/>
          <w:bCs w:val="0"/>
          <w:sz w:val="20"/>
          <w:szCs w:val="20"/>
          <w:highlight w:val="none"/>
          <w:lang w:val="en-US" w:eastAsia="zh-CN"/>
        </w:rPr>
        <w:t>, i.e. no operators in the same area using the adjacent(s) carriers</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Scenario 2: </w:t>
      </w:r>
      <w:r>
        <w:rPr>
          <w:rFonts w:hint="eastAsia" w:ascii="Times New Roman" w:hAnsi="Times New Roman"/>
          <w:b/>
          <w:bCs/>
          <w:sz w:val="20"/>
          <w:szCs w:val="20"/>
          <w:highlight w:val="none"/>
          <w:lang w:val="en-US" w:eastAsia="zh-CN"/>
        </w:rPr>
        <w:t>when several operators share the same operation band</w:t>
      </w:r>
      <w:r>
        <w:rPr>
          <w:rFonts w:hint="eastAsia" w:ascii="Times New Roman" w:hAnsi="Times New Roman"/>
          <w:b w:val="0"/>
          <w:bCs w:val="0"/>
          <w:sz w:val="20"/>
          <w:szCs w:val="20"/>
          <w:highlight w:val="none"/>
          <w:lang w:val="en-US" w:eastAsia="zh-CN"/>
        </w:rPr>
        <w:t>, there is enough guard spectrum at each side of operator</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s spectrum edge </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example, there is reserved spectrum between two operators</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 spectrum in the same area</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ACLR is symmetrical at both sides of carrier edges, only one side relaxation will not contribute to final ACLR relaxation</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Scenario 3: The UE bandwidth is less than gNB bandwidth, then equivalent ACLR falling into adjacent gNB bandwidth may be less than current ACLR requirements.</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3-1: instead of ACLR 1, ACLR 2 or even higher order ACLR may apply due to less UE bandwidth.</w:t>
      </w:r>
    </w:p>
    <w:p>
      <w:pPr>
        <w:numPr>
          <w:ilvl w:val="2"/>
          <w:numId w:val="3"/>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the flexible UE bandwidth location within gNB bandwidth</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3-2: Equivalent ACLR due to unequal aggressor and victim bandwidth for adjacent carrier co-existence scenario</w:t>
      </w:r>
    </w:p>
    <w:p>
      <w:pPr>
        <w:numPr>
          <w:ilvl w:val="2"/>
          <w:numId w:val="3"/>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less UE aggressor bandwidth compared with gNB victim bandwidth</w:t>
      </w:r>
    </w:p>
    <w:p>
      <w:pPr>
        <w:numPr>
          <w:ilvl w:val="0"/>
          <w:numId w:val="0"/>
        </w:num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1: above three scenarios are the potential scenarios that may lead to relaxation of ACLR/SEM emission requirements.</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scenario 1, this usually occurs for the operation band with smaller frequency range. To avoid spectrum fragment, the regulatory agency usually allocates the whole band spec</w:t>
      </w:r>
      <w:r>
        <w:rPr>
          <w:rFonts w:hint="default" w:ascii="Times New Roman" w:hAnsi="Times New Roman" w:cs="Times New Roman"/>
          <w:b w:val="0"/>
          <w:bCs w:val="0"/>
          <w:sz w:val="20"/>
          <w:szCs w:val="20"/>
          <w:highlight w:val="none"/>
          <w:lang w:val="en-US" w:eastAsia="zh-CN"/>
        </w:rPr>
        <w:t>trum for only one operator. For example, the band n3</w:t>
      </w:r>
      <w:r>
        <w:rPr>
          <w:rFonts w:hint="eastAsia" w:ascii="Times New Roman" w:hAnsi="Times New Roman" w:cs="Times New Roman"/>
          <w:b w:val="0"/>
          <w:bCs w:val="0"/>
          <w:sz w:val="20"/>
          <w:szCs w:val="20"/>
          <w:highlight w:val="none"/>
          <w:lang w:val="en-US" w:eastAsia="zh-CN"/>
        </w:rPr>
        <w:t>4</w:t>
      </w:r>
      <w:r>
        <w:rPr>
          <w:rFonts w:hint="default" w:ascii="Times New Roman" w:hAnsi="Times New Roman" w:cs="Times New Roman"/>
          <w:b w:val="0"/>
          <w:bCs w:val="0"/>
          <w:sz w:val="20"/>
          <w:szCs w:val="20"/>
          <w:highlight w:val="none"/>
          <w:lang w:val="en-US" w:eastAsia="zh-CN"/>
        </w:rPr>
        <w:t xml:space="preserve"> (2010-2025MHz) with </w:t>
      </w:r>
      <w:r>
        <w:rPr>
          <w:rFonts w:hint="eastAsia" w:ascii="Times New Roman" w:hAnsi="Times New Roman" w:cs="Times New Roman"/>
          <w:b w:val="0"/>
          <w:bCs w:val="0"/>
          <w:sz w:val="20"/>
          <w:szCs w:val="20"/>
          <w:highlight w:val="none"/>
          <w:lang w:val="en-US" w:eastAsia="zh-CN"/>
        </w:rPr>
        <w:t>total</w:t>
      </w:r>
      <w:r>
        <w:rPr>
          <w:rFonts w:hint="default" w:ascii="Times New Roman" w:hAnsi="Times New Roman" w:cs="Times New Roman"/>
          <w:b w:val="0"/>
          <w:bCs w:val="0"/>
          <w:sz w:val="20"/>
          <w:szCs w:val="20"/>
          <w:highlight w:val="none"/>
          <w:lang w:val="en-US" w:eastAsia="zh-CN"/>
        </w:rPr>
        <w:t xml:space="preserve"> 15MHz frequency range is only allocated for CMCC in China. For this case, to be honest, ACLR</w:t>
      </w:r>
      <w:r>
        <w:rPr>
          <w:rFonts w:hint="eastAsia" w:ascii="Times New Roman" w:hAnsi="Times New Roman" w:cs="Times New Roman"/>
          <w:b w:val="0"/>
          <w:bCs w:val="0"/>
          <w:sz w:val="20"/>
          <w:szCs w:val="20"/>
          <w:highlight w:val="none"/>
          <w:lang w:val="en-US" w:eastAsia="zh-CN"/>
        </w:rPr>
        <w:t>/SEM</w:t>
      </w:r>
      <w:r>
        <w:rPr>
          <w:rFonts w:hint="default" w:ascii="Times New Roman" w:hAnsi="Times New Roman" w:cs="Times New Roman"/>
          <w:b w:val="0"/>
          <w:bCs w:val="0"/>
          <w:sz w:val="20"/>
          <w:szCs w:val="20"/>
          <w:highlight w:val="none"/>
          <w:lang w:val="en-US" w:eastAsia="zh-CN"/>
        </w:rPr>
        <w:t xml:space="preserve"> requirement</w:t>
      </w:r>
      <w:r>
        <w:rPr>
          <w:rFonts w:hint="eastAsia" w:ascii="Times New Roman" w:hAnsi="Times New Roman" w:cs="Times New Roman"/>
          <w:b w:val="0"/>
          <w:bCs w:val="0"/>
          <w:sz w:val="20"/>
          <w:szCs w:val="20"/>
          <w:highlight w:val="none"/>
          <w:lang w:val="en-US" w:eastAsia="zh-CN"/>
        </w:rPr>
        <w:t>s</w:t>
      </w:r>
      <w:r>
        <w:rPr>
          <w:rFonts w:hint="default" w:ascii="Times New Roman" w:hAnsi="Times New Roman" w:cs="Times New Roman"/>
          <w:b w:val="0"/>
          <w:bCs w:val="0"/>
          <w:sz w:val="20"/>
          <w:szCs w:val="20"/>
          <w:highlight w:val="none"/>
          <w:lang w:val="en-US" w:eastAsia="zh-CN"/>
        </w:rPr>
        <w:t xml:space="preserve"> may not be needed </w:t>
      </w:r>
      <w:r>
        <w:rPr>
          <w:rFonts w:hint="eastAsia" w:ascii="Times New Roman" w:hAnsi="Times New Roman" w:cs="Times New Roman"/>
          <w:b w:val="0"/>
          <w:bCs w:val="0"/>
          <w:sz w:val="20"/>
          <w:szCs w:val="20"/>
          <w:highlight w:val="none"/>
          <w:lang w:val="en-US" w:eastAsia="zh-CN"/>
        </w:rPr>
        <w:t xml:space="preserve">if only considering </w:t>
      </w:r>
      <w:r>
        <w:rPr>
          <w:rFonts w:hint="default" w:ascii="Times New Roman" w:hAnsi="Times New Roman" w:cs="Times New Roman"/>
          <w:b w:val="0"/>
          <w:bCs w:val="0"/>
          <w:sz w:val="20"/>
          <w:szCs w:val="20"/>
          <w:highlight w:val="none"/>
          <w:lang w:val="en-US" w:eastAsia="zh-CN"/>
        </w:rPr>
        <w:t xml:space="preserve">adjacent carrier interference among different operators. </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However, for scenario 1, except for the adjacent carrier interference issue, we should also consider adjacent band interference issue in which case the ACLR requirement may also applies. For example, </w:t>
      </w:r>
      <w:r>
        <w:rPr>
          <w:rFonts w:hint="default" w:ascii="Times New Roman" w:hAnsi="Times New Roman" w:cs="Times New Roman"/>
          <w:b w:val="0"/>
          <w:bCs w:val="0"/>
          <w:sz w:val="20"/>
          <w:szCs w:val="20"/>
          <w:highlight w:val="none"/>
          <w:lang w:val="en-US" w:eastAsia="zh-CN"/>
        </w:rPr>
        <w:t>band</w:t>
      </w:r>
      <w:r>
        <w:rPr>
          <w:rFonts w:hint="eastAsia" w:ascii="Times New Roman" w:hAnsi="Times New Roman" w:cs="Times New Roman"/>
          <w:b w:val="0"/>
          <w:bCs w:val="0"/>
          <w:sz w:val="20"/>
          <w:szCs w:val="20"/>
          <w:highlight w:val="none"/>
          <w:lang w:val="en-US" w:eastAsia="zh-CN"/>
        </w:rPr>
        <w:t xml:space="preserve"> n34</w:t>
      </w:r>
      <w:r>
        <w:rPr>
          <w:rFonts w:hint="default" w:ascii="Times New Roman" w:hAnsi="Times New Roman" w:cs="Times New Roman"/>
          <w:b w:val="0"/>
          <w:bCs w:val="0"/>
          <w:sz w:val="20"/>
          <w:szCs w:val="20"/>
          <w:highlight w:val="none"/>
          <w:lang w:val="en-US" w:eastAsia="zh-CN"/>
        </w:rPr>
        <w:t xml:space="preserve"> is adjacent to n256 without any guard spectrum. According to the spec, </w:t>
      </w:r>
      <w:r>
        <w:rPr>
          <w:rFonts w:hint="eastAsia" w:ascii="Times New Roman" w:hAnsi="Times New Roman" w:cs="Times New Roman"/>
          <w:b w:val="0"/>
          <w:bCs w:val="0"/>
          <w:sz w:val="20"/>
          <w:szCs w:val="20"/>
          <w:highlight w:val="none"/>
          <w:lang w:val="en-US" w:eastAsia="zh-CN"/>
        </w:rPr>
        <w:t xml:space="preserve">SEM/ACLR requirement </w:t>
      </w:r>
      <w:r>
        <w:rPr>
          <w:rFonts w:hint="default" w:ascii="Times New Roman" w:hAnsi="Times New Roman" w:cs="Times New Roman"/>
          <w:sz w:val="20"/>
          <w:szCs w:val="20"/>
          <w:highlight w:val="none"/>
        </w:rPr>
        <w:t>applies to frequencies (Δf</w:t>
      </w:r>
      <w:r>
        <w:rPr>
          <w:rFonts w:hint="default" w:ascii="Times New Roman" w:hAnsi="Times New Roman" w:cs="Times New Roman"/>
          <w:sz w:val="20"/>
          <w:szCs w:val="20"/>
          <w:highlight w:val="none"/>
          <w:vertAlign w:val="subscript"/>
        </w:rPr>
        <w:t>OOB</w:t>
      </w:r>
      <w:r>
        <w:rPr>
          <w:rFonts w:hint="default" w:ascii="Times New Roman" w:hAnsi="Times New Roman" w:cs="Times New Roman"/>
          <w:snapToGrid w:val="0"/>
          <w:sz w:val="20"/>
          <w:szCs w:val="20"/>
          <w:highlight w:val="none"/>
        </w:rPr>
        <w:t>)</w:t>
      </w:r>
      <w:r>
        <w:rPr>
          <w:rFonts w:hint="default" w:ascii="Times New Roman" w:hAnsi="Times New Roman" w:cs="Times New Roman"/>
          <w:sz w:val="20"/>
          <w:szCs w:val="20"/>
          <w:highlight w:val="none"/>
        </w:rPr>
        <w:t xml:space="preserve"> starting from the </w:t>
      </w:r>
      <w:r>
        <w:rPr>
          <w:rFonts w:hint="default" w:ascii="Times New Roman" w:hAnsi="Times New Roman" w:cs="Times New Roman"/>
          <w:sz w:val="20"/>
          <w:szCs w:val="20"/>
          <w:highlight w:val="none"/>
        </w:rPr>
        <w:sym w:font="Symbol" w:char="F0B1"/>
      </w:r>
      <w:r>
        <w:rPr>
          <w:rFonts w:hint="default" w:ascii="Times New Roman" w:hAnsi="Times New Roman" w:cs="Times New Roman"/>
          <w:sz w:val="20"/>
          <w:szCs w:val="20"/>
          <w:highlight w:val="none"/>
        </w:rPr>
        <w:t xml:space="preserve"> edge of the assigned NR channel bandwidth. </w:t>
      </w:r>
      <w:r>
        <w:rPr>
          <w:rFonts w:hint="eastAsia" w:ascii="Times New Roman" w:hAnsi="Times New Roman" w:cs="Times New Roman"/>
          <w:sz w:val="20"/>
          <w:szCs w:val="20"/>
          <w:highlight w:val="none"/>
          <w:lang w:val="en-US" w:eastAsia="zh-CN"/>
        </w:rPr>
        <w:t>Only f</w:t>
      </w:r>
      <w:r>
        <w:rPr>
          <w:rFonts w:hint="default" w:ascii="Times New Roman" w:hAnsi="Times New Roman" w:cs="Times New Roman"/>
          <w:sz w:val="20"/>
          <w:szCs w:val="20"/>
          <w:highlight w:val="none"/>
        </w:rPr>
        <w:t>or frequencies offset greater than Δf</w:t>
      </w:r>
      <w:r>
        <w:rPr>
          <w:rFonts w:hint="default" w:ascii="Times New Roman" w:hAnsi="Times New Roman" w:cs="Times New Roman"/>
          <w:sz w:val="20"/>
          <w:szCs w:val="20"/>
          <w:highlight w:val="none"/>
          <w:vertAlign w:val="subscript"/>
        </w:rPr>
        <w:t>OOB</w:t>
      </w:r>
      <w:r>
        <w:rPr>
          <w:rFonts w:hint="default" w:ascii="Times New Roman" w:hAnsi="Times New Roman" w:cs="Times New Roman"/>
          <w:sz w:val="20"/>
          <w:szCs w:val="20"/>
          <w:highlight w:val="none"/>
        </w:rPr>
        <w:t>,</w:t>
      </w:r>
      <w:r>
        <w:rPr>
          <w:rFonts w:hint="default" w:ascii="Times New Roman" w:hAnsi="Times New Roman" w:cs="Times New Roman"/>
          <w:snapToGrid w:val="0"/>
          <w:sz w:val="20"/>
          <w:szCs w:val="20"/>
          <w:highlight w:val="none"/>
        </w:rPr>
        <w:t xml:space="preserve"> the spurious requirements are applicable.</w:t>
      </w:r>
      <w:r>
        <w:rPr>
          <w:rFonts w:hint="default" w:ascii="Times New Roman" w:hAnsi="Times New Roman"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 xml:space="preserve">This means ACLR/SEM of band n34 applies for certain frequency range of n256 but for the remaining frequency range of n256, the spurious emission requirement applies. </w:t>
      </w:r>
      <w:r>
        <w:rPr>
          <w:rFonts w:hint="eastAsia" w:ascii="Times New Roman" w:hAnsi="Times New Roman" w:cs="Times New Roman"/>
          <w:b w:val="0"/>
          <w:bCs w:val="0"/>
          <w:strike w:val="0"/>
          <w:dstrike w:val="0"/>
          <w:sz w:val="20"/>
          <w:szCs w:val="20"/>
          <w:highlight w:val="none"/>
          <w:lang w:val="en-US" w:eastAsia="zh-CN"/>
        </w:rPr>
        <w:t>H</w:t>
      </w:r>
      <w:r>
        <w:rPr>
          <w:rFonts w:hint="eastAsia" w:ascii="Times New Roman" w:hAnsi="Times New Roman" w:cs="Times New Roman"/>
          <w:b w:val="0"/>
          <w:bCs w:val="0"/>
          <w:sz w:val="20"/>
          <w:szCs w:val="20"/>
          <w:highlight w:val="none"/>
          <w:lang w:val="en-US" w:eastAsia="zh-CN"/>
        </w:rPr>
        <w:t xml:space="preserve">owever, for the adjacent operation band case, the spatial isolation distance should also be taken into consideration, in some cases due to spatial isolation, the adjacent operation band interference may be negligible. For the interference from n34 UE to n256 GEO satellite, if there is enough spatial isolation, then even without ACLR requirement, the n34 UE could co-exist with n256 GEO satellite.  </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Observation 2: whether the ACLR/SEM requirement applies or not should consider both the adjacent carrier interference and adjacent operation band interference case. Besides, since ACLR/SEM requirement relaxation is BS indication basis, the spatial isolation factor for actual deployment scenario should also be taken into consideration.</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1: for scenario 1, the ACLR and SEM may not be needed when taken spatial isolation factor into consideration.</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the band n28, in china it is only allocated to one individual operator without adjacent-carrier interference issue. Besides, its adjacent band is broadcasting services which is outside of 3GPP scope so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hard to identify whether the ACLR/SEM/spurious emission requirements could be relaxed or not. </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For the band n39, in China it is also only allocated to CMCC without adjacent carrier interference issue. But n39 is adjacent to both band n3 DL and band n1 UL. To avoid the gNB-to-gNB interference, guard spectrum is reserved, i.e. 5MHz as shown below. For this case, according to 3GPP, band n39 UE ACLR1 still applies in the frequency range of band n1 even with guard band. but it seems ACLR relaxation is allowed due to the guard band. RAN4 could further discuss whether ACLR relaxation is allowed or not when there is certain guard band and the guard band is less than the CBW assumption for ACLR. </w:t>
      </w:r>
    </w:p>
    <w:p>
      <w:pPr>
        <w:numPr>
          <w:ilvl w:val="0"/>
          <w:numId w:val="0"/>
        </w:numPr>
        <w:spacing w:after="180"/>
        <w:jc w:val="center"/>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drawing>
          <wp:inline distT="0" distB="0" distL="114300" distR="114300">
            <wp:extent cx="3721100" cy="1073150"/>
            <wp:effectExtent l="0" t="0" r="0" b="6350"/>
            <wp:docPr id="1" name="图片 1" descr="171248868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2488682184"/>
                    <pic:cNvPicPr>
                      <a:picLocks noChangeAspect="1"/>
                    </pic:cNvPicPr>
                  </pic:nvPicPr>
                  <pic:blipFill>
                    <a:blip r:embed="rId5"/>
                    <a:stretch>
                      <a:fillRect/>
                    </a:stretch>
                  </pic:blipFill>
                  <pic:spPr>
                    <a:xfrm>
                      <a:off x="0" y="0"/>
                      <a:ext cx="3721100" cy="1073150"/>
                    </a:xfrm>
                    <a:prstGeom prst="rect">
                      <a:avLst/>
                    </a:prstGeom>
                  </pic:spPr>
                </pic:pic>
              </a:graphicData>
            </a:graphic>
          </wp:inline>
        </w:drawing>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2: RAN4 further discuss whether the ACLR relaxation is allowed for the case when there is guard band but the guard band is less than CBW assumption for ACLR</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scenario 2, to avoid spectrum idle and fragment, regulatory agency usually allocates the contiguous spectrum for operators rather than reserving some idle spectrum between operators. So usually option 2 is the corner case but we still need to wait for companies input to further check whether such case occurs among the world.</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3: usually regulatory agency will not reserve spectrum between two operators to avoid spectrum fragment. But still suggest to wait for companies input to further identify whether scenario 2 is the corner case or not. </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scenario 3, there are two sub-scenarios. For sub-scenario 3-1, due to UE</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bandwidth is less than gNB, the ACLR2 or ACLR3 or even high order ACLR would be applicable when we consider the synchronized deployment between adjacent operators, i.e. UE transmit with less bandwidth but gNB receiver with larger bandwidth. In current spec, there is the same ACLR1 and ACLR2 when coexist with adjacent(s) UTRA channel frequency. But for NR co-existing with adjacent NR, there is only ACLR1 and no requirements for other higher order ACLR. RAN4 needs to further discuss whether there is any relaxation for higher order ACLR. From our understanding, certain relaxation should be allowed for higher order ACLR.</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RAN4 needs to discuss whether there is any relaxation for higher order ACLR for the scenario when UE bandwidth is less than gNB bandwidth.</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above sub-scenario 3-2, we should identify basic principle to transform the ACLR when the aggressor and victim bandwidth is different. During the simulation of SBFD, following assumption is used to transform ACLR with different aggressor and victim bandwidth which could be referred as starting point for further 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1"/>
              <w:numPr>
                <w:ilvl w:val="0"/>
                <w:numId w:val="3"/>
              </w:numPr>
              <w:spacing w:before="120" w:line="280" w:lineRule="atLeast"/>
              <w:ind w:left="72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cases where the aggressor’s bandwidth is narrower that the victim’s bandwidth:</w:t>
            </w:r>
          </w:p>
          <w:p>
            <w:pPr>
              <w:pStyle w:val="53"/>
              <w:numPr>
                <w:ilvl w:val="1"/>
                <w:numId w:val="3"/>
              </w:numPr>
              <w:spacing w:before="120" w:line="280" w:lineRule="atLeast"/>
              <w:ind w:left="144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Both the ACLR and ACS are kept to the </w:t>
            </w:r>
            <w:r>
              <w:rPr>
                <w:rFonts w:hint="eastAsia" w:ascii="Times New Roman" w:hAnsi="Times New Roman" w:cs="Times New Roman"/>
                <w:sz w:val="20"/>
                <w:szCs w:val="20"/>
                <w:highlight w:val="none"/>
                <w:lang w:val="en-US" w:eastAsia="zh-CN"/>
              </w:rPr>
              <w:t>legacy value</w:t>
            </w:r>
            <w:r>
              <w:rPr>
                <w:rFonts w:hint="default" w:ascii="Times New Roman" w:hAnsi="Times New Roman" w:cs="Times New Roman"/>
                <w:sz w:val="20"/>
                <w:szCs w:val="20"/>
                <w:highlight w:val="none"/>
              </w:rPr>
              <w:t>.</w:t>
            </w:r>
          </w:p>
          <w:p>
            <w:pPr>
              <w:pStyle w:val="31"/>
              <w:numPr>
                <w:ilvl w:val="0"/>
                <w:numId w:val="3"/>
              </w:numPr>
              <w:spacing w:before="120" w:line="280" w:lineRule="atLeast"/>
              <w:ind w:left="72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cases where the aggressor’s bandwidth is wider than the victim’s bandwidth:</w:t>
            </w:r>
          </w:p>
          <w:p>
            <w:pPr>
              <w:pStyle w:val="53"/>
              <w:numPr>
                <w:ilvl w:val="1"/>
                <w:numId w:val="3"/>
              </w:numPr>
              <w:spacing w:before="120" w:line="280" w:lineRule="atLeast"/>
              <w:ind w:left="1440" w:leftChars="0" w:hanging="36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A bandwidth compensation factor is applied to the ACLR and ACS values. The factor is calculated as:</w:t>
            </w:r>
          </w:p>
          <w:p>
            <w:pPr>
              <w:pStyle w:val="25"/>
              <w:numPr>
                <w:ilvl w:val="0"/>
                <w:numId w:val="0"/>
              </w:numPr>
              <w:spacing w:before="120" w:line="280" w:lineRule="atLeast"/>
              <w:ind w:left="1800" w:leftChars="0"/>
              <w:rPr>
                <w:rFonts w:hint="default" w:ascii="Times New Roman" w:hAnsi="Times New Roman" w:cs="Times New Roman"/>
                <w:sz w:val="20"/>
                <w:szCs w:val="20"/>
                <w:highlight w:val="none"/>
              </w:rPr>
            </w:pPr>
            <m:oMathPara>
              <m:oMath>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factor</m:t>
                    </m:r>
                    <m:ctrlPr>
                      <w:rPr>
                        <w:rFonts w:hint="default" w:ascii="Cambria Math" w:hAnsi="Cambria Math" w:cs="Times New Roman"/>
                        <w:i/>
                        <w:sz w:val="20"/>
                        <w:szCs w:val="20"/>
                        <w:highlight w:val="none"/>
                      </w:rPr>
                    </m:ctrlPr>
                  </m:sub>
                </m:sSub>
                <m:r>
                  <m:rPr/>
                  <w:rPr>
                    <w:rFonts w:hint="default" w:ascii="Cambria Math" w:hAnsi="Cambria Math" w:cs="Times New Roman"/>
                    <w:sz w:val="20"/>
                    <w:szCs w:val="20"/>
                    <w:highlight w:val="none"/>
                  </w:rPr>
                  <m:t>=10</m:t>
                </m:r>
                <m:func>
                  <m:funcPr>
                    <m:ctrlPr>
                      <w:rPr>
                        <w:rFonts w:hint="default" w:ascii="Cambria Math" w:hAnsi="Cambria Math" w:cs="Times New Roman"/>
                        <w:i/>
                        <w:sz w:val="20"/>
                        <w:szCs w:val="20"/>
                        <w:highlight w:val="none"/>
                      </w:rPr>
                    </m:ctrlPr>
                  </m:funcPr>
                  <m:fName>
                    <m:sSub>
                      <m:sSubPr>
                        <m:ctrlPr>
                          <w:rPr>
                            <w:rFonts w:hint="default" w:ascii="Cambria Math" w:hAnsi="Cambria Math" w:cs="Times New Roman"/>
                            <w:i/>
                            <w:sz w:val="20"/>
                            <w:szCs w:val="20"/>
                            <w:highlight w:val="none"/>
                          </w:rPr>
                        </m:ctrlPr>
                      </m:sSubPr>
                      <m:e>
                        <m:r>
                          <m:rPr>
                            <m:sty m:val="p"/>
                          </m:rPr>
                          <w:rPr>
                            <w:rFonts w:hint="default" w:ascii="Cambria Math" w:hAnsi="Cambria Math" w:cs="Times New Roman"/>
                            <w:sz w:val="20"/>
                            <w:szCs w:val="20"/>
                            <w:highlight w:val="none"/>
                          </w:rPr>
                          <m:t>log</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10</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fName>
                  <m:e>
                    <m:d>
                      <m:dPr>
                        <m:ctrlPr>
                          <w:rPr>
                            <w:rFonts w:hint="default" w:ascii="Cambria Math" w:hAnsi="Cambria Math" w:cs="Times New Roman"/>
                            <w:i/>
                            <w:sz w:val="20"/>
                            <w:szCs w:val="20"/>
                            <w:highlight w:val="none"/>
                          </w:rPr>
                        </m:ctrlPr>
                      </m:dPr>
                      <m:e>
                        <m:f>
                          <m:fPr>
                            <m:ctrlPr>
                              <w:rPr>
                                <w:rFonts w:hint="default" w:ascii="Cambria Math" w:hAnsi="Cambria Math" w:cs="Times New Roman"/>
                                <w:i/>
                                <w:sz w:val="20"/>
                                <w:szCs w:val="20"/>
                                <w:highlight w:val="none"/>
                              </w:rPr>
                            </m:ctrlPr>
                          </m:fPr>
                          <m:num>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aggressor</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num>
                          <m:den>
                            <m:r>
                              <m:rPr/>
                              <w:rPr>
                                <w:rFonts w:hint="default" w:ascii="Cambria Math" w:hAnsi="Cambria Math" w:cs="Times New Roman"/>
                                <w:sz w:val="20"/>
                                <w:szCs w:val="20"/>
                                <w:highlight w:val="none"/>
                              </w:rPr>
                              <m:t>B</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W</m:t>
                                </m:r>
                                <m:ctrlPr>
                                  <w:rPr>
                                    <w:rFonts w:hint="default" w:ascii="Cambria Math" w:hAnsi="Cambria Math" w:cs="Times New Roman"/>
                                    <w:i/>
                                    <w:sz w:val="20"/>
                                    <w:szCs w:val="20"/>
                                    <w:highlight w:val="none"/>
                                  </w:rPr>
                                </m:ctrlPr>
                              </m:e>
                              <m:sub>
                                <m:r>
                                  <m:rPr/>
                                  <w:rPr>
                                    <w:rFonts w:hint="default" w:ascii="Cambria Math" w:hAnsi="Cambria Math" w:cs="Times New Roman"/>
                                    <w:sz w:val="20"/>
                                    <w:szCs w:val="20"/>
                                    <w:highlight w:val="none"/>
                                  </w:rPr>
                                  <m:t>victim</m:t>
                                </m:r>
                                <m:ctrlPr>
                                  <w:rPr>
                                    <w:rFonts w:hint="default" w:ascii="Cambria Math" w:hAnsi="Cambria Math" w:cs="Times New Roman"/>
                                    <w:i/>
                                    <w:sz w:val="20"/>
                                    <w:szCs w:val="20"/>
                                    <w:highlight w:val="none"/>
                                  </w:rPr>
                                </m:ctrlPr>
                              </m:sub>
                            </m:sSub>
                            <m:ctrlPr>
                              <w:rPr>
                                <w:rFonts w:hint="default" w:ascii="Cambria Math" w:hAnsi="Cambria Math" w:cs="Times New Roman"/>
                                <w:i/>
                                <w:sz w:val="20"/>
                                <w:szCs w:val="20"/>
                                <w:highlight w:val="none"/>
                              </w:rPr>
                            </m:ctrlPr>
                          </m:den>
                        </m:f>
                        <m:ctrlPr>
                          <w:rPr>
                            <w:rFonts w:hint="default" w:ascii="Cambria Math" w:hAnsi="Cambria Math" w:cs="Times New Roman"/>
                            <w:i/>
                            <w:sz w:val="20"/>
                            <w:szCs w:val="20"/>
                            <w:highlight w:val="none"/>
                          </w:rPr>
                        </m:ctrlPr>
                      </m:e>
                    </m:d>
                    <m:ctrlPr>
                      <w:rPr>
                        <w:rFonts w:hint="default" w:ascii="Cambria Math" w:hAnsi="Cambria Math" w:cs="Times New Roman"/>
                        <w:i/>
                        <w:sz w:val="20"/>
                        <w:szCs w:val="20"/>
                        <w:highlight w:val="none"/>
                      </w:rPr>
                    </m:ctrlPr>
                  </m:e>
                </m:func>
                <m:r>
                  <m:rPr/>
                  <w:rPr>
                    <w:rFonts w:hint="default" w:ascii="Cambria Math" w:hAnsi="Cambria Math" w:cs="Times New Roman"/>
                    <w:sz w:val="20"/>
                    <w:szCs w:val="20"/>
                    <w:highlight w:val="none"/>
                  </w:rPr>
                  <m:t>,</m:t>
                </m:r>
                <m:r>
                  <m:rPr>
                    <m:sty m:val="p"/>
                  </m:rPr>
                  <w:rPr>
                    <w:rFonts w:hint="default" w:ascii="Cambria Math" w:hAnsi="Cambria Math" w:cs="Times New Roman"/>
                    <w:sz w:val="20"/>
                    <w:szCs w:val="20"/>
                    <w:highlight w:val="none"/>
                  </w:rPr>
                  <w:br w:type="textWrapping"/>
                </m:r>
              </m:oMath>
            </m:oMathPara>
          </w:p>
          <w:p>
            <w:pPr>
              <w:pStyle w:val="53"/>
              <w:numPr>
                <w:ilvl w:val="1"/>
                <w:numId w:val="3"/>
              </w:numPr>
              <w:spacing w:before="120" w:line="280" w:lineRule="atLeast"/>
              <w:ind w:left="1440" w:leftChars="0" w:hanging="360" w:firstLineChars="0"/>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For instance, for a TDD DL 100 MHz BW aggressor network interfering a UL 20 MHz BW victim, the ACLR is equal to: 45dBc + 10log</w:t>
            </w:r>
            <w:r>
              <w:rPr>
                <w:rFonts w:hint="default" w:ascii="Times New Roman" w:hAnsi="Times New Roman" w:cs="Times New Roman"/>
                <w:sz w:val="20"/>
                <w:szCs w:val="20"/>
                <w:highlight w:val="none"/>
                <w:vertAlign w:val="subscript"/>
              </w:rPr>
              <w:t>10</w:t>
            </w:r>
            <w:r>
              <w:rPr>
                <w:rFonts w:hint="default" w:ascii="Times New Roman" w:hAnsi="Times New Roman" w:cs="Times New Roman"/>
                <w:sz w:val="20"/>
                <w:szCs w:val="20"/>
                <w:highlight w:val="none"/>
              </w:rPr>
              <w:t>(100/20) = 52 dBc</w:t>
            </w:r>
          </w:p>
        </w:tc>
      </w:tr>
    </w:tbl>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 </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5: RAN4 further discuss whether the ACLR with narrower aggressor BW than victim BW still equals to the legacy value or not.</w:t>
      </w:r>
    </w:p>
    <w:p>
      <w:pPr>
        <w:numPr>
          <w:ilvl w:val="0"/>
          <w:numId w:val="0"/>
        </w:numPr>
        <w:spacing w:after="180"/>
        <w:jc w:val="left"/>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In summary of all above scenarios, we have following two case of ACLR/SEM requirements</w:t>
      </w:r>
    </w:p>
    <w:p>
      <w:pPr>
        <w:numPr>
          <w:ilvl w:val="0"/>
          <w:numId w:val="3"/>
        </w:numPr>
        <w:tabs>
          <w:tab w:val="clear" w:pos="720"/>
        </w:tabs>
        <w:spacing w:after="180"/>
        <w:ind w:left="720" w:leftChars="0" w:hanging="360" w:firstLineChars="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ACLR/SEM requirements are not applicable, e.g. for scenario 1 of band n34</w:t>
      </w:r>
    </w:p>
    <w:p>
      <w:pPr>
        <w:numPr>
          <w:ilvl w:val="0"/>
          <w:numId w:val="3"/>
        </w:numPr>
        <w:tabs>
          <w:tab w:val="clear" w:pos="720"/>
        </w:tabs>
        <w:spacing w:after="180"/>
        <w:ind w:left="720" w:leftChars="0" w:hanging="360" w:firstLineChars="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ACLR/SEM requirements allow certain relaxation, e.g. for sub-scenario 3-1 for higher order ACLR</w:t>
      </w:r>
    </w:p>
    <w:p>
      <w:pPr>
        <w:numPr>
          <w:ilvl w:val="0"/>
          <w:numId w:val="0"/>
        </w:numPr>
        <w:spacing w:after="180"/>
        <w:jc w:val="left"/>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MPR reduction is based on the extent of ACLR/SEM relaxation. Considering the MPR is based on simulation and or testing with high workload,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better to limit the number of ACLR relaxation to several values. For example, ACLR=0, ACLR relaxation with 5dB, 10dB, 20dB, etc. Then we can focus on the limited number of MPR reduction analysis. If there is specific relationship between ACLR relaxation and MPR reduction, then the workload of MPR reduction analysis would also be reduced. But we are afraid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hard to find such relationship. </w:t>
      </w:r>
    </w:p>
    <w:p>
      <w:pPr>
        <w:numPr>
          <w:ilvl w:val="0"/>
          <w:numId w:val="0"/>
        </w:numPr>
        <w:spacing w:after="180"/>
        <w:jc w:val="left"/>
        <w:rPr>
          <w:rFonts w:hint="default" w:ascii="Times New Roman" w:hAnsi="Times New Roman"/>
          <w:b w:val="0"/>
          <w:bCs w:val="0"/>
          <w:sz w:val="20"/>
          <w:szCs w:val="20"/>
          <w:highlight w:val="none"/>
          <w:lang w:val="en-US" w:eastAsia="zh-CN"/>
        </w:rPr>
      </w:pPr>
      <w:r>
        <w:rPr>
          <w:rFonts w:hint="eastAsia" w:ascii="Times New Roman" w:hAnsi="Times New Roman" w:cs="Times New Roman"/>
          <w:b/>
          <w:bCs/>
          <w:sz w:val="20"/>
          <w:szCs w:val="20"/>
          <w:highlight w:val="none"/>
          <w:lang w:val="en-US" w:eastAsia="zh-CN"/>
        </w:rPr>
        <w:t>Proposal 6: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study the extent of ACLR/SEM relaxation at first with limited number of relaxation values to reduce further MPR reduction analysis workload.</w:t>
      </w:r>
      <w:r>
        <w:rPr>
          <w:rFonts w:hint="eastAsia" w:ascii="Times New Roman" w:hAnsi="Times New Roman" w:cs="Times New Roman"/>
          <w:b w:val="0"/>
          <w:bCs w:val="0"/>
          <w:sz w:val="20"/>
          <w:szCs w:val="20"/>
          <w:highlight w:val="none"/>
          <w:lang w:val="en-US" w:eastAsia="zh-CN"/>
        </w:rPr>
        <w:t xml:space="preserve"> </w:t>
      </w:r>
      <w:r>
        <w:rPr>
          <w:rFonts w:hint="eastAsia" w:ascii="Times New Roman" w:hAnsi="Times New Roman"/>
          <w:b w:val="0"/>
          <w:bCs w:val="0"/>
          <w:sz w:val="20"/>
          <w:szCs w:val="20"/>
          <w:highlight w:val="none"/>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highlight w:val="none"/>
        </w:rPr>
      </w:pPr>
      <w:r>
        <w:rPr>
          <w:rFonts w:ascii="Arial" w:hAnsi="Arial" w:eastAsiaTheme="minorEastAsia" w:cstheme="minorBidi"/>
          <w:sz w:val="32"/>
          <w:szCs w:val="36"/>
          <w:highlight w:val="none"/>
        </w:rPr>
        <w:t>3. Conclusions</w:t>
      </w:r>
    </w:p>
    <w:p>
      <w:pPr>
        <w:spacing w:after="156" w:afterLines="50"/>
        <w:rPr>
          <w:rFonts w:hint="eastAsia" w:ascii="Times New Roman" w:hAnsi="Times New Roman"/>
          <w:sz w:val="20"/>
          <w:szCs w:val="20"/>
          <w:highlight w:val="none"/>
          <w:lang w:val="en-US" w:eastAsia="zh-CN"/>
        </w:rPr>
      </w:pPr>
      <w:r>
        <w:rPr>
          <w:rFonts w:ascii="Times New Roman" w:hAnsi="Times New Roman"/>
          <w:sz w:val="20"/>
          <w:szCs w:val="20"/>
          <w:highlight w:val="none"/>
        </w:rPr>
        <w:t xml:space="preserve">In this contribution, </w:t>
      </w:r>
      <w:r>
        <w:rPr>
          <w:rFonts w:hint="eastAsia" w:ascii="Times New Roman" w:hAnsi="Times New Roman"/>
          <w:sz w:val="20"/>
          <w:highlight w:val="none"/>
          <w:lang w:val="en-US" w:eastAsia="zh-CN"/>
        </w:rPr>
        <w:t>the scenario for ACLR/SEM relaxation</w:t>
      </w:r>
      <w:r>
        <w:rPr>
          <w:rFonts w:hint="eastAsia" w:ascii="Times New Roman" w:hAnsi="Times New Roman"/>
          <w:sz w:val="20"/>
          <w:szCs w:val="20"/>
          <w:highlight w:val="none"/>
          <w:lang w:val="en-US" w:eastAsia="zh-CN"/>
        </w:rPr>
        <w:t xml:space="preserve"> are discussed with following observations and proposals.</w:t>
      </w:r>
    </w:p>
    <w:p>
      <w:pPr>
        <w:numPr>
          <w:ilvl w:val="0"/>
          <w:numId w:val="0"/>
        </w:num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1: following three scenarios are the potential scenarios that may lead to relaxation of ACLR/SEM emission requirements.</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Scenario 1: One individual operator </w:t>
      </w:r>
      <w:r>
        <w:rPr>
          <w:rFonts w:hint="eastAsia" w:ascii="Times New Roman" w:hAnsi="Times New Roman"/>
          <w:b/>
          <w:bCs/>
          <w:sz w:val="20"/>
          <w:szCs w:val="20"/>
          <w:highlight w:val="none"/>
          <w:lang w:val="en-US" w:eastAsia="zh-CN"/>
        </w:rPr>
        <w:t>share the whole operation band</w:t>
      </w:r>
      <w:r>
        <w:rPr>
          <w:rFonts w:hint="eastAsia" w:ascii="Times New Roman" w:hAnsi="Times New Roman"/>
          <w:b w:val="0"/>
          <w:bCs w:val="0"/>
          <w:sz w:val="20"/>
          <w:szCs w:val="20"/>
          <w:highlight w:val="none"/>
          <w:lang w:val="en-US" w:eastAsia="zh-CN"/>
        </w:rPr>
        <w:t>, i.e. no operators in the same area using the adjacent(s) carriers</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Scenario 2: </w:t>
      </w:r>
      <w:r>
        <w:rPr>
          <w:rFonts w:hint="eastAsia" w:ascii="Times New Roman" w:hAnsi="Times New Roman"/>
          <w:b/>
          <w:bCs/>
          <w:sz w:val="20"/>
          <w:szCs w:val="20"/>
          <w:highlight w:val="none"/>
          <w:lang w:val="en-US" w:eastAsia="zh-CN"/>
        </w:rPr>
        <w:t>when several operators share the same operation band</w:t>
      </w:r>
      <w:r>
        <w:rPr>
          <w:rFonts w:hint="eastAsia" w:ascii="Times New Roman" w:hAnsi="Times New Roman"/>
          <w:b w:val="0"/>
          <w:bCs w:val="0"/>
          <w:sz w:val="20"/>
          <w:szCs w:val="20"/>
          <w:highlight w:val="none"/>
          <w:lang w:val="en-US" w:eastAsia="zh-CN"/>
        </w:rPr>
        <w:t>, there is enough guard spectrum at each side of operator</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s spectrum edge </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example, there is reserved spectrum between two operators</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 spectrum in the same area</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ACLR is symmetrical at both sides of carrier edges, only one side relaxation will not contribute to final ACLR relaxation</w:t>
      </w:r>
    </w:p>
    <w:p>
      <w:pPr>
        <w:numPr>
          <w:ilvl w:val="0"/>
          <w:numId w:val="3"/>
        </w:numPr>
        <w:tabs>
          <w:tab w:val="clear" w:pos="720"/>
        </w:tabs>
        <w:spacing w:after="180"/>
        <w:ind w:left="72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Scenario 3: The UE bandwidth is less than gNB bandwidth, then equivalent ACLR falling into adjacent gNB bandwidth may be less than current ACLR requirements.</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3-1: instead of ACLR 1, ACLR 2 or even higher order ACLR may apply due to less UE bandwidth.</w:t>
      </w:r>
    </w:p>
    <w:p>
      <w:pPr>
        <w:numPr>
          <w:ilvl w:val="2"/>
          <w:numId w:val="3"/>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the flexible UE bandwidth location within gNB bandwidth</w:t>
      </w:r>
    </w:p>
    <w:p>
      <w:pPr>
        <w:numPr>
          <w:ilvl w:val="1"/>
          <w:numId w:val="3"/>
        </w:numPr>
        <w:tabs>
          <w:tab w:val="clear" w:pos="1440"/>
        </w:tabs>
        <w:spacing w:after="180"/>
        <w:ind w:left="144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Sub-scenario 3-2: Equivalent ACLR due to unequal aggressor and victim bandwidth for adjacent carrier co-existence scenario</w:t>
      </w:r>
    </w:p>
    <w:p>
      <w:pPr>
        <w:numPr>
          <w:ilvl w:val="2"/>
          <w:numId w:val="3"/>
        </w:numPr>
        <w:tabs>
          <w:tab w:val="clear" w:pos="2160"/>
        </w:tabs>
        <w:spacing w:after="180"/>
        <w:ind w:left="2160" w:leftChars="0" w:hanging="360" w:firstLineChars="0"/>
        <w:jc w:val="left"/>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Note: this is due to less UE aggressor bandwidth compared with gNB victim bandwidth</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Observation 2: whether the ACLR/SEM requirement applies or not should consider both the adjacent carrier interference and adjacent operation band interference case. Besides, since ACLR/SEM requirement relaxation is BS indication basis, the spatial isolation factor for actual deployment scenario should also be taken into consideration.</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1: for scenario 1, the ACLR and SEM may not be needed when taken spatial isolation factor into consideration.</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2: RAN4 further discuss whether the ACLR relaxation is allowed for the case when there is guard band but the guard band is less than CBW assumption for ACL</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3: usually regulatory agency will not reserve spectrum between two operators to avoid spectrum fragment. But still suggest to wait for companies input to further identify whether scenario 2 is the corner case or not. </w:t>
      </w:r>
    </w:p>
    <w:p>
      <w:pPr>
        <w:numPr>
          <w:ilvl w:val="0"/>
          <w:numId w:val="0"/>
        </w:numPr>
        <w:spacing w:after="180"/>
        <w:jc w:val="left"/>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RAN4 needs to discuss whether there is any relaxation for higher order ACLR for the scenario when UE bandwidth is less than gNB bandwidth.</w:t>
      </w:r>
    </w:p>
    <w:p>
      <w:pPr>
        <w:numPr>
          <w:ilvl w:val="0"/>
          <w:numId w:val="0"/>
        </w:numPr>
        <w:spacing w:after="180"/>
        <w:jc w:val="left"/>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5: RAN4 further discuss whether the ACLR with narrower aggressor BW than victim BW still equals to the legacy value or not.</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6: it</w:t>
      </w:r>
      <w:r>
        <w:rPr>
          <w:rFonts w:hint="default" w:ascii="Times New Roman" w:hAnsi="Times New Roman" w:cs="Times New Roman"/>
          <w:b/>
          <w:bCs/>
          <w:sz w:val="20"/>
          <w:szCs w:val="20"/>
          <w:highlight w:val="none"/>
          <w:lang w:val="en-US" w:eastAsia="zh-CN"/>
        </w:rPr>
        <w:t>’</w:t>
      </w:r>
      <w:r>
        <w:rPr>
          <w:rFonts w:hint="eastAsia" w:ascii="Times New Roman" w:hAnsi="Times New Roman" w:cs="Times New Roman"/>
          <w:b/>
          <w:bCs/>
          <w:sz w:val="20"/>
          <w:szCs w:val="20"/>
          <w:highlight w:val="none"/>
          <w:lang w:val="en-US" w:eastAsia="zh-CN"/>
        </w:rPr>
        <w:t>s suggested to study the extent of ACLR/SEM relaxation at first with limited number of relaxation values to reduce further MPR reduction analysis workload.</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highlight w:val="none"/>
        </w:rPr>
      </w:pPr>
      <w:r>
        <w:rPr>
          <w:rFonts w:ascii="Arial" w:hAnsi="Arial" w:eastAsiaTheme="minorEastAsia" w:cstheme="minorBidi"/>
          <w:sz w:val="32"/>
          <w:szCs w:val="36"/>
          <w:highlight w:val="none"/>
        </w:rPr>
        <w:t>4. Reference</w:t>
      </w:r>
    </w:p>
    <w:p>
      <w:pPr>
        <w:numPr>
          <w:ilvl w:val="0"/>
          <w:numId w:val="4"/>
        </w:numPr>
        <w:tabs>
          <w:tab w:val="right" w:pos="10440"/>
          <w:tab w:val="right" w:pos="13323"/>
        </w:tabs>
        <w:spacing w:after="0"/>
        <w:jc w:val="left"/>
        <w:rPr>
          <w:rFonts w:hint="default" w:ascii="Times New Roman" w:hAnsi="Times New Roman" w:eastAsia="宋体"/>
          <w:sz w:val="20"/>
          <w:szCs w:val="20"/>
          <w:highlight w:val="none"/>
          <w:lang w:val="en-US" w:eastAsia="zh-CN"/>
        </w:rPr>
      </w:pPr>
      <w:r>
        <w:rPr>
          <w:rFonts w:hint="default" w:ascii="Times New Roman" w:hAnsi="Times New Roman" w:cs="Times New Roman"/>
          <w:sz w:val="20"/>
          <w:szCs w:val="20"/>
          <w:highlight w:val="none"/>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default"/>
    <w:sig w:usb0="E00006FF" w:usb1="420024FF"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919C4"/>
    <w:multiLevelType w:val="singleLevel"/>
    <w:tmpl w:val="B46919C4"/>
    <w:lvl w:ilvl="0" w:tentative="0">
      <w:start w:val="2"/>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DEE3185"/>
    <w:multiLevelType w:val="multilevel"/>
    <w:tmpl w:val="3DEE318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21E"/>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A5041"/>
    <w:rsid w:val="010B6346"/>
    <w:rsid w:val="01721063"/>
    <w:rsid w:val="01BD0368"/>
    <w:rsid w:val="01DC539A"/>
    <w:rsid w:val="01DE089D"/>
    <w:rsid w:val="01F20EEE"/>
    <w:rsid w:val="020970CA"/>
    <w:rsid w:val="0226460D"/>
    <w:rsid w:val="023B43AB"/>
    <w:rsid w:val="028E1852"/>
    <w:rsid w:val="02C81B1F"/>
    <w:rsid w:val="03256636"/>
    <w:rsid w:val="03391357"/>
    <w:rsid w:val="035967B1"/>
    <w:rsid w:val="035D4591"/>
    <w:rsid w:val="035E5896"/>
    <w:rsid w:val="03631D1E"/>
    <w:rsid w:val="037E5DCB"/>
    <w:rsid w:val="03DD0363"/>
    <w:rsid w:val="03E26584"/>
    <w:rsid w:val="03E35AEF"/>
    <w:rsid w:val="04492C16"/>
    <w:rsid w:val="044D771D"/>
    <w:rsid w:val="047B4D00"/>
    <w:rsid w:val="04A732AF"/>
    <w:rsid w:val="04B527F1"/>
    <w:rsid w:val="05026E46"/>
    <w:rsid w:val="0533347B"/>
    <w:rsid w:val="053C405B"/>
    <w:rsid w:val="056F5AD7"/>
    <w:rsid w:val="059E10D1"/>
    <w:rsid w:val="05A012C8"/>
    <w:rsid w:val="05BF54F8"/>
    <w:rsid w:val="05E277B3"/>
    <w:rsid w:val="05FF6A11"/>
    <w:rsid w:val="060557D7"/>
    <w:rsid w:val="06305334"/>
    <w:rsid w:val="06434355"/>
    <w:rsid w:val="066C0AAE"/>
    <w:rsid w:val="068C7C4C"/>
    <w:rsid w:val="06963DDF"/>
    <w:rsid w:val="06CC0A35"/>
    <w:rsid w:val="07031681"/>
    <w:rsid w:val="072126BE"/>
    <w:rsid w:val="07530E8A"/>
    <w:rsid w:val="0769686A"/>
    <w:rsid w:val="076E27BD"/>
    <w:rsid w:val="0770402F"/>
    <w:rsid w:val="078E5270"/>
    <w:rsid w:val="07B42F31"/>
    <w:rsid w:val="07C25ACA"/>
    <w:rsid w:val="07CA6B66"/>
    <w:rsid w:val="07D06FDE"/>
    <w:rsid w:val="07F15671"/>
    <w:rsid w:val="08200491"/>
    <w:rsid w:val="08425E71"/>
    <w:rsid w:val="0847398B"/>
    <w:rsid w:val="085D3E3F"/>
    <w:rsid w:val="087912F3"/>
    <w:rsid w:val="088C4ECC"/>
    <w:rsid w:val="08973524"/>
    <w:rsid w:val="08A26EE3"/>
    <w:rsid w:val="08A65D3D"/>
    <w:rsid w:val="0900762B"/>
    <w:rsid w:val="09210F0A"/>
    <w:rsid w:val="09264BC9"/>
    <w:rsid w:val="092D4D1C"/>
    <w:rsid w:val="09626007"/>
    <w:rsid w:val="097C4A9B"/>
    <w:rsid w:val="098766B0"/>
    <w:rsid w:val="09993AB5"/>
    <w:rsid w:val="09F66D51"/>
    <w:rsid w:val="0A0219DF"/>
    <w:rsid w:val="0A7E0A7F"/>
    <w:rsid w:val="0A894FD9"/>
    <w:rsid w:val="0AA20101"/>
    <w:rsid w:val="0ABA1F25"/>
    <w:rsid w:val="0ADD2F10"/>
    <w:rsid w:val="0AE113D2"/>
    <w:rsid w:val="0AF67B8B"/>
    <w:rsid w:val="0B0758A7"/>
    <w:rsid w:val="0B1B4548"/>
    <w:rsid w:val="0B3166EB"/>
    <w:rsid w:val="0B51119F"/>
    <w:rsid w:val="0B7C5C6F"/>
    <w:rsid w:val="0BBF5056"/>
    <w:rsid w:val="0BE65845"/>
    <w:rsid w:val="0BE92617"/>
    <w:rsid w:val="0BEA0098"/>
    <w:rsid w:val="0BF0521B"/>
    <w:rsid w:val="0BF7455D"/>
    <w:rsid w:val="0BFE4B3A"/>
    <w:rsid w:val="0C0B3633"/>
    <w:rsid w:val="0C200572"/>
    <w:rsid w:val="0C296C83"/>
    <w:rsid w:val="0C5C1421"/>
    <w:rsid w:val="0C6E64A7"/>
    <w:rsid w:val="0C8D3125"/>
    <w:rsid w:val="0D545798"/>
    <w:rsid w:val="0D624402"/>
    <w:rsid w:val="0D747B9F"/>
    <w:rsid w:val="0D8F41B3"/>
    <w:rsid w:val="0DD237BC"/>
    <w:rsid w:val="0DDA3199"/>
    <w:rsid w:val="0E037D57"/>
    <w:rsid w:val="0E1D4B35"/>
    <w:rsid w:val="0E241F41"/>
    <w:rsid w:val="0E454950"/>
    <w:rsid w:val="0E5E15C4"/>
    <w:rsid w:val="0E5F68A3"/>
    <w:rsid w:val="0E7813A9"/>
    <w:rsid w:val="0E8A2F6A"/>
    <w:rsid w:val="0EBC441C"/>
    <w:rsid w:val="0EBD33B9"/>
    <w:rsid w:val="0EBE690E"/>
    <w:rsid w:val="0EE522F1"/>
    <w:rsid w:val="0F1A117A"/>
    <w:rsid w:val="0F1C3F4D"/>
    <w:rsid w:val="0F5116AE"/>
    <w:rsid w:val="0F596ABB"/>
    <w:rsid w:val="0F5F09C4"/>
    <w:rsid w:val="0F5F4247"/>
    <w:rsid w:val="0F6273CA"/>
    <w:rsid w:val="0F7D4B34"/>
    <w:rsid w:val="0FC419ED"/>
    <w:rsid w:val="0FD9288C"/>
    <w:rsid w:val="0FEE6FAE"/>
    <w:rsid w:val="0FF20B73"/>
    <w:rsid w:val="0FFE504A"/>
    <w:rsid w:val="10003991"/>
    <w:rsid w:val="100565B7"/>
    <w:rsid w:val="101F3001"/>
    <w:rsid w:val="10254F0A"/>
    <w:rsid w:val="107A5C99"/>
    <w:rsid w:val="107B7E97"/>
    <w:rsid w:val="10994EC9"/>
    <w:rsid w:val="109C57D8"/>
    <w:rsid w:val="10D64689"/>
    <w:rsid w:val="10ED29B0"/>
    <w:rsid w:val="10EF7E56"/>
    <w:rsid w:val="10F20636"/>
    <w:rsid w:val="10FB74EC"/>
    <w:rsid w:val="11321BC4"/>
    <w:rsid w:val="113A6FD0"/>
    <w:rsid w:val="11475BCD"/>
    <w:rsid w:val="1155307D"/>
    <w:rsid w:val="11690246"/>
    <w:rsid w:val="117C38F8"/>
    <w:rsid w:val="117D6EEE"/>
    <w:rsid w:val="11B5219D"/>
    <w:rsid w:val="11DF67EB"/>
    <w:rsid w:val="12106FE1"/>
    <w:rsid w:val="12213A4B"/>
    <w:rsid w:val="122946DB"/>
    <w:rsid w:val="12750F57"/>
    <w:rsid w:val="129C3395"/>
    <w:rsid w:val="12E83AF4"/>
    <w:rsid w:val="131A26ED"/>
    <w:rsid w:val="134E0C3A"/>
    <w:rsid w:val="13771DFE"/>
    <w:rsid w:val="13D554C5"/>
    <w:rsid w:val="13F25EC4"/>
    <w:rsid w:val="14245767"/>
    <w:rsid w:val="14363136"/>
    <w:rsid w:val="145C23B3"/>
    <w:rsid w:val="14790727"/>
    <w:rsid w:val="149E7662"/>
    <w:rsid w:val="1508348E"/>
    <w:rsid w:val="15350710"/>
    <w:rsid w:val="155F416A"/>
    <w:rsid w:val="156354FD"/>
    <w:rsid w:val="156C0FB4"/>
    <w:rsid w:val="157A51BC"/>
    <w:rsid w:val="157D2E02"/>
    <w:rsid w:val="159557BE"/>
    <w:rsid w:val="15A85596"/>
    <w:rsid w:val="15BE773A"/>
    <w:rsid w:val="15CD7D54"/>
    <w:rsid w:val="15D00CD9"/>
    <w:rsid w:val="15E450B5"/>
    <w:rsid w:val="16371982"/>
    <w:rsid w:val="163D388B"/>
    <w:rsid w:val="1683077C"/>
    <w:rsid w:val="168B5B89"/>
    <w:rsid w:val="16A44534"/>
    <w:rsid w:val="16C005E1"/>
    <w:rsid w:val="16E06917"/>
    <w:rsid w:val="16FD2BCB"/>
    <w:rsid w:val="175862BF"/>
    <w:rsid w:val="17590897"/>
    <w:rsid w:val="176D19FF"/>
    <w:rsid w:val="1784209C"/>
    <w:rsid w:val="179D67CA"/>
    <w:rsid w:val="17B730F8"/>
    <w:rsid w:val="17C80E13"/>
    <w:rsid w:val="17CB3F96"/>
    <w:rsid w:val="17E56F60"/>
    <w:rsid w:val="17F263D4"/>
    <w:rsid w:val="17F47A83"/>
    <w:rsid w:val="17F52BDC"/>
    <w:rsid w:val="180D2D20"/>
    <w:rsid w:val="182249A5"/>
    <w:rsid w:val="183A0ACF"/>
    <w:rsid w:val="183C484C"/>
    <w:rsid w:val="18642373"/>
    <w:rsid w:val="187831B6"/>
    <w:rsid w:val="18834ED9"/>
    <w:rsid w:val="18971C7B"/>
    <w:rsid w:val="18A656AF"/>
    <w:rsid w:val="18CE28C0"/>
    <w:rsid w:val="18E26C79"/>
    <w:rsid w:val="18E55D68"/>
    <w:rsid w:val="18FE0AB6"/>
    <w:rsid w:val="19813C3F"/>
    <w:rsid w:val="19A17418"/>
    <w:rsid w:val="19B263B5"/>
    <w:rsid w:val="19B93092"/>
    <w:rsid w:val="19DF2D99"/>
    <w:rsid w:val="19EA686E"/>
    <w:rsid w:val="1A5F4359"/>
    <w:rsid w:val="1A7C2F66"/>
    <w:rsid w:val="1A7D000B"/>
    <w:rsid w:val="1A8670A6"/>
    <w:rsid w:val="1A877692"/>
    <w:rsid w:val="1AA2734E"/>
    <w:rsid w:val="1AB02A55"/>
    <w:rsid w:val="1AFD11C6"/>
    <w:rsid w:val="1B00542F"/>
    <w:rsid w:val="1B2F42F1"/>
    <w:rsid w:val="1B301DA5"/>
    <w:rsid w:val="1B3F3E40"/>
    <w:rsid w:val="1B7C00B3"/>
    <w:rsid w:val="1B7C0EA4"/>
    <w:rsid w:val="1BB42683"/>
    <w:rsid w:val="1BD62837"/>
    <w:rsid w:val="1BEF2DFC"/>
    <w:rsid w:val="1BF509C2"/>
    <w:rsid w:val="1BF95FEE"/>
    <w:rsid w:val="1C1B332C"/>
    <w:rsid w:val="1C2A6C2E"/>
    <w:rsid w:val="1C363B56"/>
    <w:rsid w:val="1C527C03"/>
    <w:rsid w:val="1C700838"/>
    <w:rsid w:val="1C7D7B4D"/>
    <w:rsid w:val="1CE56278"/>
    <w:rsid w:val="1CFC261A"/>
    <w:rsid w:val="1CFF6E5D"/>
    <w:rsid w:val="1D0432AA"/>
    <w:rsid w:val="1D0A4412"/>
    <w:rsid w:val="1D0B38F8"/>
    <w:rsid w:val="1D1D5776"/>
    <w:rsid w:val="1D1D70F1"/>
    <w:rsid w:val="1D2753AE"/>
    <w:rsid w:val="1D3E218A"/>
    <w:rsid w:val="1D41310E"/>
    <w:rsid w:val="1D6D7456"/>
    <w:rsid w:val="1D7879E5"/>
    <w:rsid w:val="1D867707"/>
    <w:rsid w:val="1DB96250"/>
    <w:rsid w:val="1E295925"/>
    <w:rsid w:val="1E3D0B9B"/>
    <w:rsid w:val="1E535731"/>
    <w:rsid w:val="1E81151C"/>
    <w:rsid w:val="1E884DB6"/>
    <w:rsid w:val="1EFE1319"/>
    <w:rsid w:val="1F0D1045"/>
    <w:rsid w:val="1F1F489E"/>
    <w:rsid w:val="1F2F076D"/>
    <w:rsid w:val="1FFB17BC"/>
    <w:rsid w:val="200C3221"/>
    <w:rsid w:val="201828B7"/>
    <w:rsid w:val="203D39F0"/>
    <w:rsid w:val="20471021"/>
    <w:rsid w:val="20731CCC"/>
    <w:rsid w:val="20817033"/>
    <w:rsid w:val="208F37FB"/>
    <w:rsid w:val="20990887"/>
    <w:rsid w:val="20B523B5"/>
    <w:rsid w:val="20E833A7"/>
    <w:rsid w:val="20EA2C10"/>
    <w:rsid w:val="21182A73"/>
    <w:rsid w:val="2139298F"/>
    <w:rsid w:val="21637056"/>
    <w:rsid w:val="216C01F4"/>
    <w:rsid w:val="21884F0C"/>
    <w:rsid w:val="219168A1"/>
    <w:rsid w:val="21B038D2"/>
    <w:rsid w:val="21D70408"/>
    <w:rsid w:val="2217457B"/>
    <w:rsid w:val="221E7789"/>
    <w:rsid w:val="223076A3"/>
    <w:rsid w:val="227F2CA6"/>
    <w:rsid w:val="228700B2"/>
    <w:rsid w:val="228B3B2E"/>
    <w:rsid w:val="22E84C54"/>
    <w:rsid w:val="22ED23E8"/>
    <w:rsid w:val="234D453C"/>
    <w:rsid w:val="235E2230"/>
    <w:rsid w:val="2370600B"/>
    <w:rsid w:val="237B1C44"/>
    <w:rsid w:val="23CA7445"/>
    <w:rsid w:val="240671CC"/>
    <w:rsid w:val="241B0EB4"/>
    <w:rsid w:val="24513BF6"/>
    <w:rsid w:val="24683E4B"/>
    <w:rsid w:val="246C2851"/>
    <w:rsid w:val="24735F6B"/>
    <w:rsid w:val="24775DB4"/>
    <w:rsid w:val="24841763"/>
    <w:rsid w:val="2488042D"/>
    <w:rsid w:val="24896A55"/>
    <w:rsid w:val="248A4000"/>
    <w:rsid w:val="24B86D4A"/>
    <w:rsid w:val="24C36C6D"/>
    <w:rsid w:val="24D50BFC"/>
    <w:rsid w:val="2533171D"/>
    <w:rsid w:val="254E0ABD"/>
    <w:rsid w:val="25641764"/>
    <w:rsid w:val="257C268E"/>
    <w:rsid w:val="258A21E5"/>
    <w:rsid w:val="25A10883"/>
    <w:rsid w:val="25BB2173"/>
    <w:rsid w:val="25C34EA0"/>
    <w:rsid w:val="25D729E7"/>
    <w:rsid w:val="260E417C"/>
    <w:rsid w:val="260F5480"/>
    <w:rsid w:val="26207919"/>
    <w:rsid w:val="26382DB8"/>
    <w:rsid w:val="265C4D5F"/>
    <w:rsid w:val="26644B8A"/>
    <w:rsid w:val="268A1547"/>
    <w:rsid w:val="268B3CAF"/>
    <w:rsid w:val="269C5985"/>
    <w:rsid w:val="26A73075"/>
    <w:rsid w:val="26B2270B"/>
    <w:rsid w:val="26BA4369"/>
    <w:rsid w:val="26E94DE4"/>
    <w:rsid w:val="26F853FE"/>
    <w:rsid w:val="27097897"/>
    <w:rsid w:val="270B1F80"/>
    <w:rsid w:val="274B1605"/>
    <w:rsid w:val="274D4B08"/>
    <w:rsid w:val="27570C9B"/>
    <w:rsid w:val="27596454"/>
    <w:rsid w:val="27706A48"/>
    <w:rsid w:val="277D7855"/>
    <w:rsid w:val="27816C71"/>
    <w:rsid w:val="278B3C06"/>
    <w:rsid w:val="27990C94"/>
    <w:rsid w:val="27BE60C1"/>
    <w:rsid w:val="27C61EE6"/>
    <w:rsid w:val="27E33F9B"/>
    <w:rsid w:val="27F23097"/>
    <w:rsid w:val="2805016B"/>
    <w:rsid w:val="2844761E"/>
    <w:rsid w:val="286036CB"/>
    <w:rsid w:val="28A2792A"/>
    <w:rsid w:val="28AA4C8A"/>
    <w:rsid w:val="28DF529E"/>
    <w:rsid w:val="29026777"/>
    <w:rsid w:val="294A494E"/>
    <w:rsid w:val="29560760"/>
    <w:rsid w:val="2960326E"/>
    <w:rsid w:val="2975343F"/>
    <w:rsid w:val="297731BB"/>
    <w:rsid w:val="29922597"/>
    <w:rsid w:val="29BC0105"/>
    <w:rsid w:val="29C71D19"/>
    <w:rsid w:val="2A144016"/>
    <w:rsid w:val="2A24682F"/>
    <w:rsid w:val="2A270F8C"/>
    <w:rsid w:val="2A2C74BF"/>
    <w:rsid w:val="2A53737E"/>
    <w:rsid w:val="2A573A81"/>
    <w:rsid w:val="2A704730"/>
    <w:rsid w:val="2AC70C94"/>
    <w:rsid w:val="2AE354DA"/>
    <w:rsid w:val="2B1E47FB"/>
    <w:rsid w:val="2B2A3B5F"/>
    <w:rsid w:val="2B7A5997"/>
    <w:rsid w:val="2B7B1F28"/>
    <w:rsid w:val="2BC2085A"/>
    <w:rsid w:val="2C0547C6"/>
    <w:rsid w:val="2C380499"/>
    <w:rsid w:val="2C401128"/>
    <w:rsid w:val="2C7A1F15"/>
    <w:rsid w:val="2C8A2F49"/>
    <w:rsid w:val="2C9F3BCE"/>
    <w:rsid w:val="2CA64350"/>
    <w:rsid w:val="2CDB65A6"/>
    <w:rsid w:val="2CF9108B"/>
    <w:rsid w:val="2D4D51B1"/>
    <w:rsid w:val="2D4D79AC"/>
    <w:rsid w:val="2D593F87"/>
    <w:rsid w:val="2D932CD3"/>
    <w:rsid w:val="2DB7418D"/>
    <w:rsid w:val="2DD00879"/>
    <w:rsid w:val="2DD5373D"/>
    <w:rsid w:val="2DF80479"/>
    <w:rsid w:val="2E0B52AE"/>
    <w:rsid w:val="2E0E041F"/>
    <w:rsid w:val="2E183EA3"/>
    <w:rsid w:val="2E747DC3"/>
    <w:rsid w:val="2E9C0F87"/>
    <w:rsid w:val="2EA61F97"/>
    <w:rsid w:val="2EB7077F"/>
    <w:rsid w:val="2EB8044F"/>
    <w:rsid w:val="2EC16B9C"/>
    <w:rsid w:val="2EC83E9D"/>
    <w:rsid w:val="2EDF426C"/>
    <w:rsid w:val="2EEC4E92"/>
    <w:rsid w:val="2F1A1856"/>
    <w:rsid w:val="2F1C0982"/>
    <w:rsid w:val="2F5B00C1"/>
    <w:rsid w:val="2F747966"/>
    <w:rsid w:val="2F882242"/>
    <w:rsid w:val="2FA801C0"/>
    <w:rsid w:val="2FAD26B1"/>
    <w:rsid w:val="2FB32CCE"/>
    <w:rsid w:val="2FCB6344"/>
    <w:rsid w:val="2FEC0BD0"/>
    <w:rsid w:val="2FEC1523"/>
    <w:rsid w:val="3011145B"/>
    <w:rsid w:val="30524DF2"/>
    <w:rsid w:val="30665FF5"/>
    <w:rsid w:val="306B7868"/>
    <w:rsid w:val="308E71B9"/>
    <w:rsid w:val="3099089E"/>
    <w:rsid w:val="30B26EBD"/>
    <w:rsid w:val="31432160"/>
    <w:rsid w:val="31490DA5"/>
    <w:rsid w:val="31570E00"/>
    <w:rsid w:val="315F5D75"/>
    <w:rsid w:val="31C24433"/>
    <w:rsid w:val="31CA113F"/>
    <w:rsid w:val="31E91E87"/>
    <w:rsid w:val="320E10B5"/>
    <w:rsid w:val="3243059C"/>
    <w:rsid w:val="32697D44"/>
    <w:rsid w:val="326D0948"/>
    <w:rsid w:val="328A5CFA"/>
    <w:rsid w:val="329A2711"/>
    <w:rsid w:val="32B02D6E"/>
    <w:rsid w:val="32C835E0"/>
    <w:rsid w:val="32D23EF0"/>
    <w:rsid w:val="32DF7982"/>
    <w:rsid w:val="331537CD"/>
    <w:rsid w:val="331602B6"/>
    <w:rsid w:val="331E4E70"/>
    <w:rsid w:val="33285651"/>
    <w:rsid w:val="332F4289"/>
    <w:rsid w:val="33334E8E"/>
    <w:rsid w:val="33493273"/>
    <w:rsid w:val="336E17F0"/>
    <w:rsid w:val="33C133A6"/>
    <w:rsid w:val="33CC276C"/>
    <w:rsid w:val="33E2230D"/>
    <w:rsid w:val="33FB26D9"/>
    <w:rsid w:val="3424001A"/>
    <w:rsid w:val="34291F23"/>
    <w:rsid w:val="34413D46"/>
    <w:rsid w:val="344A45A5"/>
    <w:rsid w:val="345C5BF5"/>
    <w:rsid w:val="34692D0C"/>
    <w:rsid w:val="348103B3"/>
    <w:rsid w:val="350D2195"/>
    <w:rsid w:val="356F47B8"/>
    <w:rsid w:val="357C3ACE"/>
    <w:rsid w:val="35915FF2"/>
    <w:rsid w:val="35962F2D"/>
    <w:rsid w:val="359F2D89"/>
    <w:rsid w:val="35B629AE"/>
    <w:rsid w:val="35B71496"/>
    <w:rsid w:val="35B73EBF"/>
    <w:rsid w:val="35B8262E"/>
    <w:rsid w:val="35CC12CF"/>
    <w:rsid w:val="35D319E6"/>
    <w:rsid w:val="35D72EE3"/>
    <w:rsid w:val="35E768F5"/>
    <w:rsid w:val="35F559C7"/>
    <w:rsid w:val="36075C31"/>
    <w:rsid w:val="36242FE2"/>
    <w:rsid w:val="362D458B"/>
    <w:rsid w:val="36354715"/>
    <w:rsid w:val="36414A73"/>
    <w:rsid w:val="364A0F5C"/>
    <w:rsid w:val="36510879"/>
    <w:rsid w:val="36BF2266"/>
    <w:rsid w:val="36DA3A0A"/>
    <w:rsid w:val="36E16C19"/>
    <w:rsid w:val="37036DCD"/>
    <w:rsid w:val="372F46A7"/>
    <w:rsid w:val="37380F75"/>
    <w:rsid w:val="37726C9D"/>
    <w:rsid w:val="379A1E22"/>
    <w:rsid w:val="37BD6848"/>
    <w:rsid w:val="37CC6816"/>
    <w:rsid w:val="37DE6907"/>
    <w:rsid w:val="37E810A7"/>
    <w:rsid w:val="380E1C87"/>
    <w:rsid w:val="38A9437C"/>
    <w:rsid w:val="38C2712E"/>
    <w:rsid w:val="38CD2F41"/>
    <w:rsid w:val="38D16127"/>
    <w:rsid w:val="393C0FF6"/>
    <w:rsid w:val="39515718"/>
    <w:rsid w:val="39706EC7"/>
    <w:rsid w:val="39741150"/>
    <w:rsid w:val="39787B56"/>
    <w:rsid w:val="398E1CFA"/>
    <w:rsid w:val="39923F83"/>
    <w:rsid w:val="399A358E"/>
    <w:rsid w:val="39B62EBE"/>
    <w:rsid w:val="3A16675B"/>
    <w:rsid w:val="3A2A75FA"/>
    <w:rsid w:val="3A3544AC"/>
    <w:rsid w:val="3A3F5379"/>
    <w:rsid w:val="3A436689"/>
    <w:rsid w:val="3A675260"/>
    <w:rsid w:val="3A8646CD"/>
    <w:rsid w:val="3AAC45FF"/>
    <w:rsid w:val="3AC37B79"/>
    <w:rsid w:val="3AE070A1"/>
    <w:rsid w:val="3B1C5C89"/>
    <w:rsid w:val="3B1E2869"/>
    <w:rsid w:val="3B236D85"/>
    <w:rsid w:val="3B4F775C"/>
    <w:rsid w:val="3B617677"/>
    <w:rsid w:val="3B757B5E"/>
    <w:rsid w:val="3B883620"/>
    <w:rsid w:val="3B997439"/>
    <w:rsid w:val="3BA65BED"/>
    <w:rsid w:val="3BDB4DC2"/>
    <w:rsid w:val="3C090267"/>
    <w:rsid w:val="3C09240E"/>
    <w:rsid w:val="3C146221"/>
    <w:rsid w:val="3C1D10AF"/>
    <w:rsid w:val="3C5C6615"/>
    <w:rsid w:val="3CBA2232"/>
    <w:rsid w:val="3CC365B8"/>
    <w:rsid w:val="3CD51844"/>
    <w:rsid w:val="3CE979FE"/>
    <w:rsid w:val="3D08452F"/>
    <w:rsid w:val="3D3675FD"/>
    <w:rsid w:val="3D5001A7"/>
    <w:rsid w:val="3D55441E"/>
    <w:rsid w:val="3D6B2F4F"/>
    <w:rsid w:val="3D713555"/>
    <w:rsid w:val="3D741DEE"/>
    <w:rsid w:val="3D85737C"/>
    <w:rsid w:val="3D8B05D6"/>
    <w:rsid w:val="3D9C3FFF"/>
    <w:rsid w:val="3DA92F31"/>
    <w:rsid w:val="3DB3244A"/>
    <w:rsid w:val="3DB868D1"/>
    <w:rsid w:val="3DDE328E"/>
    <w:rsid w:val="3E0B0DB0"/>
    <w:rsid w:val="3E0C635B"/>
    <w:rsid w:val="3E116F60"/>
    <w:rsid w:val="3E572F58"/>
    <w:rsid w:val="3E573937"/>
    <w:rsid w:val="3E636D6A"/>
    <w:rsid w:val="3E872DEF"/>
    <w:rsid w:val="3E962A3C"/>
    <w:rsid w:val="3E9704BE"/>
    <w:rsid w:val="3F043070"/>
    <w:rsid w:val="3F1D2CEE"/>
    <w:rsid w:val="3F4D6968"/>
    <w:rsid w:val="3F8B424E"/>
    <w:rsid w:val="3F934EDE"/>
    <w:rsid w:val="3FA97081"/>
    <w:rsid w:val="3FC812ED"/>
    <w:rsid w:val="3FCE6ABE"/>
    <w:rsid w:val="400D5F11"/>
    <w:rsid w:val="40130E98"/>
    <w:rsid w:val="401776B5"/>
    <w:rsid w:val="403501D5"/>
    <w:rsid w:val="40516596"/>
    <w:rsid w:val="407E4ADB"/>
    <w:rsid w:val="408E7C60"/>
    <w:rsid w:val="40B04E56"/>
    <w:rsid w:val="40C60753"/>
    <w:rsid w:val="40C761D4"/>
    <w:rsid w:val="40D15800"/>
    <w:rsid w:val="40D24565"/>
    <w:rsid w:val="40D74270"/>
    <w:rsid w:val="40D7478B"/>
    <w:rsid w:val="410113A2"/>
    <w:rsid w:val="415D4149"/>
    <w:rsid w:val="416F143B"/>
    <w:rsid w:val="41785171"/>
    <w:rsid w:val="41880811"/>
    <w:rsid w:val="41B44DE2"/>
    <w:rsid w:val="41C60C56"/>
    <w:rsid w:val="41E9727E"/>
    <w:rsid w:val="41F50509"/>
    <w:rsid w:val="420226D9"/>
    <w:rsid w:val="42190100"/>
    <w:rsid w:val="42375131"/>
    <w:rsid w:val="42610172"/>
    <w:rsid w:val="426339F7"/>
    <w:rsid w:val="42705E47"/>
    <w:rsid w:val="42733C91"/>
    <w:rsid w:val="427C45A1"/>
    <w:rsid w:val="428C76CE"/>
    <w:rsid w:val="42916AC5"/>
    <w:rsid w:val="42A3645B"/>
    <w:rsid w:val="42CE0B28"/>
    <w:rsid w:val="43046EDF"/>
    <w:rsid w:val="432106B2"/>
    <w:rsid w:val="43603542"/>
    <w:rsid w:val="436807A8"/>
    <w:rsid w:val="43790FC1"/>
    <w:rsid w:val="439901E8"/>
    <w:rsid w:val="43A14703"/>
    <w:rsid w:val="43CD51C7"/>
    <w:rsid w:val="43EC12FF"/>
    <w:rsid w:val="43F11B33"/>
    <w:rsid w:val="43F17986"/>
    <w:rsid w:val="43FF4262"/>
    <w:rsid w:val="44062B2A"/>
    <w:rsid w:val="444678CE"/>
    <w:rsid w:val="444744C8"/>
    <w:rsid w:val="44495B09"/>
    <w:rsid w:val="44565A46"/>
    <w:rsid w:val="445C041A"/>
    <w:rsid w:val="44604594"/>
    <w:rsid w:val="447E086E"/>
    <w:rsid w:val="448E5285"/>
    <w:rsid w:val="44B454C5"/>
    <w:rsid w:val="44C125DD"/>
    <w:rsid w:val="44CA2EEC"/>
    <w:rsid w:val="44D35D7A"/>
    <w:rsid w:val="44DC2E06"/>
    <w:rsid w:val="44DD6689"/>
    <w:rsid w:val="44E7774D"/>
    <w:rsid w:val="45127C50"/>
    <w:rsid w:val="454416D4"/>
    <w:rsid w:val="454C21C0"/>
    <w:rsid w:val="45595C53"/>
    <w:rsid w:val="455E7EDC"/>
    <w:rsid w:val="45830A1B"/>
    <w:rsid w:val="458D51A8"/>
    <w:rsid w:val="459B4244"/>
    <w:rsid w:val="45A33E4B"/>
    <w:rsid w:val="45A94422"/>
    <w:rsid w:val="45B253E8"/>
    <w:rsid w:val="45CC5F92"/>
    <w:rsid w:val="46236563"/>
    <w:rsid w:val="465C2D4B"/>
    <w:rsid w:val="465C457C"/>
    <w:rsid w:val="467609A9"/>
    <w:rsid w:val="469F3F0A"/>
    <w:rsid w:val="46E67A01"/>
    <w:rsid w:val="47262D4B"/>
    <w:rsid w:val="47670737"/>
    <w:rsid w:val="477F6C5D"/>
    <w:rsid w:val="47D927EF"/>
    <w:rsid w:val="47F00216"/>
    <w:rsid w:val="47F236FB"/>
    <w:rsid w:val="480F5247"/>
    <w:rsid w:val="4839608B"/>
    <w:rsid w:val="483A3F41"/>
    <w:rsid w:val="485D1370"/>
    <w:rsid w:val="48622CF7"/>
    <w:rsid w:val="488678AB"/>
    <w:rsid w:val="48B06FCF"/>
    <w:rsid w:val="48C37CC6"/>
    <w:rsid w:val="48D70326"/>
    <w:rsid w:val="48FF25D1"/>
    <w:rsid w:val="49281A93"/>
    <w:rsid w:val="492F313E"/>
    <w:rsid w:val="495010D7"/>
    <w:rsid w:val="49505853"/>
    <w:rsid w:val="4955555E"/>
    <w:rsid w:val="49611371"/>
    <w:rsid w:val="49A21DDA"/>
    <w:rsid w:val="49E453DD"/>
    <w:rsid w:val="49EE4458"/>
    <w:rsid w:val="4A136C16"/>
    <w:rsid w:val="4A521971"/>
    <w:rsid w:val="4A880DD3"/>
    <w:rsid w:val="4A9C4E28"/>
    <w:rsid w:val="4AFF7B18"/>
    <w:rsid w:val="4B254325"/>
    <w:rsid w:val="4B275459"/>
    <w:rsid w:val="4B2941E0"/>
    <w:rsid w:val="4B7D2F03"/>
    <w:rsid w:val="4BA74AAE"/>
    <w:rsid w:val="4BE90D9B"/>
    <w:rsid w:val="4BEF2CA4"/>
    <w:rsid w:val="4BFF2F3E"/>
    <w:rsid w:val="4C0F5757"/>
    <w:rsid w:val="4C1208DA"/>
    <w:rsid w:val="4C261BDE"/>
    <w:rsid w:val="4C334692"/>
    <w:rsid w:val="4C415DA1"/>
    <w:rsid w:val="4C660668"/>
    <w:rsid w:val="4C816990"/>
    <w:rsid w:val="4CB613E8"/>
    <w:rsid w:val="4CB76E6A"/>
    <w:rsid w:val="4CCC6E0F"/>
    <w:rsid w:val="4CE51F37"/>
    <w:rsid w:val="4D1B40EF"/>
    <w:rsid w:val="4D2079EB"/>
    <w:rsid w:val="4D2B4C2A"/>
    <w:rsid w:val="4D570F71"/>
    <w:rsid w:val="4D9A4EDE"/>
    <w:rsid w:val="4DA05023"/>
    <w:rsid w:val="4DA14869"/>
    <w:rsid w:val="4DEE01EB"/>
    <w:rsid w:val="4DF036EE"/>
    <w:rsid w:val="4DF30DF0"/>
    <w:rsid w:val="4DF6271E"/>
    <w:rsid w:val="4DFC16FF"/>
    <w:rsid w:val="4E03108A"/>
    <w:rsid w:val="4E05458D"/>
    <w:rsid w:val="4E2822B5"/>
    <w:rsid w:val="4E305CD2"/>
    <w:rsid w:val="4E5A1A99"/>
    <w:rsid w:val="4E640249"/>
    <w:rsid w:val="4E723844"/>
    <w:rsid w:val="4E7D0D54"/>
    <w:rsid w:val="4E835C30"/>
    <w:rsid w:val="4E85035F"/>
    <w:rsid w:val="4E9E77F7"/>
    <w:rsid w:val="4EB95335"/>
    <w:rsid w:val="4ED33CE1"/>
    <w:rsid w:val="4F01352B"/>
    <w:rsid w:val="4F13254C"/>
    <w:rsid w:val="4F26376B"/>
    <w:rsid w:val="4F423F95"/>
    <w:rsid w:val="4F4C1158"/>
    <w:rsid w:val="4F511846"/>
    <w:rsid w:val="4F6279AB"/>
    <w:rsid w:val="4F9D6C2D"/>
    <w:rsid w:val="4FA74FBE"/>
    <w:rsid w:val="4FB27ACC"/>
    <w:rsid w:val="4FBF6DE2"/>
    <w:rsid w:val="501555F2"/>
    <w:rsid w:val="502D7993"/>
    <w:rsid w:val="504273BB"/>
    <w:rsid w:val="505605DA"/>
    <w:rsid w:val="506A727A"/>
    <w:rsid w:val="50941CF8"/>
    <w:rsid w:val="509636E2"/>
    <w:rsid w:val="50B13272"/>
    <w:rsid w:val="50B6710F"/>
    <w:rsid w:val="50BC2F96"/>
    <w:rsid w:val="50DE7239"/>
    <w:rsid w:val="50F019F4"/>
    <w:rsid w:val="51435EF0"/>
    <w:rsid w:val="514E1F83"/>
    <w:rsid w:val="51506273"/>
    <w:rsid w:val="51A227FA"/>
    <w:rsid w:val="51A57002"/>
    <w:rsid w:val="51A64A84"/>
    <w:rsid w:val="51F65583"/>
    <w:rsid w:val="520A0F25"/>
    <w:rsid w:val="521274CB"/>
    <w:rsid w:val="52611333"/>
    <w:rsid w:val="528278EA"/>
    <w:rsid w:val="52B5070D"/>
    <w:rsid w:val="52D62BF7"/>
    <w:rsid w:val="52E03A67"/>
    <w:rsid w:val="52FC46EA"/>
    <w:rsid w:val="534D042C"/>
    <w:rsid w:val="5350703E"/>
    <w:rsid w:val="537F430A"/>
    <w:rsid w:val="53882620"/>
    <w:rsid w:val="538B07B0"/>
    <w:rsid w:val="538C361F"/>
    <w:rsid w:val="538D10A1"/>
    <w:rsid w:val="53A46AC8"/>
    <w:rsid w:val="53A54549"/>
    <w:rsid w:val="53C25E9B"/>
    <w:rsid w:val="53CF0B3E"/>
    <w:rsid w:val="53DC6880"/>
    <w:rsid w:val="53F47B4C"/>
    <w:rsid w:val="5403314B"/>
    <w:rsid w:val="54471188"/>
    <w:rsid w:val="544A4CD7"/>
    <w:rsid w:val="545309AA"/>
    <w:rsid w:val="54BF0519"/>
    <w:rsid w:val="54E603D9"/>
    <w:rsid w:val="552114B7"/>
    <w:rsid w:val="552827AD"/>
    <w:rsid w:val="552B1450"/>
    <w:rsid w:val="55584783"/>
    <w:rsid w:val="556D3B35"/>
    <w:rsid w:val="55735A3E"/>
    <w:rsid w:val="55835CD9"/>
    <w:rsid w:val="558561A8"/>
    <w:rsid w:val="558E2FA7"/>
    <w:rsid w:val="55B464A8"/>
    <w:rsid w:val="55B7742C"/>
    <w:rsid w:val="55BD2802"/>
    <w:rsid w:val="55D80B5E"/>
    <w:rsid w:val="55E028DC"/>
    <w:rsid w:val="55F969E7"/>
    <w:rsid w:val="56024028"/>
    <w:rsid w:val="5616190A"/>
    <w:rsid w:val="567B0F28"/>
    <w:rsid w:val="56856B80"/>
    <w:rsid w:val="56941399"/>
    <w:rsid w:val="569F71AC"/>
    <w:rsid w:val="56BA15D9"/>
    <w:rsid w:val="56EF3AF5"/>
    <w:rsid w:val="56F83407"/>
    <w:rsid w:val="571A4227"/>
    <w:rsid w:val="571E54DC"/>
    <w:rsid w:val="572210F5"/>
    <w:rsid w:val="572A730E"/>
    <w:rsid w:val="572C4E22"/>
    <w:rsid w:val="574B7843"/>
    <w:rsid w:val="576146B9"/>
    <w:rsid w:val="57677173"/>
    <w:rsid w:val="57722F85"/>
    <w:rsid w:val="57730A07"/>
    <w:rsid w:val="577865C9"/>
    <w:rsid w:val="578F7CCE"/>
    <w:rsid w:val="579C1BCB"/>
    <w:rsid w:val="57B74973"/>
    <w:rsid w:val="57E1103B"/>
    <w:rsid w:val="57E23AB5"/>
    <w:rsid w:val="57F020A7"/>
    <w:rsid w:val="580637F9"/>
    <w:rsid w:val="58467715"/>
    <w:rsid w:val="587B1239"/>
    <w:rsid w:val="58886F75"/>
    <w:rsid w:val="589A16F0"/>
    <w:rsid w:val="58B65B9B"/>
    <w:rsid w:val="58D202D1"/>
    <w:rsid w:val="58D4514B"/>
    <w:rsid w:val="592119C7"/>
    <w:rsid w:val="593309E8"/>
    <w:rsid w:val="599808C6"/>
    <w:rsid w:val="59B07FB1"/>
    <w:rsid w:val="59E91410"/>
    <w:rsid w:val="59F60DAD"/>
    <w:rsid w:val="59FB712C"/>
    <w:rsid w:val="59FD262F"/>
    <w:rsid w:val="5A050D40"/>
    <w:rsid w:val="5A09064B"/>
    <w:rsid w:val="5A364636"/>
    <w:rsid w:val="5A5468C1"/>
    <w:rsid w:val="5A770B6E"/>
    <w:rsid w:val="5A8A0BF0"/>
    <w:rsid w:val="5A9102A6"/>
    <w:rsid w:val="5AB246DC"/>
    <w:rsid w:val="5AB3215E"/>
    <w:rsid w:val="5AB61CF5"/>
    <w:rsid w:val="5AD05E8B"/>
    <w:rsid w:val="5AD42692"/>
    <w:rsid w:val="5B2F7529"/>
    <w:rsid w:val="5B814DBA"/>
    <w:rsid w:val="5B8931D8"/>
    <w:rsid w:val="5BBA168B"/>
    <w:rsid w:val="5BBD01B3"/>
    <w:rsid w:val="5C13779B"/>
    <w:rsid w:val="5CC611FF"/>
    <w:rsid w:val="5CCF11D3"/>
    <w:rsid w:val="5D4A309B"/>
    <w:rsid w:val="5D7F7CF2"/>
    <w:rsid w:val="5D851C35"/>
    <w:rsid w:val="5DB37248"/>
    <w:rsid w:val="5DC72F8C"/>
    <w:rsid w:val="5DDA7107"/>
    <w:rsid w:val="5EB80CF4"/>
    <w:rsid w:val="5F187E14"/>
    <w:rsid w:val="5F255EFF"/>
    <w:rsid w:val="5F452DBD"/>
    <w:rsid w:val="5F5159EF"/>
    <w:rsid w:val="5FBE2597"/>
    <w:rsid w:val="5FD4774C"/>
    <w:rsid w:val="5FDA5B33"/>
    <w:rsid w:val="5FDC7E75"/>
    <w:rsid w:val="5FF120B4"/>
    <w:rsid w:val="603A596D"/>
    <w:rsid w:val="605F2329"/>
    <w:rsid w:val="606345B3"/>
    <w:rsid w:val="60680A3A"/>
    <w:rsid w:val="607B393B"/>
    <w:rsid w:val="609B470C"/>
    <w:rsid w:val="60AC4695"/>
    <w:rsid w:val="60BA2331"/>
    <w:rsid w:val="60D45B6B"/>
    <w:rsid w:val="60EB32AF"/>
    <w:rsid w:val="61171AD8"/>
    <w:rsid w:val="612620F2"/>
    <w:rsid w:val="6142291C"/>
    <w:rsid w:val="614E316C"/>
    <w:rsid w:val="61B73BDF"/>
    <w:rsid w:val="61EE1B3B"/>
    <w:rsid w:val="61FE0917"/>
    <w:rsid w:val="620F67EC"/>
    <w:rsid w:val="623E513D"/>
    <w:rsid w:val="62563CE5"/>
    <w:rsid w:val="62E47AC9"/>
    <w:rsid w:val="6350047D"/>
    <w:rsid w:val="63EA17AF"/>
    <w:rsid w:val="6412053C"/>
    <w:rsid w:val="643519F5"/>
    <w:rsid w:val="64430D0B"/>
    <w:rsid w:val="64465512"/>
    <w:rsid w:val="64523523"/>
    <w:rsid w:val="648065F1"/>
    <w:rsid w:val="64971BDD"/>
    <w:rsid w:val="64CA7CEA"/>
    <w:rsid w:val="65046BCA"/>
    <w:rsid w:val="650A2CD2"/>
    <w:rsid w:val="651435E1"/>
    <w:rsid w:val="654153AA"/>
    <w:rsid w:val="654D4A40"/>
    <w:rsid w:val="6566621E"/>
    <w:rsid w:val="657E2C91"/>
    <w:rsid w:val="65821697"/>
    <w:rsid w:val="659A6D3E"/>
    <w:rsid w:val="65C61544"/>
    <w:rsid w:val="65CD4095"/>
    <w:rsid w:val="65CE6293"/>
    <w:rsid w:val="65F740ED"/>
    <w:rsid w:val="66077C6A"/>
    <w:rsid w:val="661E7317"/>
    <w:rsid w:val="663D1DCA"/>
    <w:rsid w:val="66495BDD"/>
    <w:rsid w:val="669E696B"/>
    <w:rsid w:val="66BA4C17"/>
    <w:rsid w:val="66C60005"/>
    <w:rsid w:val="66D435C2"/>
    <w:rsid w:val="66DB09CF"/>
    <w:rsid w:val="66ED66EB"/>
    <w:rsid w:val="67763396"/>
    <w:rsid w:val="6779274B"/>
    <w:rsid w:val="6789682B"/>
    <w:rsid w:val="678A1A6C"/>
    <w:rsid w:val="679F070D"/>
    <w:rsid w:val="67A9335C"/>
    <w:rsid w:val="67D44D17"/>
    <w:rsid w:val="680A7DBC"/>
    <w:rsid w:val="680B32BF"/>
    <w:rsid w:val="680C4CB4"/>
    <w:rsid w:val="680E2045"/>
    <w:rsid w:val="68172D95"/>
    <w:rsid w:val="68374408"/>
    <w:rsid w:val="683F2814"/>
    <w:rsid w:val="68400296"/>
    <w:rsid w:val="68976726"/>
    <w:rsid w:val="68A015B4"/>
    <w:rsid w:val="69156EBB"/>
    <w:rsid w:val="696D3947"/>
    <w:rsid w:val="69760313"/>
    <w:rsid w:val="698A6FB3"/>
    <w:rsid w:val="69DD483F"/>
    <w:rsid w:val="69F47683"/>
    <w:rsid w:val="69F942E4"/>
    <w:rsid w:val="6A0568FD"/>
    <w:rsid w:val="6A2B6B3C"/>
    <w:rsid w:val="6A310A46"/>
    <w:rsid w:val="6A5F0290"/>
    <w:rsid w:val="6A865F51"/>
    <w:rsid w:val="6AA40D85"/>
    <w:rsid w:val="6B7845E0"/>
    <w:rsid w:val="6B9F60AC"/>
    <w:rsid w:val="6BA350A4"/>
    <w:rsid w:val="6BFA38B5"/>
    <w:rsid w:val="6C0618C6"/>
    <w:rsid w:val="6C0A3B4F"/>
    <w:rsid w:val="6C254067"/>
    <w:rsid w:val="6C3426E1"/>
    <w:rsid w:val="6C4526AF"/>
    <w:rsid w:val="6C5703CB"/>
    <w:rsid w:val="6C774F51"/>
    <w:rsid w:val="6C7A1884"/>
    <w:rsid w:val="6CE846A3"/>
    <w:rsid w:val="6D0A6F75"/>
    <w:rsid w:val="6D2E4BAB"/>
    <w:rsid w:val="6D4A44DB"/>
    <w:rsid w:val="6D534D54"/>
    <w:rsid w:val="6D63623C"/>
    <w:rsid w:val="6D812437"/>
    <w:rsid w:val="6D853006"/>
    <w:rsid w:val="6DEB7F47"/>
    <w:rsid w:val="6E087CA3"/>
    <w:rsid w:val="6E123F24"/>
    <w:rsid w:val="6E391BE5"/>
    <w:rsid w:val="6E3B72E7"/>
    <w:rsid w:val="6E5C02CB"/>
    <w:rsid w:val="6E680DA5"/>
    <w:rsid w:val="6E804558"/>
    <w:rsid w:val="6EA0288E"/>
    <w:rsid w:val="6EE509F4"/>
    <w:rsid w:val="6EFC51A7"/>
    <w:rsid w:val="6F023405"/>
    <w:rsid w:val="6F0B13DB"/>
    <w:rsid w:val="6F123AC7"/>
    <w:rsid w:val="6F25039A"/>
    <w:rsid w:val="6FA841C0"/>
    <w:rsid w:val="6FA8783E"/>
    <w:rsid w:val="6FBC2EB1"/>
    <w:rsid w:val="70623166"/>
    <w:rsid w:val="70714D08"/>
    <w:rsid w:val="7073020B"/>
    <w:rsid w:val="709C35CE"/>
    <w:rsid w:val="70D127A3"/>
    <w:rsid w:val="70F86AD9"/>
    <w:rsid w:val="71032079"/>
    <w:rsid w:val="71936767"/>
    <w:rsid w:val="720F35F2"/>
    <w:rsid w:val="72100F31"/>
    <w:rsid w:val="72287D95"/>
    <w:rsid w:val="72304FDF"/>
    <w:rsid w:val="723356D2"/>
    <w:rsid w:val="72434C03"/>
    <w:rsid w:val="7247717D"/>
    <w:rsid w:val="728B348E"/>
    <w:rsid w:val="729926C8"/>
    <w:rsid w:val="72B077B6"/>
    <w:rsid w:val="72E650E9"/>
    <w:rsid w:val="73096F4B"/>
    <w:rsid w:val="73131A58"/>
    <w:rsid w:val="73142D5D"/>
    <w:rsid w:val="7317045F"/>
    <w:rsid w:val="732D5E85"/>
    <w:rsid w:val="733D42E3"/>
    <w:rsid w:val="737230F7"/>
    <w:rsid w:val="73854316"/>
    <w:rsid w:val="73997733"/>
    <w:rsid w:val="73A57DF9"/>
    <w:rsid w:val="73A744CA"/>
    <w:rsid w:val="73BF1040"/>
    <w:rsid w:val="73CC19D5"/>
    <w:rsid w:val="74126445"/>
    <w:rsid w:val="741A7D2C"/>
    <w:rsid w:val="744077D3"/>
    <w:rsid w:val="74694588"/>
    <w:rsid w:val="746C550D"/>
    <w:rsid w:val="74956F50"/>
    <w:rsid w:val="74AF2AFE"/>
    <w:rsid w:val="74E146D2"/>
    <w:rsid w:val="74F86B15"/>
    <w:rsid w:val="756A3232"/>
    <w:rsid w:val="75745DF5"/>
    <w:rsid w:val="75876F5E"/>
    <w:rsid w:val="75895CE5"/>
    <w:rsid w:val="759901A2"/>
    <w:rsid w:val="759F2407"/>
    <w:rsid w:val="75D02BD6"/>
    <w:rsid w:val="75E15270"/>
    <w:rsid w:val="76116EC2"/>
    <w:rsid w:val="76325B80"/>
    <w:rsid w:val="76B72ED4"/>
    <w:rsid w:val="76C8536C"/>
    <w:rsid w:val="76F00D88"/>
    <w:rsid w:val="771928DB"/>
    <w:rsid w:val="771C067A"/>
    <w:rsid w:val="772032D2"/>
    <w:rsid w:val="772A6AEC"/>
    <w:rsid w:val="77693C0F"/>
    <w:rsid w:val="77695CCA"/>
    <w:rsid w:val="776C5E7A"/>
    <w:rsid w:val="779415BD"/>
    <w:rsid w:val="779C0BC8"/>
    <w:rsid w:val="779C4C9B"/>
    <w:rsid w:val="77C2468B"/>
    <w:rsid w:val="77CB1717"/>
    <w:rsid w:val="780B5507"/>
    <w:rsid w:val="7855167B"/>
    <w:rsid w:val="788F4999"/>
    <w:rsid w:val="78A53586"/>
    <w:rsid w:val="78A92755"/>
    <w:rsid w:val="78B8009B"/>
    <w:rsid w:val="78B9366E"/>
    <w:rsid w:val="78BC17CD"/>
    <w:rsid w:val="78C5192F"/>
    <w:rsid w:val="78C86137"/>
    <w:rsid w:val="78D366C6"/>
    <w:rsid w:val="790B20A3"/>
    <w:rsid w:val="79650BAD"/>
    <w:rsid w:val="796C47DC"/>
    <w:rsid w:val="79917D7E"/>
    <w:rsid w:val="79DF2C7C"/>
    <w:rsid w:val="79E47779"/>
    <w:rsid w:val="79F57AA2"/>
    <w:rsid w:val="7A194129"/>
    <w:rsid w:val="7A1F66E8"/>
    <w:rsid w:val="7A4C3D34"/>
    <w:rsid w:val="7A6300D6"/>
    <w:rsid w:val="7A7D4CC5"/>
    <w:rsid w:val="7AC04CBB"/>
    <w:rsid w:val="7AD57A5A"/>
    <w:rsid w:val="7AD9139A"/>
    <w:rsid w:val="7AE67D87"/>
    <w:rsid w:val="7B6E2211"/>
    <w:rsid w:val="7B8472B4"/>
    <w:rsid w:val="7BC80470"/>
    <w:rsid w:val="7BE0484E"/>
    <w:rsid w:val="7C081A8C"/>
    <w:rsid w:val="7C0F40E4"/>
    <w:rsid w:val="7C153320"/>
    <w:rsid w:val="7C482875"/>
    <w:rsid w:val="7C4A7F77"/>
    <w:rsid w:val="7C5D3714"/>
    <w:rsid w:val="7C92278E"/>
    <w:rsid w:val="7C941670"/>
    <w:rsid w:val="7C970076"/>
    <w:rsid w:val="7CD32459"/>
    <w:rsid w:val="7CDE07EA"/>
    <w:rsid w:val="7CF22D0E"/>
    <w:rsid w:val="7D0C0035"/>
    <w:rsid w:val="7D4D3494"/>
    <w:rsid w:val="7D9E7791"/>
    <w:rsid w:val="7DA22244"/>
    <w:rsid w:val="7DBC28DE"/>
    <w:rsid w:val="7DC50AE8"/>
    <w:rsid w:val="7DCB716E"/>
    <w:rsid w:val="7DCE3976"/>
    <w:rsid w:val="7DF65A34"/>
    <w:rsid w:val="7DFB0564"/>
    <w:rsid w:val="7E0B59D9"/>
    <w:rsid w:val="7E23763C"/>
    <w:rsid w:val="7E4C3A0F"/>
    <w:rsid w:val="7E4C3A98"/>
    <w:rsid w:val="7E4C4244"/>
    <w:rsid w:val="7E7E25DA"/>
    <w:rsid w:val="7E926F37"/>
    <w:rsid w:val="7E9E07CB"/>
    <w:rsid w:val="7EA43B26"/>
    <w:rsid w:val="7EDD5D31"/>
    <w:rsid w:val="7EF97BE0"/>
    <w:rsid w:val="7F1A61C1"/>
    <w:rsid w:val="7F23352A"/>
    <w:rsid w:val="7F6C689A"/>
    <w:rsid w:val="7F7347EE"/>
    <w:rsid w:val="7F7D33DC"/>
    <w:rsid w:val="7F8242C1"/>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2024-04-08T12:12:30Z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