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R4-2402431</w:t>
        </w:r>
      </w:fldSimple>
    </w:p>
    <w:p w14:paraId="7CB45193" w14:textId="77777777" w:rsidR="001E41F3" w:rsidRDefault="002849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49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49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49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4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CC7C0" w:rsidR="00F25D98" w:rsidRDefault="00284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NR_RRM_enh</w:t>
            </w:r>
            <w:proofErr w:type="spellEnd"/>
            <w:r w:rsidR="002640DD">
              <w:t xml:space="preserve">) CR to 36.133 Clarification of interruption </w:t>
            </w:r>
            <w:proofErr w:type="spellStart"/>
            <w:r w:rsidR="002640DD">
              <w:t>behavior</w:t>
            </w:r>
            <w:proofErr w:type="spellEnd"/>
            <w:r w:rsidR="002640DD">
              <w:t xml:space="preserve"> for measurements without gaps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BT Plc., Charter Communications Inc., Deutsche Telekom, Vodafone, TELECOM ITALIA S.p.A.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A2DF1" w:rsidR="001E41F3" w:rsidRDefault="002242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4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F6799" w:rsidR="001E41F3" w:rsidRDefault="00C34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interruption behavior for interRAT measurement without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58E5D" w14:textId="77777777" w:rsidR="00994B8F" w:rsidRDefault="00994B8F" w:rsidP="00994B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support of NR InterRAT measurements can be indicated by UEs through the UE capability </w:t>
            </w:r>
            <w:proofErr w:type="spellStart"/>
            <w:r w:rsidRPr="00E34401">
              <w:t>interRAT-NeedForGapsNR</w:t>
            </w:r>
            <w:proofErr w:type="spellEnd"/>
            <w:r>
              <w:t xml:space="preserve">. </w:t>
            </w:r>
            <w:proofErr w:type="gramStart"/>
            <w:r>
              <w:t>However</w:t>
            </w:r>
            <w:proofErr w:type="gramEnd"/>
            <w:r>
              <w:t xml:space="preserve"> it is left unclear whether this UE capability allows for interruptions or not. </w:t>
            </w:r>
          </w:p>
          <w:p w14:paraId="3C6362B2" w14:textId="77777777" w:rsidR="00994B8F" w:rsidRDefault="00994B8F" w:rsidP="00994B8F">
            <w:pPr>
              <w:pStyle w:val="CRCoverPage"/>
              <w:spacing w:after="0"/>
              <w:ind w:left="100"/>
            </w:pPr>
          </w:p>
          <w:p w14:paraId="31C656EC" w14:textId="4BCE297E" w:rsidR="001E41F3" w:rsidRDefault="00994B8F" w:rsidP="00994B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makes the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D6A9A" w:rsidR="001E41F3" w:rsidRDefault="00124594" w:rsidP="00124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behavior when the UE indicates support of the feature </w:t>
            </w:r>
            <w:proofErr w:type="spellStart"/>
            <w:r w:rsidRPr="00E34401">
              <w:t>interRAT-NeedForGapsNR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99293" w:rsidR="001E41F3" w:rsidRDefault="00124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90F5A" w:rsidR="001E41F3" w:rsidRDefault="00124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EFCDD" w:rsidR="001E41F3" w:rsidRDefault="00124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765DB" w:rsidR="001E41F3" w:rsidRDefault="00124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7CE2B" w14:textId="77777777" w:rsidR="001E41F3" w:rsidRDefault="001E41F3">
      <w:pPr>
        <w:rPr>
          <w:noProof/>
        </w:rPr>
      </w:pPr>
    </w:p>
    <w:p w14:paraId="7DD7306D" w14:textId="77777777" w:rsidR="00124594" w:rsidRDefault="00124594">
      <w:pPr>
        <w:rPr>
          <w:noProof/>
        </w:rPr>
      </w:pPr>
    </w:p>
    <w:p w14:paraId="62ED3648" w14:textId="77777777" w:rsidR="00927BEF" w:rsidRPr="00935E6D" w:rsidRDefault="00927BEF" w:rsidP="00927BEF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&lt;Start of Change #1&gt;</w:t>
      </w:r>
    </w:p>
    <w:p w14:paraId="414862E4" w14:textId="77777777" w:rsidR="00927BEF" w:rsidRPr="00691C10" w:rsidRDefault="00927BEF" w:rsidP="00927BEF">
      <w:pPr>
        <w:pStyle w:val="Heading3"/>
      </w:pPr>
      <w:bookmarkStart w:id="1" w:name="_Toc383690784"/>
      <w:r w:rsidRPr="00691C10">
        <w:t>8.1.2</w:t>
      </w:r>
      <w:r w:rsidRPr="00691C10">
        <w:tab/>
        <w:t>Requirements</w:t>
      </w:r>
      <w:bookmarkEnd w:id="1"/>
    </w:p>
    <w:p w14:paraId="11068C8A" w14:textId="77777777" w:rsidR="00927BEF" w:rsidRPr="00691C10" w:rsidRDefault="00927BEF" w:rsidP="00927BEF">
      <w:pPr>
        <w:pStyle w:val="Heading4"/>
      </w:pPr>
      <w:bookmarkStart w:id="2" w:name="_Toc383690785"/>
      <w:r w:rsidRPr="00691C10">
        <w:t>8.1.2.1</w:t>
      </w:r>
      <w:r w:rsidRPr="00691C10">
        <w:tab/>
        <w:t>UE measurement capability</w:t>
      </w:r>
      <w:bookmarkEnd w:id="2"/>
    </w:p>
    <w:p w14:paraId="434A3717" w14:textId="77777777" w:rsidR="00927BEF" w:rsidRPr="00691C10" w:rsidRDefault="00927BEF" w:rsidP="00927BEF">
      <w:r w:rsidRPr="00691C10">
        <w:t xml:space="preserve">If the UE requires measurement gaps to identify and measure inter-frequency and/or inter-RAT cells and the UE does not support perServingCellMeasurementGap-r14 or is not configured with per serving cell measurement gaps, </w:t>
      </w:r>
      <w:r w:rsidRPr="00691C10">
        <w:rPr>
          <w:rFonts w:cs="v4.2.0"/>
        </w:rPr>
        <w:t xml:space="preserve">in order for the requirements in the following subsections to apply the E-UTRAN must provide </w:t>
      </w:r>
      <w:r w:rsidRPr="00691C10">
        <w:t xml:space="preserve">a single measurement gap pattern with constant gap duration for concurrent monitoring of all frequency layers and RATs. If the UE requires measurement gaps to identify and measure inter-frequency and/or inter-RAT cells and the UE supports perServingCellMeasurementGap-r14 and is configured with per serving cell measurement gaps, </w:t>
      </w:r>
      <w:r w:rsidRPr="00691C10">
        <w:rPr>
          <w:rFonts w:cs="v4.2.0"/>
        </w:rPr>
        <w:t xml:space="preserve">in order for the requirements in the following subsections to apply the E-UTRAN must provide </w:t>
      </w:r>
      <w:r w:rsidRPr="00691C10">
        <w:t xml:space="preserve">gap pattern(s) on at least each serving component carrier (per-CC) where the UE has indicated in the </w:t>
      </w:r>
      <w:proofErr w:type="spellStart"/>
      <w:r w:rsidRPr="00691C10">
        <w:rPr>
          <w:i/>
        </w:rPr>
        <w:t>perCC-ListGapIndication</w:t>
      </w:r>
      <w:proofErr w:type="spellEnd"/>
      <w:r w:rsidRPr="00691C10">
        <w:t xml:space="preserve"> IE that gaps are required. No gap pattern is required to be provided on the serving component carrier where UE has indicated in the </w:t>
      </w:r>
      <w:proofErr w:type="spellStart"/>
      <w:r w:rsidRPr="00691C10">
        <w:t>the</w:t>
      </w:r>
      <w:proofErr w:type="spellEnd"/>
      <w:r w:rsidRPr="00691C10">
        <w:t xml:space="preserve"> </w:t>
      </w:r>
      <w:proofErr w:type="spellStart"/>
      <w:r w:rsidRPr="00691C10">
        <w:rPr>
          <w:i/>
        </w:rPr>
        <w:t>perCC-ListGapIndication</w:t>
      </w:r>
      <w:proofErr w:type="spellEnd"/>
      <w:r w:rsidRPr="00691C10">
        <w:t xml:space="preserve"> IE that gaps are not required. </w:t>
      </w:r>
      <w:r w:rsidRPr="00691C10">
        <w:rPr>
          <w:lang w:val="en-US"/>
        </w:rPr>
        <w:t xml:space="preserve">The requirements apply if the gap on each serving cell is at least that which the UE has indicated with </w:t>
      </w:r>
      <w:proofErr w:type="spellStart"/>
      <w:r w:rsidRPr="00691C10">
        <w:rPr>
          <w:lang w:val="en-US"/>
        </w:rPr>
        <w:t>gapIndication</w:t>
      </w:r>
      <w:proofErr w:type="spellEnd"/>
      <w:r w:rsidRPr="00691C10">
        <w:rPr>
          <w:lang w:val="en-US"/>
        </w:rPr>
        <w:t xml:space="preserve"> in the </w:t>
      </w:r>
      <w:proofErr w:type="spellStart"/>
      <w:r w:rsidRPr="00691C10">
        <w:rPr>
          <w:i/>
          <w:iCs/>
          <w:lang w:val="en-US"/>
        </w:rPr>
        <w:t>perCC-ListGapIndication</w:t>
      </w:r>
      <w:proofErr w:type="spellEnd"/>
      <w:r w:rsidRPr="00691C10">
        <w:rPr>
          <w:i/>
          <w:iCs/>
          <w:lang w:val="en-US"/>
        </w:rPr>
        <w:t xml:space="preserve"> </w:t>
      </w:r>
      <w:r w:rsidRPr="00691C10">
        <w:rPr>
          <w:lang w:val="en-US"/>
        </w:rPr>
        <w:t xml:space="preserve">IE, and if the </w:t>
      </w:r>
      <w:proofErr w:type="spellStart"/>
      <w:r w:rsidRPr="00691C10">
        <w:rPr>
          <w:lang w:val="en-US"/>
        </w:rPr>
        <w:t>gapOffset</w:t>
      </w:r>
      <w:proofErr w:type="spellEnd"/>
      <w:r w:rsidRPr="00691C10">
        <w:rPr>
          <w:lang w:val="en-US"/>
        </w:rPr>
        <w:t xml:space="preserve">, MGRP and MGL are the same for each serving component carrier. </w:t>
      </w:r>
      <w:r w:rsidRPr="00691C10">
        <w:t>During the measurement gaps the UE:</w:t>
      </w:r>
    </w:p>
    <w:p w14:paraId="11304699" w14:textId="77777777" w:rsidR="00927BEF" w:rsidRPr="00691C10" w:rsidRDefault="00927BEF" w:rsidP="00927BEF">
      <w:r w:rsidRPr="00691C10">
        <w:t>During the measurement gaps the UE:</w:t>
      </w:r>
    </w:p>
    <w:p w14:paraId="04111BE0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  <w:t>shall not transmit any data</w:t>
      </w:r>
    </w:p>
    <w:p w14:paraId="1F670E02" w14:textId="77777777" w:rsidR="00927BEF" w:rsidRPr="00691C10" w:rsidRDefault="00927BEF" w:rsidP="00927BEF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 and any </w:t>
      </w:r>
      <w:proofErr w:type="spellStart"/>
      <w:r w:rsidRPr="00691C10">
        <w:t>SCell</w:t>
      </w:r>
      <w:proofErr w:type="spellEnd"/>
      <w:r w:rsidRPr="00691C10">
        <w:t>.</w:t>
      </w:r>
    </w:p>
    <w:p w14:paraId="4F912DF4" w14:textId="77777777" w:rsidR="00927BEF" w:rsidRPr="00691C10" w:rsidRDefault="00927BEF" w:rsidP="00927BEF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, </w:t>
      </w:r>
      <w:proofErr w:type="spellStart"/>
      <w:r w:rsidRPr="00691C10">
        <w:rPr>
          <w:rFonts w:hint="eastAsia"/>
        </w:rPr>
        <w:t>P</w:t>
      </w:r>
      <w:r w:rsidRPr="00691C10">
        <w:t>SCell</w:t>
      </w:r>
      <w:proofErr w:type="spellEnd"/>
      <w:r w:rsidRPr="00691C10">
        <w:t xml:space="preserve">, and </w:t>
      </w:r>
      <w:proofErr w:type="spellStart"/>
      <w:r w:rsidRPr="00691C10">
        <w:t>SCell</w:t>
      </w:r>
      <w:proofErr w:type="spellEnd"/>
      <w:r w:rsidRPr="00691C10">
        <w:t>.</w:t>
      </w:r>
    </w:p>
    <w:p w14:paraId="0F9CD192" w14:textId="77777777" w:rsidR="00927BEF" w:rsidRPr="00691C10" w:rsidRDefault="00927BEF" w:rsidP="00927BEF">
      <w:r w:rsidRPr="00691C10">
        <w:rPr>
          <w:rFonts w:hint="eastAsia"/>
        </w:rPr>
        <w:t xml:space="preserve">If the UE </w:t>
      </w:r>
      <w:r w:rsidRPr="00691C10">
        <w:t xml:space="preserve">supporting dual connectivity </w:t>
      </w:r>
      <w:r w:rsidRPr="00691C10">
        <w:rPr>
          <w:rFonts w:hint="eastAsia"/>
        </w:rPr>
        <w:t xml:space="preserve">is configured </w:t>
      </w:r>
      <w:r w:rsidRPr="00691C10">
        <w:t>with</w:t>
      </w:r>
      <w:r w:rsidRPr="00691C10">
        <w:rPr>
          <w:rFonts w:hint="eastAsia"/>
        </w:rPr>
        <w:t xml:space="preserve"> </w:t>
      </w:r>
      <w:proofErr w:type="spellStart"/>
      <w:r w:rsidRPr="00691C10">
        <w:rPr>
          <w:rFonts w:hint="eastAsia"/>
        </w:rPr>
        <w:t>PSCell</w:t>
      </w:r>
      <w:proofErr w:type="spellEnd"/>
      <w:r w:rsidRPr="00691C10">
        <w:rPr>
          <w:rFonts w:hint="eastAsia"/>
        </w:rPr>
        <w:t xml:space="preserve">, during the total interruption time </w:t>
      </w:r>
      <w:r w:rsidRPr="00691C10">
        <w:t>as shown in Figure 8.1.2.1-1</w:t>
      </w:r>
      <w:r w:rsidRPr="00691C10">
        <w:rPr>
          <w:rFonts w:hint="eastAsia"/>
        </w:rPr>
        <w:t xml:space="preserve">, the UE </w:t>
      </w:r>
      <w:r w:rsidRPr="00691C10">
        <w:t xml:space="preserve">shall not transmit </w:t>
      </w:r>
      <w:r w:rsidRPr="00691C10">
        <w:rPr>
          <w:rFonts w:hint="eastAsia"/>
        </w:rPr>
        <w:t xml:space="preserve">and receive </w:t>
      </w:r>
      <w:r w:rsidRPr="00691C10">
        <w:t>any data</w:t>
      </w:r>
      <w:r w:rsidRPr="00691C10">
        <w:rPr>
          <w:rFonts w:hint="eastAsia"/>
        </w:rPr>
        <w:t xml:space="preserve"> in SCG.</w:t>
      </w:r>
    </w:p>
    <w:p w14:paraId="0E207F0C" w14:textId="77777777" w:rsidR="00927BEF" w:rsidRPr="00691C10" w:rsidRDefault="00927BEF" w:rsidP="00927BEF">
      <w:r w:rsidRPr="00691C10">
        <w:t>In addition, for UE supporting E-UTRA-NR dual connectivity, if MG timing advance of 0.5ms is applied, the UE:</w:t>
      </w:r>
    </w:p>
    <w:p w14:paraId="0FB69AE5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  <w:t>shall not transmit any data</w:t>
      </w:r>
    </w:p>
    <w:p w14:paraId="6B610B1F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 and any </w:t>
      </w:r>
      <w:proofErr w:type="spellStart"/>
      <w:r w:rsidRPr="00691C10">
        <w:t>SCell</w:t>
      </w:r>
      <w:proofErr w:type="spellEnd"/>
      <w:r w:rsidRPr="00691C10">
        <w:t>.</w:t>
      </w:r>
    </w:p>
    <w:p w14:paraId="04F48C7E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</w:t>
      </w:r>
      <w:proofErr w:type="spellStart"/>
      <w:r w:rsidRPr="00691C10">
        <w:t>PCell</w:t>
      </w:r>
      <w:proofErr w:type="spellEnd"/>
      <w:r w:rsidRPr="00691C10">
        <w:t xml:space="preserve">, </w:t>
      </w:r>
      <w:proofErr w:type="spellStart"/>
      <w:r w:rsidRPr="00691C10">
        <w:rPr>
          <w:rFonts w:hint="eastAsia"/>
        </w:rPr>
        <w:t>P</w:t>
      </w:r>
      <w:r w:rsidRPr="00691C10">
        <w:t>SCell</w:t>
      </w:r>
      <w:proofErr w:type="spellEnd"/>
      <w:r w:rsidRPr="00691C10">
        <w:t xml:space="preserve">, and </w:t>
      </w:r>
      <w:proofErr w:type="spellStart"/>
      <w:r w:rsidRPr="00691C10">
        <w:t>SCell</w:t>
      </w:r>
      <w:proofErr w:type="spellEnd"/>
      <w:r w:rsidRPr="00691C10">
        <w:t>.</w:t>
      </w:r>
    </w:p>
    <w:p w14:paraId="34BE645D" w14:textId="77777777" w:rsidR="00927BEF" w:rsidRPr="00691C10" w:rsidRDefault="00927BEF" w:rsidP="00927BEF">
      <w:r w:rsidRPr="00691C10">
        <w:t>in subframes fully or partially overlapping with the measurement gaps on E-UTRAN serving cells. The total interruption time on E-UTRAN serving cells is (MGL+1) subframes.</w:t>
      </w:r>
    </w:p>
    <w:p w14:paraId="071D0C2B" w14:textId="77777777" w:rsidR="00927BEF" w:rsidRPr="00691C10" w:rsidRDefault="00927BEF" w:rsidP="00927BEF">
      <w:r w:rsidRPr="00691C10">
        <w:rPr>
          <w:rFonts w:eastAsia="SimSun"/>
        </w:rPr>
        <w:t>When</w:t>
      </w:r>
      <w:r w:rsidRPr="00691C1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691C10">
        <w:t>MG timing advance of 0.5 </w:t>
      </w:r>
      <w:proofErr w:type="spellStart"/>
      <w:r w:rsidRPr="00691C10">
        <w:t>ms</w:t>
      </w:r>
      <w:proofErr w:type="spellEnd"/>
      <w:r w:rsidRPr="00691C10">
        <w:t xml:space="preserve"> </w:t>
      </w:r>
      <w:r w:rsidRPr="00691C10">
        <w:rPr>
          <w:rFonts w:eastAsia="SimSun"/>
        </w:rPr>
        <w:t>is not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 the measurement gap,</w:t>
      </w:r>
    </w:p>
    <w:p w14:paraId="006892EF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  <w:t>if the following conditions are met then it is up to UE implementation whether or not the UE can transmit data:</w:t>
      </w:r>
    </w:p>
    <w:p w14:paraId="46D98EF9" w14:textId="77777777" w:rsidR="00927BEF" w:rsidRPr="00691C10" w:rsidRDefault="00927BEF" w:rsidP="00927BEF">
      <w:pPr>
        <w:pStyle w:val="B2"/>
      </w:pPr>
      <w:r w:rsidRPr="00691C10">
        <w:t>-</w:t>
      </w:r>
      <w:r w:rsidRPr="00691C10">
        <w:tab/>
        <w:t xml:space="preserve">all </w:t>
      </w:r>
      <w:r w:rsidRPr="00691C10">
        <w:rPr>
          <w:rFonts w:hint="eastAsia"/>
        </w:rPr>
        <w:t xml:space="preserve">the </w:t>
      </w:r>
      <w:r w:rsidRPr="00691C10">
        <w:t xml:space="preserve">serving cells belong to E-UTRAN </w:t>
      </w:r>
      <w:proofErr w:type="gramStart"/>
      <w:r w:rsidRPr="00691C10">
        <w:t>TDD;</w:t>
      </w:r>
      <w:proofErr w:type="gramEnd"/>
    </w:p>
    <w:p w14:paraId="234ED07C" w14:textId="77777777" w:rsidR="00927BEF" w:rsidRPr="00691C10" w:rsidRDefault="00927BEF" w:rsidP="00927BEF">
      <w:pPr>
        <w:pStyle w:val="B2"/>
      </w:pPr>
      <w:r w:rsidRPr="00691C10">
        <w:t>-</w:t>
      </w:r>
      <w:r w:rsidRPr="00691C10">
        <w:tab/>
        <w:t xml:space="preserve">the measurement objects do not include any NR carrier </w:t>
      </w:r>
      <w:proofErr w:type="gramStart"/>
      <w:r w:rsidRPr="00691C10">
        <w:t>frequency;</w:t>
      </w:r>
      <w:proofErr w:type="gramEnd"/>
    </w:p>
    <w:p w14:paraId="21A0E7BC" w14:textId="77777777" w:rsidR="00927BEF" w:rsidRPr="00691C10" w:rsidRDefault="00927BEF" w:rsidP="00927BEF">
      <w:pPr>
        <w:pStyle w:val="B2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if the </w:t>
      </w:r>
      <w:r w:rsidRPr="00691C10">
        <w:t>subframe occurring immediately before the measurement gap is an uplink subframe.</w:t>
      </w:r>
    </w:p>
    <w:p w14:paraId="34E6E419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</w:r>
      <w:proofErr w:type="gramStart"/>
      <w:r w:rsidRPr="00691C10">
        <w:t>Otherwise</w:t>
      </w:r>
      <w:proofErr w:type="gramEnd"/>
      <w:r w:rsidRPr="00691C10">
        <w:t xml:space="preserve"> the UE shall not transmit any data. </w:t>
      </w:r>
    </w:p>
    <w:p w14:paraId="18C973E4" w14:textId="77777777" w:rsidR="00927BEF" w:rsidRPr="00691C10" w:rsidRDefault="00927BEF" w:rsidP="00927BEF">
      <w:r w:rsidRPr="00691C10">
        <w:rPr>
          <w:rFonts w:eastAsia="SimSun"/>
        </w:rPr>
        <w:t xml:space="preserve">When </w:t>
      </w:r>
      <w:r w:rsidRPr="00691C10">
        <w:t>MG timing advance of 0.5 </w:t>
      </w:r>
      <w:proofErr w:type="spellStart"/>
      <w:r w:rsidRPr="00691C10">
        <w:t>ms</w:t>
      </w:r>
      <w:proofErr w:type="spellEnd"/>
      <w:r w:rsidRPr="00691C10">
        <w:t xml:space="preserve"> </w:t>
      </w:r>
      <w:r w:rsidRPr="00691C10">
        <w:rPr>
          <w:rFonts w:eastAsia="SimSun"/>
        </w:rPr>
        <w:t>is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gap</w:t>
      </w:r>
      <w:r w:rsidRPr="00691C10">
        <w:rPr>
          <w:rFonts w:hint="eastAsia"/>
        </w:rPr>
        <w:t>,</w:t>
      </w:r>
    </w:p>
    <w:p w14:paraId="036FBF62" w14:textId="77777777" w:rsidR="00927BEF" w:rsidRPr="00691C10" w:rsidRDefault="00927BEF" w:rsidP="00927BEF">
      <w:pPr>
        <w:pStyle w:val="B1"/>
      </w:pPr>
      <w:r w:rsidRPr="00691C10">
        <w:t>-</w:t>
      </w:r>
      <w:r w:rsidRPr="00691C10">
        <w:tab/>
        <w:t>it is up to UE implementation whether or not the UE can transmit data</w:t>
      </w:r>
    </w:p>
    <w:p w14:paraId="710DC600" w14:textId="77777777" w:rsidR="00927BEF" w:rsidRPr="00691C10" w:rsidRDefault="00927BEF" w:rsidP="00927BEF">
      <w:r w:rsidRPr="00691C10">
        <w:t xml:space="preserve">In determining the above UE behaviour in the uplink subframe occurring immediately after the measurement gap or </w:t>
      </w:r>
      <w:r w:rsidRPr="00691C10">
        <w:rPr>
          <w:rFonts w:hint="eastAsia"/>
        </w:rPr>
        <w:t>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</w:t>
      </w:r>
      <w:proofErr w:type="spellStart"/>
      <w:proofErr w:type="gramStart"/>
      <w:r w:rsidRPr="00691C10">
        <w:rPr>
          <w:rFonts w:eastAsia="SimSun"/>
        </w:rPr>
        <w:t>gap,</w:t>
      </w:r>
      <w:r w:rsidRPr="00691C10">
        <w:t>the</w:t>
      </w:r>
      <w:proofErr w:type="spellEnd"/>
      <w:proofErr w:type="gramEnd"/>
      <w:r w:rsidRPr="00691C10">
        <w:t xml:space="preserve"> UE shall treat a special subframe as an uplink subframe if the special subframe occurs immediately before the measurement gap.</w:t>
      </w:r>
    </w:p>
    <w:p w14:paraId="3871DF11" w14:textId="77777777" w:rsidR="00927BEF" w:rsidRPr="00691C10" w:rsidRDefault="00927BEF" w:rsidP="00927BEF">
      <w:r w:rsidRPr="00691C10">
        <w:t>Inter-frequency and inter-RAT measurement requirements within this clause rely on the UE being configured with one measurement gap pattern unless</w:t>
      </w:r>
      <w:r w:rsidRPr="00691C10">
        <w:rPr>
          <w:rFonts w:cs="v4.2.0"/>
        </w:rPr>
        <w:t xml:space="preserve"> the UE has </w:t>
      </w:r>
      <w:proofErr w:type="spellStart"/>
      <w:r w:rsidRPr="00691C10">
        <w:rPr>
          <w:rFonts w:cs="v4.2.0"/>
        </w:rPr>
        <w:t>signaled</w:t>
      </w:r>
      <w:proofErr w:type="spellEnd"/>
      <w:r w:rsidRPr="00691C10">
        <w:rPr>
          <w:rFonts w:cs="v4.2.0"/>
        </w:rPr>
        <w:t xml:space="preserve"> that it is capable according to the capability </w:t>
      </w:r>
      <w:proofErr w:type="spellStart"/>
      <w:r w:rsidRPr="00691C10">
        <w:rPr>
          <w:rFonts w:cs="v4.2.0"/>
        </w:rPr>
        <w:t>interFreqNeedForGaps</w:t>
      </w:r>
      <w:proofErr w:type="spellEnd"/>
      <w:del w:id="3" w:author="Author">
        <w:r w:rsidRPr="00691C10" w:rsidDel="00AA0683">
          <w:rPr>
            <w:rFonts w:cs="v4.2.0"/>
          </w:rPr>
          <w:delText xml:space="preserve"> </w:delText>
        </w:r>
        <w:r w:rsidRPr="00691C10" w:rsidDel="00AA0683">
          <w:rPr>
            <w:rFonts w:cs="v4.2.0"/>
          </w:rPr>
          <w:lastRenderedPageBreak/>
          <w:delText>or</w:delText>
        </w:r>
      </w:del>
      <w:ins w:id="4" w:author="Author">
        <w:r>
          <w:rPr>
            <w:rFonts w:cs="v4.2.0"/>
          </w:rPr>
          <w:t>,</w:t>
        </w:r>
      </w:ins>
      <w:r w:rsidRPr="00691C10">
        <w:rPr>
          <w:rFonts w:cs="v4.2.0"/>
        </w:rPr>
        <w:t xml:space="preserve"> inter</w:t>
      </w:r>
      <w:ins w:id="5" w:author="Author">
        <w:r>
          <w:rPr>
            <w:rFonts w:cs="v4.2.0"/>
          </w:rPr>
          <w:t>-</w:t>
        </w:r>
      </w:ins>
      <w:proofErr w:type="spellStart"/>
      <w:r w:rsidRPr="00691C10">
        <w:rPr>
          <w:rFonts w:cs="v4.2.0"/>
        </w:rPr>
        <w:t>RATNeedForGaps</w:t>
      </w:r>
      <w:proofErr w:type="spellEnd"/>
      <w:r w:rsidRPr="00691C10">
        <w:rPr>
          <w:rFonts w:cs="v4.2.0"/>
        </w:rPr>
        <w:t xml:space="preserve"> </w:t>
      </w:r>
      <w:ins w:id="6" w:author="Author">
        <w:r>
          <w:rPr>
            <w:rFonts w:cs="v4.2.0"/>
          </w:rPr>
          <w:t xml:space="preserve">or </w:t>
        </w:r>
        <w:r>
          <w:t>interRAT-NeedForGapsNR-r16</w:t>
        </w:r>
        <w:r w:rsidRPr="00691C10">
          <w:rPr>
            <w:rFonts w:cs="v4.2.0"/>
          </w:rPr>
          <w:t xml:space="preserve"> </w:t>
        </w:r>
      </w:ins>
      <w:r w:rsidRPr="00691C10">
        <w:rPr>
          <w:rFonts w:cs="v4.2.0"/>
        </w:rPr>
        <w:t>of conducting such measurements without gaps and without interruption</w:t>
      </w:r>
      <w:ins w:id="7" w:author="Author">
        <w:r>
          <w:rPr>
            <w:rFonts w:cs="v4.2.0"/>
          </w:rPr>
          <w:t>s</w:t>
        </w:r>
      </w:ins>
      <w:r w:rsidRPr="00691C10">
        <w:t xml:space="preserve">. UEs shall only support those measurement gap patterns listed in Table 8.1.2.1-1 and table 8.1.2.1.-2 that are relevant to its measurement capabilities. </w:t>
      </w:r>
      <w:r w:rsidRPr="00691C10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691C10">
        <w:rPr>
          <w:snapToGrid w:val="0"/>
        </w:rPr>
        <w:t>8.1.2.1.3-1</w:t>
      </w:r>
      <w:r w:rsidRPr="00691C10">
        <w:rPr>
          <w:iCs/>
          <w:lang w:val="en-US"/>
        </w:rPr>
        <w:t xml:space="preserve"> on all component carrier(s) to perform inter-frequency and inter-RAT measurement.</w:t>
      </w:r>
    </w:p>
    <w:p w14:paraId="03876CC4" w14:textId="77777777" w:rsidR="00927BEF" w:rsidRPr="00691C10" w:rsidRDefault="00927BEF" w:rsidP="00927BEF">
      <w:proofErr w:type="spellStart"/>
      <w:r w:rsidRPr="00691C10">
        <w:t>ProSe</w:t>
      </w:r>
      <w:proofErr w:type="spellEnd"/>
      <w:r w:rsidRPr="00691C10">
        <w:t xml:space="preserve"> capable UE is allowed to perform </w:t>
      </w:r>
      <w:proofErr w:type="spellStart"/>
      <w:r w:rsidRPr="00691C10">
        <w:t>ProSe</w:t>
      </w:r>
      <w:proofErr w:type="spellEnd"/>
      <w:r w:rsidRPr="00691C10">
        <w:t xml:space="preserve"> transmissions during the measurement gaps that are not used for measurements if the requirements specified in section 8 for inter-frequency and inter-RAT measurements are fulfilled.</w:t>
      </w:r>
    </w:p>
    <w:p w14:paraId="7D6449A8" w14:textId="77777777" w:rsidR="00927BEF" w:rsidRPr="00691C10" w:rsidRDefault="00927BEF" w:rsidP="00927BEF">
      <w:r w:rsidRPr="00691C10">
        <w:t>In E-UTRA-NR dual connectivity mode, NR - E-</w:t>
      </w:r>
      <w:proofErr w:type="spellStart"/>
      <w:r w:rsidRPr="00691C10">
        <w:t>UTRAdual</w:t>
      </w:r>
      <w:proofErr w:type="spellEnd"/>
      <w:r w:rsidRPr="00691C10">
        <w:t xml:space="preserve"> connectivity mode and E-UTRA standalone mode, all gap patterns #0~11 in Table 8.1.2.1-1 can be </w:t>
      </w:r>
      <w:proofErr w:type="gramStart"/>
      <w:r w:rsidRPr="00691C10">
        <w:t>configured  for</w:t>
      </w:r>
      <w:proofErr w:type="gramEnd"/>
      <w:r w:rsidRPr="00691C10">
        <w:t xml:space="preserve"> measurements of NR carriers only, and gap pattern#0, 1, 2, 3, 4, 6, 7, 8, 10 can be configured for measurements of E-UTRA carriers with the applicability as specified in Table 8.1.2.1-1.</w:t>
      </w:r>
    </w:p>
    <w:p w14:paraId="0B6AA38D" w14:textId="77777777" w:rsidR="00927BEF" w:rsidRDefault="00927BEF" w:rsidP="00927BEF"/>
    <w:p w14:paraId="151112E5" w14:textId="77777777" w:rsidR="00927BEF" w:rsidRPr="00935E6D" w:rsidRDefault="00927BEF" w:rsidP="00927BEF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594"/>
    <w:rsid w:val="00145D43"/>
    <w:rsid w:val="00192C46"/>
    <w:rsid w:val="001A08B3"/>
    <w:rsid w:val="001A2CA0"/>
    <w:rsid w:val="001A7B60"/>
    <w:rsid w:val="001B52F0"/>
    <w:rsid w:val="001B7A65"/>
    <w:rsid w:val="001E41F3"/>
    <w:rsid w:val="002242B1"/>
    <w:rsid w:val="0026004D"/>
    <w:rsid w:val="002640DD"/>
    <w:rsid w:val="00275D12"/>
    <w:rsid w:val="0028490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2B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BEF"/>
    <w:rsid w:val="00941E30"/>
    <w:rsid w:val="009777D9"/>
    <w:rsid w:val="00991B88"/>
    <w:rsid w:val="00994B8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55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7B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27BEF"/>
    <w:rPr>
      <w:rFonts w:ascii="Arial" w:hAnsi="Arial"/>
      <w:sz w:val="32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92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RBI5PAMIO524-1616901215-10428</_dlc_DocId>
    <HideFromDelve xmlns="71c5aaf6-e6ce-465b-b873-5148d2a4c105">false</HideFromDelve>
    <_dlc_DocIdUrl xmlns="71c5aaf6-e6ce-465b-b873-5148d2a4c105">
      <Url>https://nokia.sharepoint.com/sites/gxp/_layouts/15/DocIdRedir.aspx?ID=RBI5PAMIO524-1616901215-10428</Url>
      <Description>RBI5PAMIO524-1616901215-10428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FF0DF7-F138-4DF6-8A52-1E5B9EC21F6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3185D8-9D76-4F9F-B1AD-86B406C4CE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00658-2BD7-4EC5-BF78-C489EEAB37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C6A375-B84A-447A-B535-BF1741F500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4316255-3A85-4674-B541-41F8720F4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1033</Words>
  <Characters>6714</Characters>
  <Application>Microsoft Office Word</Application>
  <DocSecurity>0</DocSecurity>
  <Lines>55</Lines>
  <Paragraphs>15</Paragraphs>
  <ScaleCrop>false</ScaleCrop>
  <Company/>
  <LinksUpToDate>false</LinksUpToDate>
  <CharactersWithSpaces>7732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2024-02-19T17:55:00Z</dcterms:created>
  <dcterms:modified xsi:type="dcterms:W3CDTF">2024-02-19T18:04:00Z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(NR_RRM_enh) CR to 36.133 Clarification of interruption behavior for measurements without gaps r17</vt:lpwstr>
  </property>
  <property fmtid="{D5CDD505-2E9C-101B-9397-08002B2CF9AE}" pid="3" name="Version">
    <vt:lpwstr>17.12.0</vt:lpwstr>
  </property>
  <property fmtid="{D5CDD505-2E9C-101B-9397-08002B2CF9AE}" pid="4" name="MtgTitle">
    <vt:lpwstr/>
  </property>
  <property fmtid="{D5CDD505-2E9C-101B-9397-08002B2CF9AE}" pid="5" name="Cr#">
    <vt:lpwstr>7309</vt:lpwstr>
  </property>
  <property fmtid="{D5CDD505-2E9C-101B-9397-08002B2CF9AE}" pid="6" name="ContentTypeId">
    <vt:lpwstr>0x01010055A05E76B664164F9F76E63E6D6BE6ED</vt:lpwstr>
  </property>
  <property fmtid="{D5CDD505-2E9C-101B-9397-08002B2CF9AE}" pid="7" name="SourceIfTsg">
    <vt:lpwstr/>
  </property>
  <property fmtid="{D5CDD505-2E9C-101B-9397-08002B2CF9AE}" pid="8" name="_dlc_DocIdItemGuid">
    <vt:lpwstr>3aa9c067-d29a-4cdb-a8b2-e1ecac7504c1</vt:lpwstr>
  </property>
  <property fmtid="{D5CDD505-2E9C-101B-9397-08002B2CF9AE}" pid="9" name="EndDate">
    <vt:lpwstr>1st Mar 2024</vt:lpwstr>
  </property>
  <property fmtid="{D5CDD505-2E9C-101B-9397-08002B2CF9AE}" pid="10" name="Country">
    <vt:lpwstr>Greece</vt:lpwstr>
  </property>
  <property fmtid="{D5CDD505-2E9C-101B-9397-08002B2CF9AE}" pid="11" name="Revision">
    <vt:lpwstr>-</vt:lpwstr>
  </property>
  <property fmtid="{D5CDD505-2E9C-101B-9397-08002B2CF9AE}" pid="12" name="SourceIfWg">
    <vt:lpwstr>Nokia, Nokia Shanghai Bell, BT Plc., Charter Communications Inc., Deutsche Telekom, Vodafone, TELECOM ITALIA S.p.A.</vt:lpwstr>
  </property>
  <property fmtid="{D5CDD505-2E9C-101B-9397-08002B2CF9AE}" pid="13" name="MtgSeq">
    <vt:lpwstr>110</vt:lpwstr>
  </property>
  <property fmtid="{D5CDD505-2E9C-101B-9397-08002B2CF9AE}" pid="14" name="Tdoc#">
    <vt:lpwstr>R4-2402431</vt:lpwstr>
  </property>
  <property fmtid="{D5CDD505-2E9C-101B-9397-08002B2CF9AE}" pid="15" name="TSG/WGRef">
    <vt:lpwstr>RAN4</vt:lpwstr>
  </property>
  <property fmtid="{D5CDD505-2E9C-101B-9397-08002B2CF9AE}" pid="16" name="StartDate">
    <vt:lpwstr>26th Feb 2024</vt:lpwstr>
  </property>
  <property fmtid="{D5CDD505-2E9C-101B-9397-08002B2CF9AE}" pid="17" name="Spec#">
    <vt:lpwstr>36.133</vt:lpwstr>
  </property>
  <property fmtid="{D5CDD505-2E9C-101B-9397-08002B2CF9AE}" pid="18" name="Release">
    <vt:lpwstr>Rel-17</vt:lpwstr>
  </property>
  <property fmtid="{D5CDD505-2E9C-101B-9397-08002B2CF9AE}" pid="19" name="Location">
    <vt:lpwstr>Athens</vt:lpwstr>
  </property>
  <property fmtid="{D5CDD505-2E9C-101B-9397-08002B2CF9AE}" pid="20" name="ResDate">
    <vt:lpwstr>2024-02-19</vt:lpwstr>
  </property>
  <property fmtid="{D5CDD505-2E9C-101B-9397-08002B2CF9AE}" pid="21" name="RelatedWis">
    <vt:lpwstr>NR_RRM_enh-Core</vt:lpwstr>
  </property>
  <property fmtid="{D5CDD505-2E9C-101B-9397-08002B2CF9AE}" pid="22" name="Cat">
    <vt:lpwstr>F</vt:lpwstr>
  </property>
  <property fmtid="{D5CDD505-2E9C-101B-9397-08002B2CF9AE}" pid="23" name="MediaServiceImageTags">
    <vt:lpwstr/>
  </property>
</Properties>
</file>