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FE14" w14:textId="0966FE60"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3A082C">
        <w:rPr>
          <w:rFonts w:cs="Arial"/>
          <w:noProof w:val="0"/>
          <w:sz w:val="22"/>
          <w:szCs w:val="22"/>
        </w:rPr>
        <w:t>RAN</w:t>
      </w:r>
      <w:r w:rsidRPr="00DA53A0">
        <w:rPr>
          <w:rFonts w:cs="Arial"/>
          <w:bCs/>
          <w:sz w:val="22"/>
          <w:szCs w:val="22"/>
        </w:rPr>
        <w:t xml:space="preserve"> WG </w:t>
      </w:r>
      <w:bookmarkEnd w:id="0"/>
      <w:bookmarkEnd w:id="1"/>
      <w:bookmarkEnd w:id="2"/>
      <w:r w:rsidR="003A082C">
        <w:rPr>
          <w:rFonts w:cs="Arial"/>
          <w:bCs/>
          <w:sz w:val="22"/>
          <w:szCs w:val="22"/>
        </w:rPr>
        <w:t>4</w:t>
      </w:r>
      <w:r w:rsidRPr="00DA53A0">
        <w:rPr>
          <w:rFonts w:cs="Arial"/>
          <w:bCs/>
          <w:sz w:val="22"/>
          <w:szCs w:val="22"/>
        </w:rPr>
        <w:t xml:space="preserve"> Meeting </w:t>
      </w:r>
      <w:r w:rsidR="003A082C">
        <w:rPr>
          <w:rFonts w:cs="Arial"/>
          <w:noProof w:val="0"/>
          <w:sz w:val="22"/>
          <w:szCs w:val="22"/>
        </w:rPr>
        <w:t>#1</w:t>
      </w:r>
      <w:r w:rsidR="00046709">
        <w:rPr>
          <w:rFonts w:cs="Arial"/>
          <w:noProof w:val="0"/>
          <w:sz w:val="22"/>
          <w:szCs w:val="22"/>
        </w:rPr>
        <w:t>10</w:t>
      </w:r>
      <w:r w:rsidR="003A082C">
        <w:rPr>
          <w:rFonts w:cs="Arial"/>
          <w:noProof w:val="0"/>
          <w:sz w:val="22"/>
          <w:szCs w:val="22"/>
        </w:rPr>
        <w:tab/>
      </w:r>
      <w:r w:rsidR="003A082C">
        <w:rPr>
          <w:rFonts w:cs="Arial"/>
          <w:noProof w:val="0"/>
          <w:sz w:val="22"/>
          <w:szCs w:val="22"/>
        </w:rPr>
        <w:tab/>
      </w:r>
      <w:r w:rsidRPr="00DA53A0">
        <w:rPr>
          <w:rFonts w:cs="Arial"/>
          <w:bCs/>
          <w:sz w:val="22"/>
          <w:szCs w:val="22"/>
        </w:rPr>
        <w:t xml:space="preserve">TDoc </w:t>
      </w:r>
      <w:r w:rsidR="0032140D" w:rsidRPr="0032140D">
        <w:rPr>
          <w:rFonts w:cs="Arial"/>
          <w:noProof w:val="0"/>
          <w:sz w:val="22"/>
          <w:szCs w:val="22"/>
        </w:rPr>
        <w:t>R4-2402392</w:t>
      </w:r>
    </w:p>
    <w:p w14:paraId="3A4304A8" w14:textId="6A8A8D0D" w:rsidR="004E3939" w:rsidRPr="00DA53A0" w:rsidRDefault="00046709" w:rsidP="004E3939">
      <w:pPr>
        <w:pStyle w:val="Header"/>
        <w:rPr>
          <w:sz w:val="22"/>
          <w:szCs w:val="22"/>
        </w:rPr>
      </w:pPr>
      <w:r>
        <w:rPr>
          <w:sz w:val="22"/>
          <w:szCs w:val="22"/>
        </w:rPr>
        <w:t>Athens</w:t>
      </w:r>
      <w:r w:rsidR="004E3939" w:rsidRPr="00DA53A0">
        <w:rPr>
          <w:sz w:val="22"/>
          <w:szCs w:val="22"/>
        </w:rPr>
        <w:t xml:space="preserve">, </w:t>
      </w:r>
      <w:r>
        <w:rPr>
          <w:sz w:val="22"/>
          <w:szCs w:val="22"/>
        </w:rPr>
        <w:t>Greece</w:t>
      </w:r>
      <w:r w:rsidR="003A082C">
        <w:rPr>
          <w:sz w:val="22"/>
          <w:szCs w:val="22"/>
        </w:rPr>
        <w:t>,</w:t>
      </w:r>
      <w:r w:rsidR="004E3939" w:rsidRPr="00DA53A0">
        <w:rPr>
          <w:sz w:val="22"/>
          <w:szCs w:val="22"/>
        </w:rPr>
        <w:t xml:space="preserve"> </w:t>
      </w:r>
      <w:r w:rsidR="003A082C">
        <w:rPr>
          <w:sz w:val="22"/>
          <w:szCs w:val="22"/>
        </w:rPr>
        <w:t>2</w:t>
      </w:r>
      <w:r>
        <w:rPr>
          <w:sz w:val="22"/>
          <w:szCs w:val="22"/>
        </w:rPr>
        <w:t>6 February</w:t>
      </w:r>
      <w:r w:rsidR="003A082C">
        <w:rPr>
          <w:sz w:val="22"/>
          <w:szCs w:val="22"/>
        </w:rPr>
        <w:t xml:space="preserve"> – </w:t>
      </w:r>
      <w:r>
        <w:rPr>
          <w:sz w:val="22"/>
          <w:szCs w:val="22"/>
        </w:rPr>
        <w:t>1</w:t>
      </w:r>
      <w:r w:rsidR="003A082C">
        <w:rPr>
          <w:sz w:val="22"/>
          <w:szCs w:val="22"/>
        </w:rPr>
        <w:t xml:space="preserve"> </w:t>
      </w:r>
      <w:r>
        <w:rPr>
          <w:sz w:val="22"/>
          <w:szCs w:val="22"/>
        </w:rPr>
        <w:t>March</w:t>
      </w:r>
      <w:r w:rsidR="003A082C">
        <w:rPr>
          <w:sz w:val="22"/>
          <w:szCs w:val="22"/>
        </w:rPr>
        <w:t xml:space="preserve"> 202</w:t>
      </w:r>
      <w:r>
        <w:rPr>
          <w:sz w:val="22"/>
          <w:szCs w:val="22"/>
        </w:rPr>
        <w:t>4</w:t>
      </w:r>
    </w:p>
    <w:p w14:paraId="38168523" w14:textId="77777777" w:rsidR="00B97703" w:rsidRDefault="00B97703">
      <w:pPr>
        <w:rPr>
          <w:rFonts w:ascii="Arial" w:hAnsi="Arial" w:cs="Arial"/>
        </w:rPr>
      </w:pPr>
    </w:p>
    <w:p w14:paraId="52FE5CF7" w14:textId="6A3FE6F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F5E07">
        <w:rPr>
          <w:rFonts w:ascii="Arial" w:hAnsi="Arial" w:cs="Arial"/>
          <w:b/>
          <w:sz w:val="22"/>
          <w:szCs w:val="22"/>
        </w:rPr>
        <w:t xml:space="preserve">Reply </w:t>
      </w:r>
      <w:r w:rsidRPr="004E3939">
        <w:rPr>
          <w:rFonts w:ascii="Arial" w:hAnsi="Arial" w:cs="Arial"/>
          <w:b/>
          <w:sz w:val="22"/>
          <w:szCs w:val="22"/>
        </w:rPr>
        <w:t xml:space="preserve">LS on </w:t>
      </w:r>
      <w:r w:rsidR="00A04C6F">
        <w:rPr>
          <w:rFonts w:ascii="Arial" w:hAnsi="Arial" w:cs="Arial"/>
          <w:b/>
          <w:sz w:val="22"/>
          <w:szCs w:val="22"/>
        </w:rPr>
        <w:t>c</w:t>
      </w:r>
      <w:r w:rsidR="00A04C6F" w:rsidRPr="00A04C6F">
        <w:rPr>
          <w:rFonts w:ascii="Arial" w:hAnsi="Arial" w:cs="Arial"/>
          <w:b/>
          <w:sz w:val="22"/>
          <w:szCs w:val="22"/>
        </w:rPr>
        <w:t>o-existence for existing mobile networks with band n101</w:t>
      </w:r>
    </w:p>
    <w:p w14:paraId="034153FD" w14:textId="308D67C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p>
    <w:p w14:paraId="7C3FC5BB" w14:textId="2D42187B"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1C4CC6">
        <w:rPr>
          <w:rFonts w:ascii="Arial" w:hAnsi="Arial" w:cs="Arial"/>
          <w:b/>
          <w:bCs/>
          <w:sz w:val="22"/>
          <w:szCs w:val="22"/>
        </w:rPr>
        <w:t>1</w:t>
      </w:r>
      <w:r w:rsidR="00A04C6F">
        <w:rPr>
          <w:rFonts w:ascii="Arial" w:hAnsi="Arial" w:cs="Arial"/>
          <w:b/>
          <w:bCs/>
          <w:sz w:val="22"/>
          <w:szCs w:val="22"/>
        </w:rPr>
        <w:t>7</w:t>
      </w:r>
    </w:p>
    <w:bookmarkEnd w:id="5"/>
    <w:bookmarkEnd w:id="6"/>
    <w:bookmarkEnd w:id="7"/>
    <w:p w14:paraId="35919950" w14:textId="73CC43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04C6F" w:rsidRPr="00A04C6F">
        <w:rPr>
          <w:rFonts w:ascii="Arial" w:hAnsi="Arial" w:cs="Arial"/>
          <w:b/>
          <w:bCs/>
          <w:sz w:val="22"/>
          <w:szCs w:val="22"/>
        </w:rPr>
        <w:t>Introduction of 1900MHz NR band for Europe for Rail Mobile Radio (RMR)</w:t>
      </w:r>
      <w:r w:rsidRPr="00B97703">
        <w:rPr>
          <w:rFonts w:ascii="Arial" w:hAnsi="Arial" w:cs="Arial"/>
          <w:b/>
          <w:bCs/>
          <w:sz w:val="22"/>
          <w:szCs w:val="22"/>
        </w:rPr>
        <w:t xml:space="preserve"> </w:t>
      </w:r>
      <w:r w:rsidR="001C4CC6">
        <w:rPr>
          <w:rFonts w:ascii="Arial" w:hAnsi="Arial" w:cs="Arial"/>
          <w:b/>
          <w:bCs/>
          <w:sz w:val="22"/>
          <w:szCs w:val="22"/>
        </w:rPr>
        <w:t>(</w:t>
      </w:r>
      <w:r w:rsidR="00A04C6F" w:rsidRPr="00A04C6F">
        <w:rPr>
          <w:rFonts w:ascii="Arial" w:hAnsi="Arial" w:cs="Arial"/>
          <w:b/>
          <w:bCs/>
          <w:sz w:val="22"/>
          <w:szCs w:val="22"/>
        </w:rPr>
        <w:t>NR_RAIL_EU_1900MHz_TDD</w:t>
      </w:r>
      <w:r w:rsidR="001C4CC6">
        <w:rPr>
          <w:rFonts w:ascii="Arial" w:hAnsi="Arial" w:cs="Arial"/>
          <w:b/>
          <w:bCs/>
          <w:sz w:val="22"/>
          <w:szCs w:val="22"/>
        </w:rPr>
        <w:t>)</w:t>
      </w:r>
    </w:p>
    <w:p w14:paraId="2DB35EB7" w14:textId="77777777" w:rsidR="00B97703" w:rsidRPr="004E3939" w:rsidRDefault="00B97703">
      <w:pPr>
        <w:spacing w:after="60"/>
        <w:ind w:left="1985" w:hanging="1985"/>
        <w:rPr>
          <w:rFonts w:ascii="Arial" w:hAnsi="Arial" w:cs="Arial"/>
          <w:b/>
          <w:sz w:val="22"/>
          <w:szCs w:val="22"/>
        </w:rPr>
      </w:pPr>
    </w:p>
    <w:p w14:paraId="5545655A" w14:textId="3B9164E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16348" w:rsidRPr="00C16348">
        <w:rPr>
          <w:rFonts w:ascii="Arial" w:hAnsi="Arial" w:cs="Arial"/>
          <w:b/>
          <w:sz w:val="22"/>
          <w:szCs w:val="22"/>
        </w:rPr>
        <w:t>UIC (Union international Chemin de Fer)</w:t>
      </w:r>
    </w:p>
    <w:p w14:paraId="624E037D" w14:textId="5DB1309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A04C6F">
        <w:rPr>
          <w:rFonts w:ascii="Arial" w:hAnsi="Arial" w:cs="Arial"/>
          <w:b/>
          <w:bCs/>
          <w:sz w:val="22"/>
          <w:szCs w:val="22"/>
        </w:rPr>
        <w:t>RAN</w:t>
      </w:r>
    </w:p>
    <w:p w14:paraId="65E8AB6C" w14:textId="71A131C5"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2A054659" w14:textId="77777777" w:rsidR="00B97703" w:rsidRDefault="00B97703">
      <w:pPr>
        <w:spacing w:after="60"/>
        <w:ind w:left="1985" w:hanging="1985"/>
        <w:rPr>
          <w:rFonts w:ascii="Arial" w:hAnsi="Arial" w:cs="Arial"/>
          <w:bCs/>
        </w:rPr>
      </w:pPr>
    </w:p>
    <w:p w14:paraId="27687E54" w14:textId="0B4A902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76163">
        <w:rPr>
          <w:rFonts w:ascii="Arial" w:hAnsi="Arial" w:cs="Arial"/>
          <w:b/>
          <w:bCs/>
          <w:sz w:val="22"/>
          <w:szCs w:val="22"/>
        </w:rPr>
        <w:t>Dick Martens</w:t>
      </w:r>
    </w:p>
    <w:p w14:paraId="6EC3269E" w14:textId="13DB62B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76163">
        <w:rPr>
          <w:rFonts w:ascii="Arial" w:hAnsi="Arial" w:cs="Arial"/>
          <w:b/>
          <w:bCs/>
          <w:sz w:val="22"/>
          <w:szCs w:val="22"/>
        </w:rPr>
        <w:t>d.martens@strict.nl</w:t>
      </w:r>
    </w:p>
    <w:p w14:paraId="4FAD6DE3" w14:textId="2F17E8CF"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C2BA0CD" w14:textId="77777777" w:rsidR="001C2436"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reply </w:t>
      </w:r>
    </w:p>
    <w:p w14:paraId="4B5D8C49" w14:textId="397BC46F"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5EDB98CC" w14:textId="77777777" w:rsidR="00383545" w:rsidRDefault="00383545">
      <w:pPr>
        <w:spacing w:after="60"/>
        <w:ind w:left="1985" w:hanging="1985"/>
        <w:rPr>
          <w:rFonts w:ascii="Arial" w:hAnsi="Arial" w:cs="Arial"/>
          <w:b/>
        </w:rPr>
      </w:pPr>
    </w:p>
    <w:p w14:paraId="2981A081" w14:textId="62670E06"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276163">
        <w:rPr>
          <w:rFonts w:ascii="Arial" w:hAnsi="Arial" w:cs="Arial"/>
          <w:bCs/>
        </w:rPr>
        <w:t>-</w:t>
      </w:r>
    </w:p>
    <w:p w14:paraId="6CF738E5" w14:textId="77777777" w:rsidR="00B97703" w:rsidRDefault="00B97703">
      <w:pPr>
        <w:rPr>
          <w:rFonts w:ascii="Arial" w:hAnsi="Arial" w:cs="Arial"/>
        </w:rPr>
      </w:pPr>
    </w:p>
    <w:p w14:paraId="634EA6B2" w14:textId="77777777" w:rsidR="00B97703" w:rsidRDefault="000F6242" w:rsidP="00B97703">
      <w:pPr>
        <w:pStyle w:val="Heading1"/>
      </w:pPr>
      <w:r>
        <w:t>1</w:t>
      </w:r>
      <w:r w:rsidR="002F1940">
        <w:tab/>
      </w:r>
      <w:r>
        <w:t>Overall description</w:t>
      </w:r>
    </w:p>
    <w:p w14:paraId="68E1D857" w14:textId="0B176A5B" w:rsidR="00A04C6F" w:rsidRPr="00A04C6F" w:rsidRDefault="00E733C9" w:rsidP="00A04C6F">
      <w:pPr>
        <w:rPr>
          <w:rFonts w:ascii="Arial" w:hAnsi="Arial" w:cs="Arial"/>
        </w:rPr>
      </w:pPr>
      <w:r w:rsidRPr="002552B0">
        <w:rPr>
          <w:rFonts w:ascii="Arial" w:hAnsi="Arial" w:cs="Arial"/>
        </w:rPr>
        <w:t xml:space="preserve">RAN4 would like to </w:t>
      </w:r>
      <w:r w:rsidR="00A04C6F">
        <w:rPr>
          <w:rFonts w:ascii="Arial" w:hAnsi="Arial" w:cs="Arial"/>
        </w:rPr>
        <w:t xml:space="preserve">report to RAN on the task assigned to RAN4 </w:t>
      </w:r>
      <w:r w:rsidR="00AA3E38">
        <w:rPr>
          <w:rFonts w:ascii="Arial" w:hAnsi="Arial" w:cs="Arial"/>
        </w:rPr>
        <w:t>o</w:t>
      </w:r>
      <w:r w:rsidR="00A04C6F">
        <w:rPr>
          <w:rFonts w:ascii="Arial" w:hAnsi="Arial" w:cs="Arial"/>
        </w:rPr>
        <w:t xml:space="preserve">n the way forward in </w:t>
      </w:r>
      <w:r w:rsidR="00A04C6F" w:rsidRPr="00A04C6F">
        <w:rPr>
          <w:rFonts w:ascii="Arial" w:hAnsi="Arial" w:cs="Arial"/>
        </w:rPr>
        <w:t>RP-234008, in which it is stated that:</w:t>
      </w:r>
    </w:p>
    <w:p w14:paraId="3B357C57" w14:textId="77777777" w:rsidR="00A04C6F" w:rsidRPr="00A04C6F" w:rsidRDefault="00A04C6F" w:rsidP="00A04C6F">
      <w:pPr>
        <w:ind w:left="720"/>
        <w:rPr>
          <w:rFonts w:ascii="Arial" w:hAnsi="Arial" w:cs="Arial"/>
          <w:i/>
          <w:iCs/>
        </w:rPr>
      </w:pPr>
      <w:r w:rsidRPr="00A04C6F">
        <w:rPr>
          <w:rFonts w:ascii="Arial" w:hAnsi="Arial" w:cs="Arial"/>
          <w:i/>
          <w:iCs/>
        </w:rPr>
        <w:t>•</w:t>
      </w:r>
      <w:r w:rsidRPr="00A04C6F">
        <w:rPr>
          <w:rFonts w:ascii="Arial" w:hAnsi="Arial" w:cs="Arial"/>
          <w:i/>
          <w:iCs/>
        </w:rPr>
        <w:tab/>
        <w:t>RAN tasks RAN4 to investigate what possibilities exist in the RAN4 specifications for n101 to avoid causing interference on already established networks, which corresponds to the objectives of WID NR_RAIL_EU_1900MHz_TDD, and report to RAN#103.</w:t>
      </w:r>
    </w:p>
    <w:p w14:paraId="4B7CC110" w14:textId="181A6AC7" w:rsidR="00E733C9" w:rsidRPr="00A04C6F" w:rsidRDefault="00A04C6F" w:rsidP="00A04C6F">
      <w:pPr>
        <w:ind w:left="1440"/>
        <w:rPr>
          <w:rFonts w:ascii="Arial" w:hAnsi="Arial" w:cs="Arial"/>
          <w:i/>
          <w:iCs/>
        </w:rPr>
      </w:pPr>
      <w:r w:rsidRPr="00A04C6F">
        <w:rPr>
          <w:rFonts w:ascii="Arial" w:hAnsi="Arial" w:cs="Arial"/>
          <w:i/>
          <w:iCs/>
        </w:rPr>
        <w:t>o</w:t>
      </w:r>
      <w:r w:rsidRPr="00A04C6F">
        <w:rPr>
          <w:rFonts w:ascii="Arial" w:hAnsi="Arial" w:cs="Arial"/>
          <w:i/>
          <w:iCs/>
        </w:rPr>
        <w:tab/>
        <w:t>Taking the applicable regulations of CEPT countries into account.</w:t>
      </w:r>
    </w:p>
    <w:p w14:paraId="1524B6F0" w14:textId="602A478E" w:rsidR="006F3031" w:rsidRPr="006C7242" w:rsidRDefault="00A04C6F" w:rsidP="000F6242">
      <w:pPr>
        <w:rPr>
          <w:rFonts w:ascii="Arial" w:hAnsi="Arial" w:cs="Arial"/>
        </w:rPr>
      </w:pPr>
      <w:r w:rsidRPr="006C7242">
        <w:rPr>
          <w:rFonts w:ascii="Arial" w:hAnsi="Arial" w:cs="Arial"/>
        </w:rPr>
        <w:t xml:space="preserve">RAN4 has studied </w:t>
      </w:r>
      <w:r w:rsidR="007C59D2" w:rsidRPr="006C7242">
        <w:rPr>
          <w:rFonts w:ascii="Arial" w:hAnsi="Arial" w:cs="Arial"/>
        </w:rPr>
        <w:t>the</w:t>
      </w:r>
      <w:r w:rsidRPr="006C7242">
        <w:rPr>
          <w:rFonts w:ascii="Arial" w:hAnsi="Arial" w:cs="Arial"/>
        </w:rPr>
        <w:t xml:space="preserve"> co-existence for existing mobile networks with band n101 and </w:t>
      </w:r>
      <w:r w:rsidR="007C59D2" w:rsidRPr="006C7242">
        <w:rPr>
          <w:rFonts w:ascii="Arial" w:hAnsi="Arial" w:cs="Arial"/>
        </w:rPr>
        <w:t xml:space="preserve">has </w:t>
      </w:r>
      <w:r w:rsidRPr="006C7242">
        <w:rPr>
          <w:rFonts w:ascii="Arial" w:hAnsi="Arial" w:cs="Arial"/>
        </w:rPr>
        <w:t xml:space="preserve">drawn some observations </w:t>
      </w:r>
      <w:r w:rsidR="00CF09B8" w:rsidRPr="006C7242">
        <w:rPr>
          <w:rFonts w:ascii="Arial" w:hAnsi="Arial" w:cs="Arial"/>
        </w:rPr>
        <w:t xml:space="preserve">from the studies </w:t>
      </w:r>
      <w:r w:rsidR="006C7242" w:rsidRPr="006C7242">
        <w:rPr>
          <w:rFonts w:ascii="Arial" w:hAnsi="Arial" w:cs="Arial"/>
        </w:rPr>
        <w:t xml:space="preserve">and the applicable regulations of CEPT countries </w:t>
      </w:r>
      <w:r w:rsidRPr="006C7242">
        <w:rPr>
          <w:rFonts w:ascii="Arial" w:hAnsi="Arial" w:cs="Arial"/>
        </w:rPr>
        <w:t>which are summarised as follows</w:t>
      </w:r>
      <w:r w:rsidR="00E733C9" w:rsidRPr="006C7242">
        <w:rPr>
          <w:rFonts w:ascii="Arial" w:hAnsi="Arial" w:cs="Arial"/>
        </w:rPr>
        <w:t>.</w:t>
      </w:r>
    </w:p>
    <w:p w14:paraId="7E3ACE83" w14:textId="77777777" w:rsidR="00FB7F04" w:rsidRPr="00045463" w:rsidRDefault="00FB7F04" w:rsidP="00FB7F04">
      <w:pPr>
        <w:rPr>
          <w:rFonts w:ascii="Calibri" w:hAnsi="Calibri" w:cs="Calibri"/>
        </w:rPr>
      </w:pPr>
      <w:r w:rsidRPr="00045463">
        <w:rPr>
          <w:rFonts w:ascii="Calibri" w:hAnsi="Calibri" w:cs="Calibri"/>
          <w:b/>
          <w:bCs/>
        </w:rPr>
        <w:t xml:space="preserve">Observation 1: </w:t>
      </w:r>
      <w:r w:rsidRPr="0046027E">
        <w:rPr>
          <w:rFonts w:ascii="Calibri" w:hAnsi="Calibri" w:cs="Calibri"/>
          <w:b/>
          <w:bCs/>
        </w:rPr>
        <w:t>The technical conditions specified in ECC Decision (20)02 [5],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w:t>
      </w:r>
      <w:r w:rsidRPr="008C181F">
        <w:rPr>
          <w:rFonts w:ascii="Calibri" w:hAnsi="Calibri" w:cs="Calibri"/>
        </w:rPr>
        <w:t>.</w:t>
      </w:r>
    </w:p>
    <w:p w14:paraId="31117BFD" w14:textId="77777777" w:rsidR="00FB7F04" w:rsidRPr="00711A22" w:rsidRDefault="00FB7F04" w:rsidP="00FB7F04">
      <w:pPr>
        <w:rPr>
          <w:rFonts w:ascii="Calibri" w:hAnsi="Calibri" w:cs="Calibri"/>
          <w:b/>
          <w:bCs/>
        </w:rPr>
      </w:pPr>
      <w:r w:rsidRPr="0046027E">
        <w:rPr>
          <w:rFonts w:ascii="Calibri" w:hAnsi="Calibri" w:cs="Calibri"/>
          <w:b/>
          <w:bCs/>
        </w:rPr>
        <w:t>Observation 2: The technical conditions specified in ECC Decision (20)02 [5], i.e. the BS rated output power using corresponding assumptions to convert from the EIRP limits, the resulting emission values of the transmitter and the specifications of the receiver have been transferred to the 3GPP specifications.</w:t>
      </w:r>
    </w:p>
    <w:p w14:paraId="06CE7141" w14:textId="77777777" w:rsidR="00FB7F04" w:rsidRPr="003D304D" w:rsidRDefault="00FB7F04" w:rsidP="00FB7F04">
      <w:pPr>
        <w:rPr>
          <w:rFonts w:ascii="Calibri" w:hAnsi="Calibri" w:cs="Calibri"/>
        </w:rPr>
      </w:pPr>
      <w:r w:rsidRPr="0046027E">
        <w:rPr>
          <w:rFonts w:ascii="Calibri" w:hAnsi="Calibri" w:cs="Calibri"/>
          <w:b/>
          <w:bCs/>
        </w:rPr>
        <w:t xml:space="preserve">Observation </w:t>
      </w:r>
      <w:r>
        <w:rPr>
          <w:rFonts w:ascii="Calibri" w:hAnsi="Calibri" w:cs="Calibri"/>
          <w:b/>
          <w:bCs/>
        </w:rPr>
        <w:t>3</w:t>
      </w:r>
      <w:r w:rsidRPr="0046027E">
        <w:rPr>
          <w:rFonts w:ascii="Calibri" w:hAnsi="Calibri" w:cs="Calibri"/>
          <w:b/>
          <w:bCs/>
        </w:rPr>
        <w:t xml:space="preserve">: </w:t>
      </w:r>
      <w:r>
        <w:rPr>
          <w:rFonts w:ascii="Calibri" w:hAnsi="Calibri" w:cs="Calibri"/>
          <w:b/>
          <w:bCs/>
        </w:rPr>
        <w:t xml:space="preserve">In </w:t>
      </w:r>
      <w:r w:rsidRPr="008E4CDA">
        <w:rPr>
          <w:rFonts w:ascii="Calibri" w:hAnsi="Calibri" w:cs="Calibri"/>
          <w:b/>
          <w:bCs/>
        </w:rPr>
        <w:t>the Commission Implementing Decision (EU) 2021/1730</w:t>
      </w:r>
      <w:r>
        <w:rPr>
          <w:rFonts w:ascii="Calibri" w:hAnsi="Calibri" w:cs="Calibri"/>
          <w:b/>
          <w:bCs/>
        </w:rPr>
        <w:t xml:space="preserve">, </w:t>
      </w:r>
      <w:r w:rsidRPr="008E4CDA">
        <w:rPr>
          <w:rFonts w:ascii="Calibri" w:hAnsi="Calibri" w:cs="Calibri"/>
          <w:b/>
          <w:bCs/>
        </w:rPr>
        <w:t xml:space="preserve">ECC Decision(20)02, CEPT Report 76 as well as ECC Report 318 </w:t>
      </w:r>
      <w:r w:rsidRPr="001B69DC">
        <w:rPr>
          <w:rFonts w:ascii="Calibri" w:hAnsi="Calibri" w:cs="Calibri"/>
          <w:b/>
          <w:bCs/>
        </w:rPr>
        <w:t xml:space="preserve">[7] it is clearly stated that the regulation has assumed </w:t>
      </w:r>
      <w:r w:rsidRPr="002D75F7">
        <w:rPr>
          <w:rFonts w:ascii="Calibri" w:hAnsi="Calibri" w:cs="Calibri"/>
          <w:b/>
          <w:bCs/>
        </w:rPr>
        <w:t>that the harmonised technical conditions for RMR (FRMCS) base stations operating in the 1900-1910MHz band assume that base stations providing electronic communications services, which use frequencies above 1920MHz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38DB8402" w14:textId="77777777" w:rsidR="00FB7F04" w:rsidRDefault="00FB7F04" w:rsidP="00FB7F04">
      <w:pPr>
        <w:rPr>
          <w:rFonts w:ascii="Calibri" w:hAnsi="Calibri" w:cs="Calibri"/>
          <w:b/>
          <w:bCs/>
        </w:rPr>
      </w:pPr>
      <w:r w:rsidRPr="0046027E">
        <w:rPr>
          <w:rFonts w:ascii="Calibri" w:hAnsi="Calibri" w:cs="Calibri"/>
          <w:b/>
          <w:bCs/>
        </w:rPr>
        <w:lastRenderedPageBreak/>
        <w:t xml:space="preserve">Observation </w:t>
      </w:r>
      <w:r>
        <w:rPr>
          <w:rFonts w:ascii="Calibri" w:hAnsi="Calibri" w:cs="Calibri"/>
          <w:b/>
          <w:bCs/>
        </w:rPr>
        <w:t>4</w:t>
      </w:r>
      <w:r w:rsidRPr="0046027E">
        <w:rPr>
          <w:rFonts w:ascii="Calibri" w:hAnsi="Calibri" w:cs="Calibri"/>
          <w:b/>
          <w:bCs/>
        </w:rPr>
        <w:t>:</w:t>
      </w:r>
      <w:r>
        <w:rPr>
          <w:rFonts w:ascii="Calibri" w:hAnsi="Calibri" w:cs="Calibri"/>
          <w:b/>
          <w:bCs/>
        </w:rPr>
        <w:t xml:space="preserve"> The ECC in Report 318 has considered that a</w:t>
      </w:r>
      <w:r w:rsidRPr="004A77D8">
        <w:rPr>
          <w:rFonts w:ascii="Calibri" w:hAnsi="Calibri" w:cs="Calibri"/>
          <w:b/>
          <w:bCs/>
        </w:rPr>
        <w:t>dditional mitigation techniques need to be implemented on a case-by-case basis, such as adjustments of antenna directivity, azimuth, tilt, or improve the selectivity of the MFCN BS in the vicinity of the railway tracks</w:t>
      </w:r>
      <w:r>
        <w:rPr>
          <w:rFonts w:ascii="Calibri" w:hAnsi="Calibri" w:cs="Calibri"/>
          <w:b/>
          <w:bCs/>
        </w:rPr>
        <w:t>. Such site engineering solutions have been considered by RAN 4 for TDD and FDD coexistence scenarios as described in TR 25.942 [11] section 8.4.</w:t>
      </w:r>
    </w:p>
    <w:p w14:paraId="58641FCF" w14:textId="77777777" w:rsidR="00FB7F04" w:rsidRPr="00045463" w:rsidRDefault="00FB7F04" w:rsidP="00FB7F04">
      <w:pPr>
        <w:rPr>
          <w:rFonts w:ascii="Calibri" w:hAnsi="Calibri" w:cs="Calibri"/>
          <w:b/>
          <w:bCs/>
        </w:rPr>
      </w:pPr>
      <w:r w:rsidRPr="00BB2F22">
        <w:rPr>
          <w:rFonts w:ascii="Calibri" w:hAnsi="Calibri" w:cs="Calibri"/>
          <w:b/>
          <w:bCs/>
        </w:rPr>
        <w:t>Observation 5: From CEPT report 76, ECC DEC(20</w:t>
      </w:r>
      <w:r>
        <w:rPr>
          <w:rFonts w:ascii="Calibri" w:hAnsi="Calibri" w:cs="Calibri"/>
          <w:b/>
          <w:bCs/>
        </w:rPr>
        <w:t>)</w:t>
      </w:r>
      <w:r w:rsidRPr="00BB2F22">
        <w:rPr>
          <w:rFonts w:ascii="Calibri" w:hAnsi="Calibri" w:cs="Calibri"/>
          <w:b/>
          <w:bCs/>
        </w:rPr>
        <w:t>02 and EC</w:t>
      </w:r>
      <w:r>
        <w:rPr>
          <w:rFonts w:ascii="Calibri" w:hAnsi="Calibri" w:cs="Calibri"/>
          <w:b/>
          <w:bCs/>
        </w:rPr>
        <w:t>C</w:t>
      </w:r>
      <w:r w:rsidRPr="00BB2F22">
        <w:rPr>
          <w:rFonts w:ascii="Calibri" w:hAnsi="Calibri" w:cs="Calibri"/>
          <w:b/>
          <w:bCs/>
        </w:rPr>
        <w:t xml:space="preserve"> Report 318 it is clear that Operators of mobile networks in 1920-1980 MHz should have, sufficiently far in advance, information on the rollout of a new RMR BS in 1900-1910 MHz.</w:t>
      </w:r>
      <w:r w:rsidRPr="00045463">
        <w:rPr>
          <w:rFonts w:ascii="Calibri" w:hAnsi="Calibri" w:cs="Calibri"/>
          <w:b/>
          <w:bCs/>
        </w:rPr>
        <w:t xml:space="preserve"> </w:t>
      </w:r>
    </w:p>
    <w:p w14:paraId="1425354C" w14:textId="77777777" w:rsidR="00FB7F04" w:rsidRDefault="00FB7F04" w:rsidP="00FB7F04">
      <w:pPr>
        <w:rPr>
          <w:rFonts w:ascii="Calibri" w:hAnsi="Calibri" w:cs="Calibri"/>
          <w:b/>
          <w:bCs/>
        </w:rPr>
      </w:pPr>
      <w:r w:rsidRPr="00BB2F22">
        <w:rPr>
          <w:rFonts w:ascii="Calibri" w:hAnsi="Calibri" w:cs="Calibri"/>
          <w:b/>
          <w:bCs/>
        </w:rPr>
        <w:t xml:space="preserve">Observation </w:t>
      </w:r>
      <w:r>
        <w:rPr>
          <w:rFonts w:ascii="Calibri" w:hAnsi="Calibri" w:cs="Calibri"/>
          <w:b/>
          <w:bCs/>
        </w:rPr>
        <w:t>6</w:t>
      </w:r>
      <w:r w:rsidRPr="00BB2F22">
        <w:rPr>
          <w:rFonts w:ascii="Calibri" w:hAnsi="Calibri" w:cs="Calibri"/>
          <w:b/>
          <w:bCs/>
        </w:rPr>
        <w:t xml:space="preserve">: </w:t>
      </w:r>
      <w:r>
        <w:rPr>
          <w:rFonts w:ascii="Calibri" w:hAnsi="Calibri" w:cs="Calibri"/>
          <w:b/>
          <w:bCs/>
        </w:rPr>
        <w:t>In response to the EC/CEPT regulation for the 1900-1910MHz band ETSI has specified e</w:t>
      </w:r>
      <w:r w:rsidRPr="00042B13">
        <w:rPr>
          <w:rFonts w:ascii="Calibri" w:hAnsi="Calibri" w:cs="Calibri"/>
          <w:b/>
          <w:bCs/>
        </w:rPr>
        <w:t xml:space="preserve">nhanced </w:t>
      </w:r>
      <w:r>
        <w:rPr>
          <w:rFonts w:ascii="Calibri" w:hAnsi="Calibri" w:cs="Calibri"/>
          <w:b/>
          <w:bCs/>
        </w:rPr>
        <w:t>s</w:t>
      </w:r>
      <w:r w:rsidRPr="00042B13">
        <w:rPr>
          <w:rFonts w:ascii="Calibri" w:hAnsi="Calibri" w:cs="Calibri"/>
          <w:b/>
          <w:bCs/>
        </w:rPr>
        <w:t xml:space="preserve">electivity </w:t>
      </w:r>
      <w:r>
        <w:rPr>
          <w:rFonts w:ascii="Calibri" w:hAnsi="Calibri" w:cs="Calibri"/>
          <w:b/>
          <w:bCs/>
        </w:rPr>
        <w:t xml:space="preserve">requirements </w:t>
      </w:r>
      <w:r w:rsidRPr="00042B13">
        <w:rPr>
          <w:rFonts w:ascii="Calibri" w:hAnsi="Calibri" w:cs="Calibri"/>
          <w:b/>
          <w:bCs/>
        </w:rPr>
        <w:t>for protection of Band 1 BSs</w:t>
      </w:r>
      <w:r>
        <w:rPr>
          <w:rFonts w:ascii="Calibri" w:hAnsi="Calibri" w:cs="Calibri"/>
          <w:b/>
          <w:bCs/>
        </w:rPr>
        <w:t>.</w:t>
      </w:r>
    </w:p>
    <w:p w14:paraId="727A6A11" w14:textId="77777777" w:rsidR="00FB7F04" w:rsidRPr="00E33567" w:rsidRDefault="00FB7F04" w:rsidP="00FB7F04">
      <w:pPr>
        <w:rPr>
          <w:rFonts w:ascii="Calibri" w:hAnsi="Calibri" w:cs="Calibri"/>
        </w:rPr>
      </w:pPr>
      <w:r w:rsidRPr="000C789E">
        <w:rPr>
          <w:rFonts w:ascii="Calibri" w:hAnsi="Calibri" w:cs="Calibri"/>
          <w:b/>
          <w:bCs/>
        </w:rPr>
        <w:t xml:space="preserve">Observation </w:t>
      </w:r>
      <w:r>
        <w:rPr>
          <w:rFonts w:ascii="Calibri" w:hAnsi="Calibri" w:cs="Calibri"/>
          <w:b/>
          <w:bCs/>
        </w:rPr>
        <w:t>7</w:t>
      </w:r>
      <w:r w:rsidRPr="000C789E">
        <w:rPr>
          <w:rFonts w:ascii="Calibri" w:hAnsi="Calibri" w:cs="Calibri"/>
          <w:b/>
          <w:bCs/>
        </w:rPr>
        <w:t>:</w:t>
      </w:r>
      <w:r>
        <w:rPr>
          <w:rFonts w:ascii="Calibri" w:hAnsi="Calibri" w:cs="Calibri"/>
          <w:b/>
          <w:bCs/>
        </w:rPr>
        <w:t xml:space="preserve"> The number of MFCN sectors that may be interfered by n101 BS will be less than around 7% of the MFCN sectors that are near railways due to the </w:t>
      </w:r>
      <w:r w:rsidRPr="003100C3">
        <w:rPr>
          <w:rFonts w:ascii="Calibri" w:hAnsi="Calibri" w:cs="Calibri"/>
          <w:b/>
          <w:bCs/>
        </w:rPr>
        <w:t xml:space="preserve">coupling loss expected to be higher than calculated, e.g. due to </w:t>
      </w:r>
      <w:r>
        <w:rPr>
          <w:rFonts w:ascii="Calibri" w:hAnsi="Calibri" w:cs="Calibri"/>
          <w:b/>
          <w:bCs/>
        </w:rPr>
        <w:t xml:space="preserve">the effects of terrain, clutter, </w:t>
      </w:r>
      <w:r w:rsidRPr="003100C3">
        <w:rPr>
          <w:rFonts w:ascii="Calibri" w:hAnsi="Calibri" w:cs="Calibri"/>
          <w:b/>
          <w:bCs/>
        </w:rPr>
        <w:t>ground occupancy In urban areas</w:t>
      </w:r>
      <w:r>
        <w:rPr>
          <w:rFonts w:ascii="Calibri" w:hAnsi="Calibri" w:cs="Calibri"/>
          <w:b/>
          <w:bCs/>
        </w:rPr>
        <w:t>, the temporal nature due to train speed and the uplink orientation of the FRMCS TDD frame</w:t>
      </w:r>
      <w:r w:rsidRPr="00450550">
        <w:rPr>
          <w:rFonts w:ascii="Calibri" w:hAnsi="Calibri" w:cs="Calibri"/>
          <w:b/>
          <w:bCs/>
        </w:rPr>
        <w:t>. As the number of urban MFCN BS is over-represented in the above percentage the actual number of interfered MFCN BS will be lower.</w:t>
      </w:r>
    </w:p>
    <w:p w14:paraId="5D43F6A0" w14:textId="77777777" w:rsidR="00FB7F04" w:rsidRPr="00045463" w:rsidRDefault="00FB7F04" w:rsidP="00FB7F04">
      <w:pPr>
        <w:rPr>
          <w:rFonts w:ascii="Calibri" w:hAnsi="Calibri" w:cs="Calibri"/>
          <w:b/>
          <w:bCs/>
        </w:rPr>
      </w:pPr>
      <w:r w:rsidRPr="000C789E">
        <w:rPr>
          <w:rFonts w:ascii="Calibri" w:hAnsi="Calibri" w:cs="Calibri"/>
          <w:b/>
          <w:bCs/>
        </w:rPr>
        <w:t xml:space="preserve">Observation </w:t>
      </w:r>
      <w:r>
        <w:rPr>
          <w:rFonts w:ascii="Calibri" w:hAnsi="Calibri" w:cs="Calibri"/>
          <w:b/>
          <w:bCs/>
        </w:rPr>
        <w:t>8</w:t>
      </w:r>
      <w:r w:rsidRPr="000C789E">
        <w:rPr>
          <w:rFonts w:ascii="Calibri" w:hAnsi="Calibri" w:cs="Calibri"/>
          <w:b/>
          <w:bCs/>
        </w:rPr>
        <w:t xml:space="preserve">: From ECC Report 318 it is clear that ECC has performed Monte Carlo studies that show that the interference from FRMCS cab-radio of 31 dBm output power to MFCN uplink is acceptable when uplink power-control is implemented and activated. </w:t>
      </w:r>
    </w:p>
    <w:p w14:paraId="13593A0F" w14:textId="77777777" w:rsidR="00FB7F04" w:rsidRPr="00773559" w:rsidRDefault="00FB7F04" w:rsidP="00FB7F04">
      <w:pPr>
        <w:rPr>
          <w:rFonts w:ascii="Calibri" w:hAnsi="Calibri" w:cs="Calibri"/>
          <w:b/>
          <w:bCs/>
        </w:rPr>
      </w:pPr>
      <w:r w:rsidRPr="000C789E">
        <w:rPr>
          <w:rFonts w:ascii="Calibri" w:hAnsi="Calibri" w:cs="Calibri"/>
          <w:b/>
          <w:bCs/>
        </w:rPr>
        <w:t xml:space="preserve">Observation </w:t>
      </w:r>
      <w:r>
        <w:rPr>
          <w:rFonts w:ascii="Calibri" w:hAnsi="Calibri" w:cs="Calibri"/>
          <w:b/>
          <w:bCs/>
        </w:rPr>
        <w:t>9</w:t>
      </w:r>
      <w:r w:rsidRPr="000C789E">
        <w:rPr>
          <w:rFonts w:ascii="Calibri" w:hAnsi="Calibri" w:cs="Calibri"/>
          <w:b/>
          <w:bCs/>
        </w:rPr>
        <w:t>: from both the Commission Implementing Decision (EU) 2021/1730 and the ECC Decision(20)02 it is clear that Uplink power control is mandatory and shall be activated</w:t>
      </w:r>
      <w:r>
        <w:rPr>
          <w:rFonts w:ascii="Calibri" w:hAnsi="Calibri" w:cs="Calibri"/>
          <w:b/>
          <w:bCs/>
        </w:rPr>
        <w:t>.</w:t>
      </w:r>
    </w:p>
    <w:p w14:paraId="6115146F" w14:textId="77777777" w:rsidR="00FB7F04" w:rsidRPr="00D67FC9" w:rsidRDefault="00FB7F04" w:rsidP="00FB7F04">
      <w:pPr>
        <w:rPr>
          <w:rFonts w:ascii="Calibri" w:hAnsi="Calibri" w:cs="Calibri"/>
          <w:b/>
          <w:bCs/>
          <w:i/>
          <w:iCs/>
        </w:rPr>
      </w:pPr>
      <w:r w:rsidRPr="000C789E">
        <w:rPr>
          <w:rFonts w:ascii="Calibri" w:hAnsi="Calibri" w:cs="Calibri"/>
          <w:b/>
          <w:bCs/>
        </w:rPr>
        <w:t xml:space="preserve">Observation </w:t>
      </w:r>
      <w:r>
        <w:rPr>
          <w:rFonts w:ascii="Calibri" w:hAnsi="Calibri" w:cs="Calibri"/>
          <w:b/>
          <w:bCs/>
        </w:rPr>
        <w:t>10</w:t>
      </w:r>
      <w:r w:rsidRPr="000C789E">
        <w:rPr>
          <w:rFonts w:ascii="Calibri" w:hAnsi="Calibri" w:cs="Calibri"/>
          <w:b/>
          <w:bCs/>
        </w:rPr>
        <w:t xml:space="preserve">: </w:t>
      </w:r>
      <w:r>
        <w:rPr>
          <w:rFonts w:ascii="Calibri" w:hAnsi="Calibri" w:cs="Calibri"/>
          <w:b/>
          <w:bCs/>
        </w:rPr>
        <w:t xml:space="preserve">The </w:t>
      </w:r>
      <w:r w:rsidRPr="000C789E">
        <w:rPr>
          <w:rFonts w:ascii="Calibri" w:hAnsi="Calibri" w:cs="Calibri"/>
          <w:b/>
          <w:bCs/>
        </w:rPr>
        <w:t>Commission Implementing Decision (EU) 2021/1730</w:t>
      </w:r>
      <w:r>
        <w:rPr>
          <w:rFonts w:ascii="Calibri" w:hAnsi="Calibri" w:cs="Calibri"/>
          <w:b/>
          <w:bCs/>
        </w:rPr>
        <w:t xml:space="preserve">, </w:t>
      </w:r>
      <w:r w:rsidRPr="000C789E">
        <w:rPr>
          <w:rFonts w:ascii="Calibri" w:hAnsi="Calibri" w:cs="Calibri"/>
          <w:b/>
          <w:bCs/>
        </w:rPr>
        <w:t>the ECC Decision(20)02</w:t>
      </w:r>
      <w:r>
        <w:rPr>
          <w:rFonts w:ascii="Calibri" w:hAnsi="Calibri" w:cs="Calibri"/>
          <w:b/>
          <w:bCs/>
        </w:rPr>
        <w:t xml:space="preserve">, The ECC Report 318 and the CEPT report 76 all have been subject to their regular consultation </w:t>
      </w:r>
      <w:r w:rsidRPr="0038600D">
        <w:rPr>
          <w:rFonts w:ascii="Calibri" w:hAnsi="Calibri" w:cs="Calibri"/>
          <w:b/>
          <w:bCs/>
        </w:rPr>
        <w:t>phases. These have not amended the assumption that base stations providing electronic communications services, which use frequencies above 1 920MHz for reception under Commission Implementing Decision (EU) 2020/667(4), have enhanced selectivity compared to the current Harmonised European Standards. Base stations providing electronic communications services, which are located in the vicinity of a RMR base station and do not meet the enhanced selectivity criterion, should, where necessary, be adapted, in order to mitigate harmful interference.</w:t>
      </w:r>
    </w:p>
    <w:p w14:paraId="77207F23" w14:textId="77777777" w:rsidR="000D44DE" w:rsidRDefault="000D44DE" w:rsidP="000D44DE">
      <w:pPr>
        <w:rPr>
          <w:rFonts w:ascii="Calibri" w:hAnsi="Calibri" w:cs="Calibri"/>
        </w:rPr>
      </w:pPr>
    </w:p>
    <w:p w14:paraId="34BA4E96" w14:textId="77777777" w:rsidR="000D44DE" w:rsidRDefault="000D44DE" w:rsidP="000D44DE">
      <w:pPr>
        <w:rPr>
          <w:rFonts w:ascii="Calibri" w:hAnsi="Calibri" w:cs="Calibri"/>
        </w:rPr>
      </w:pPr>
      <w:r>
        <w:rPr>
          <w:rFonts w:ascii="Calibri" w:hAnsi="Calibri" w:cs="Calibri"/>
        </w:rPr>
        <w:t>From the above observations the following conclusions are drawn:</w:t>
      </w:r>
    </w:p>
    <w:p w14:paraId="6A65A77B" w14:textId="77777777" w:rsidR="000D44DE" w:rsidRPr="002D09B9" w:rsidRDefault="000D44DE" w:rsidP="000D44DE">
      <w:pPr>
        <w:numPr>
          <w:ilvl w:val="0"/>
          <w:numId w:val="5"/>
        </w:numPr>
        <w:spacing w:after="0"/>
        <w:rPr>
          <w:rFonts w:ascii="Calibri" w:hAnsi="Calibri" w:cs="Calibri"/>
        </w:rPr>
      </w:pPr>
      <w:r w:rsidRPr="002D09B9">
        <w:rPr>
          <w:rFonts w:ascii="Calibri" w:hAnsi="Calibri" w:cs="Calibri"/>
        </w:rPr>
        <w:t xml:space="preserve">That </w:t>
      </w:r>
      <w:r>
        <w:rPr>
          <w:rFonts w:ascii="Calibri" w:hAnsi="Calibri" w:cs="Calibri"/>
        </w:rPr>
        <w:t>the harmonised technical</w:t>
      </w:r>
      <w:r w:rsidRPr="00DF66AE">
        <w:rPr>
          <w:rFonts w:ascii="Calibri" w:hAnsi="Calibri" w:cs="Calibri"/>
        </w:rPr>
        <w:t xml:space="preserve"> conditions</w:t>
      </w:r>
      <w:r w:rsidRPr="002D09B9">
        <w:rPr>
          <w:rFonts w:ascii="Calibri" w:hAnsi="Calibri" w:cs="Calibri"/>
        </w:rPr>
        <w:t xml:space="preserve"> </w:t>
      </w:r>
      <w:r>
        <w:rPr>
          <w:rFonts w:ascii="Calibri" w:hAnsi="Calibri" w:cs="Calibri"/>
        </w:rPr>
        <w:t>of</w:t>
      </w:r>
      <w:r w:rsidRPr="002D09B9">
        <w:rPr>
          <w:rFonts w:ascii="Calibri" w:hAnsi="Calibri" w:cs="Calibri"/>
        </w:rPr>
        <w:t xml:space="preserve"> the European regulation</w:t>
      </w:r>
      <w:r>
        <w:rPr>
          <w:rFonts w:ascii="Calibri" w:hAnsi="Calibri" w:cs="Calibri"/>
        </w:rPr>
        <w:t xml:space="preserve"> for the 1900-1910MHz band</w:t>
      </w:r>
      <w:r w:rsidRPr="002D09B9">
        <w:rPr>
          <w:rFonts w:ascii="Calibri" w:hAnsi="Calibri" w:cs="Calibri"/>
        </w:rPr>
        <w:t xml:space="preserve"> have been transferred to the 3GPP specifications;</w:t>
      </w:r>
    </w:p>
    <w:p w14:paraId="58D71577" w14:textId="77777777" w:rsidR="000D44DE" w:rsidRPr="002D09B9" w:rsidRDefault="000D44DE" w:rsidP="000D44DE">
      <w:pPr>
        <w:numPr>
          <w:ilvl w:val="0"/>
          <w:numId w:val="5"/>
        </w:numPr>
        <w:spacing w:after="0"/>
        <w:rPr>
          <w:rFonts w:ascii="Calibri" w:hAnsi="Calibri" w:cs="Calibri"/>
        </w:rPr>
      </w:pPr>
      <w:r w:rsidRPr="002D09B9">
        <w:rPr>
          <w:rFonts w:ascii="Calibri" w:hAnsi="Calibri" w:cs="Calibri"/>
        </w:rPr>
        <w:t xml:space="preserve">That </w:t>
      </w:r>
      <w:r>
        <w:rPr>
          <w:rFonts w:ascii="Calibri" w:hAnsi="Calibri" w:cs="Calibri"/>
        </w:rPr>
        <w:t>b</w:t>
      </w:r>
      <w:r w:rsidRPr="007A44C8">
        <w:rPr>
          <w:rFonts w:ascii="Calibri" w:hAnsi="Calibri" w:cs="Calibri"/>
        </w:rPr>
        <w:t>ase stations providing electronic communications services, which are located in the vicinity of a RMR base station and do not meet the enhanced selectivity criterion, should, where necessary, be adapted, in order to mitigate harmful interference</w:t>
      </w:r>
      <w:r>
        <w:rPr>
          <w:rFonts w:ascii="Calibri" w:hAnsi="Calibri" w:cs="Calibri"/>
        </w:rPr>
        <w:t>;</w:t>
      </w:r>
    </w:p>
    <w:p w14:paraId="4E5F52C4" w14:textId="77777777" w:rsidR="000D44DE" w:rsidRPr="002D09B9" w:rsidRDefault="000D44DE" w:rsidP="000D44DE">
      <w:pPr>
        <w:numPr>
          <w:ilvl w:val="0"/>
          <w:numId w:val="5"/>
        </w:numPr>
        <w:spacing w:after="0"/>
        <w:rPr>
          <w:rFonts w:ascii="Calibri" w:hAnsi="Calibri" w:cs="Calibri"/>
        </w:rPr>
      </w:pPr>
      <w:r w:rsidRPr="002D09B9">
        <w:rPr>
          <w:rFonts w:ascii="Calibri" w:hAnsi="Calibri" w:cs="Calibri"/>
        </w:rPr>
        <w:t xml:space="preserve">That </w:t>
      </w:r>
      <w:r w:rsidRPr="00AA4045">
        <w:rPr>
          <w:rFonts w:ascii="Calibri" w:hAnsi="Calibri" w:cs="Calibri"/>
        </w:rPr>
        <w:t>additional mitigation techniques need to be implemented on a case-by-case basi</w:t>
      </w:r>
      <w:r>
        <w:rPr>
          <w:rFonts w:ascii="Calibri" w:hAnsi="Calibri" w:cs="Calibri"/>
        </w:rPr>
        <w:t xml:space="preserve">s, and such </w:t>
      </w:r>
      <w:r w:rsidRPr="007E31E8">
        <w:rPr>
          <w:rFonts w:ascii="Calibri" w:hAnsi="Calibri" w:cs="Calibri"/>
        </w:rPr>
        <w:t>site engineering solutions have been considered by RAN 4</w:t>
      </w:r>
      <w:r>
        <w:rPr>
          <w:rFonts w:ascii="Calibri" w:hAnsi="Calibri" w:cs="Calibri"/>
        </w:rPr>
        <w:t>;</w:t>
      </w:r>
    </w:p>
    <w:p w14:paraId="39F70F8E" w14:textId="546465CA" w:rsidR="000D44DE" w:rsidRPr="002D09B9" w:rsidRDefault="000D44DE" w:rsidP="000D44DE">
      <w:pPr>
        <w:numPr>
          <w:ilvl w:val="0"/>
          <w:numId w:val="5"/>
        </w:numPr>
        <w:spacing w:after="0"/>
        <w:rPr>
          <w:rFonts w:ascii="Calibri" w:hAnsi="Calibri" w:cs="Calibri"/>
        </w:rPr>
      </w:pPr>
      <w:r>
        <w:rPr>
          <w:rFonts w:ascii="Calibri" w:hAnsi="Calibri" w:cs="Calibri"/>
        </w:rPr>
        <w:t>T</w:t>
      </w:r>
      <w:r w:rsidRPr="00AA4045">
        <w:rPr>
          <w:rFonts w:ascii="Calibri" w:hAnsi="Calibri" w:cs="Calibri"/>
        </w:rPr>
        <w:t xml:space="preserve">hat </w:t>
      </w:r>
      <w:r w:rsidR="00542D47">
        <w:rPr>
          <w:rFonts w:ascii="Calibri" w:hAnsi="Calibri" w:cs="Calibri"/>
        </w:rPr>
        <w:t>o</w:t>
      </w:r>
      <w:r w:rsidRPr="00AA4045">
        <w:rPr>
          <w:rFonts w:ascii="Calibri" w:hAnsi="Calibri" w:cs="Calibri"/>
        </w:rPr>
        <w:t>perators of mobile networks in 1920-1980 MHz should have, sufficiently far in advance, information on the rollout of a new RMR BS in 1900-1910 MHz</w:t>
      </w:r>
      <w:r>
        <w:rPr>
          <w:rFonts w:ascii="Calibri" w:hAnsi="Calibri" w:cs="Calibri"/>
        </w:rPr>
        <w:t>;</w:t>
      </w:r>
    </w:p>
    <w:p w14:paraId="561C9912" w14:textId="77777777" w:rsidR="000D44DE" w:rsidRPr="002D09B9" w:rsidRDefault="000D44DE" w:rsidP="000D44DE">
      <w:pPr>
        <w:numPr>
          <w:ilvl w:val="0"/>
          <w:numId w:val="5"/>
        </w:numPr>
        <w:spacing w:after="0"/>
        <w:rPr>
          <w:rFonts w:ascii="Calibri" w:hAnsi="Calibri" w:cs="Calibri"/>
        </w:rPr>
      </w:pPr>
      <w:r w:rsidRPr="00751557">
        <w:rPr>
          <w:rFonts w:ascii="Calibri" w:hAnsi="Calibri" w:cs="Calibri"/>
        </w:rPr>
        <w:t>that the interference from FRMCS cab-radio of 31 dBm output power to MFCN uplink is acceptable when uplink power-control is implemented and activated;</w:t>
      </w:r>
    </w:p>
    <w:p w14:paraId="22292341" w14:textId="77777777" w:rsidR="000D44DE" w:rsidRPr="002D09B9" w:rsidRDefault="000D44DE" w:rsidP="000D44DE">
      <w:pPr>
        <w:numPr>
          <w:ilvl w:val="0"/>
          <w:numId w:val="5"/>
        </w:numPr>
        <w:spacing w:after="0"/>
        <w:rPr>
          <w:rFonts w:ascii="Calibri" w:hAnsi="Calibri" w:cs="Calibri"/>
        </w:rPr>
      </w:pPr>
      <w:r w:rsidRPr="002D09B9">
        <w:rPr>
          <w:rFonts w:ascii="Calibri" w:hAnsi="Calibri" w:cs="Calibri"/>
        </w:rPr>
        <w:t xml:space="preserve">that the </w:t>
      </w:r>
      <w:r>
        <w:rPr>
          <w:rFonts w:ascii="Calibri" w:hAnsi="Calibri" w:cs="Calibri"/>
        </w:rPr>
        <w:t xml:space="preserve">real </w:t>
      </w:r>
      <w:r w:rsidRPr="002D09B9">
        <w:rPr>
          <w:rFonts w:ascii="Calibri" w:hAnsi="Calibri" w:cs="Calibri"/>
        </w:rPr>
        <w:t xml:space="preserve">number of potentially interfered MFCN BS near railways is expected to be less than </w:t>
      </w:r>
      <w:r>
        <w:rPr>
          <w:rFonts w:ascii="Calibri" w:hAnsi="Calibri" w:cs="Calibri"/>
        </w:rPr>
        <w:t>around</w:t>
      </w:r>
      <w:r w:rsidRPr="002D09B9">
        <w:rPr>
          <w:rFonts w:ascii="Calibri" w:hAnsi="Calibri" w:cs="Calibri"/>
        </w:rPr>
        <w:t xml:space="preserve"> 7%;</w:t>
      </w:r>
    </w:p>
    <w:p w14:paraId="1F3A34AE" w14:textId="2FEBF17A" w:rsidR="000D44DE" w:rsidRPr="00443470" w:rsidRDefault="000D44DE" w:rsidP="000D44DE">
      <w:pPr>
        <w:numPr>
          <w:ilvl w:val="0"/>
          <w:numId w:val="5"/>
        </w:numPr>
        <w:spacing w:after="0"/>
        <w:rPr>
          <w:rFonts w:ascii="Calibri" w:hAnsi="Calibri" w:cs="Calibri"/>
        </w:rPr>
      </w:pPr>
      <w:r w:rsidRPr="002D09B9">
        <w:rPr>
          <w:rFonts w:ascii="Calibri" w:hAnsi="Calibri" w:cs="Calibri"/>
        </w:rPr>
        <w:t xml:space="preserve">that the regulation for FRMCS in </w:t>
      </w:r>
      <w:r w:rsidRPr="00751557">
        <w:rPr>
          <w:rFonts w:ascii="Calibri" w:hAnsi="Calibri" w:cs="Calibri"/>
        </w:rPr>
        <w:t xml:space="preserve">1900-1910 MHz has gone </w:t>
      </w:r>
      <w:r>
        <w:rPr>
          <w:rFonts w:ascii="Calibri" w:hAnsi="Calibri" w:cs="Calibri"/>
        </w:rPr>
        <w:t>through</w:t>
      </w:r>
      <w:r w:rsidRPr="00751557">
        <w:rPr>
          <w:rFonts w:ascii="Calibri" w:hAnsi="Calibri" w:cs="Calibri"/>
        </w:rPr>
        <w:t xml:space="preserve"> its usual consultation steps and this has confirmed conclusion</w:t>
      </w:r>
      <w:r w:rsidR="009E4BFB">
        <w:rPr>
          <w:rFonts w:ascii="Calibri" w:hAnsi="Calibri" w:cs="Calibri"/>
        </w:rPr>
        <w:t>s</w:t>
      </w:r>
      <w:r w:rsidRPr="00751557">
        <w:rPr>
          <w:rFonts w:ascii="Calibri" w:hAnsi="Calibri" w:cs="Calibri"/>
        </w:rPr>
        <w:t xml:space="preserve"> 2</w:t>
      </w:r>
      <w:r w:rsidR="009E4BFB">
        <w:rPr>
          <w:rFonts w:ascii="Calibri" w:hAnsi="Calibri" w:cs="Calibri"/>
        </w:rPr>
        <w:t xml:space="preserve"> and 5</w:t>
      </w:r>
      <w:r w:rsidRPr="00751557">
        <w:rPr>
          <w:rFonts w:ascii="Calibri" w:hAnsi="Calibri" w:cs="Calibri"/>
        </w:rPr>
        <w:t>.</w:t>
      </w:r>
    </w:p>
    <w:p w14:paraId="61207804" w14:textId="77777777" w:rsidR="00F778BE" w:rsidRDefault="00F778BE" w:rsidP="000D44DE">
      <w:pPr>
        <w:rPr>
          <w:rFonts w:ascii="Calibri" w:hAnsi="Calibri" w:cs="Calibri"/>
        </w:rPr>
      </w:pPr>
    </w:p>
    <w:p w14:paraId="1703B64E" w14:textId="5C97DAD6" w:rsidR="000D44DE" w:rsidRDefault="000D44DE" w:rsidP="000D44DE">
      <w:pPr>
        <w:rPr>
          <w:rFonts w:ascii="Calibri" w:hAnsi="Calibri" w:cs="Calibri"/>
        </w:rPr>
      </w:pPr>
      <w:r>
        <w:rPr>
          <w:rFonts w:ascii="Calibri" w:hAnsi="Calibri" w:cs="Calibri"/>
        </w:rPr>
        <w:t xml:space="preserve">Based on the above, </w:t>
      </w:r>
      <w:r w:rsidR="00F778BE">
        <w:rPr>
          <w:rFonts w:ascii="Calibri" w:hAnsi="Calibri" w:cs="Calibri"/>
        </w:rPr>
        <w:t>RAN4</w:t>
      </w:r>
      <w:r>
        <w:rPr>
          <w:rFonts w:ascii="Calibri" w:hAnsi="Calibri" w:cs="Calibri"/>
        </w:rPr>
        <w:t xml:space="preserve"> is of the opinion that no change to the current 3GPP specifications for RMR base stations nor for the high power UE in band n101 should be done. Any such change would be contrary to the European regulation.</w:t>
      </w:r>
    </w:p>
    <w:p w14:paraId="45824413" w14:textId="77777777" w:rsidR="00B97703" w:rsidRDefault="002F1940" w:rsidP="000F6242">
      <w:pPr>
        <w:pStyle w:val="Heading1"/>
      </w:pPr>
      <w:r>
        <w:t>2</w:t>
      </w:r>
      <w:r>
        <w:tab/>
      </w:r>
      <w:r w:rsidR="000F6242">
        <w:t>Actions</w:t>
      </w:r>
    </w:p>
    <w:p w14:paraId="317A623F" w14:textId="1168B6C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09B8">
        <w:rPr>
          <w:rFonts w:ascii="Arial" w:hAnsi="Arial" w:cs="Arial"/>
          <w:b/>
        </w:rPr>
        <w:t>RAN</w:t>
      </w:r>
      <w:r>
        <w:rPr>
          <w:rFonts w:ascii="Arial" w:hAnsi="Arial" w:cs="Arial"/>
          <w:b/>
        </w:rPr>
        <w:t xml:space="preserve"> </w:t>
      </w:r>
    </w:p>
    <w:p w14:paraId="120AAC9E" w14:textId="74063193" w:rsidR="00B97703" w:rsidRPr="00017F23" w:rsidRDefault="00B97703" w:rsidP="00CA68BF">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CE7E5C" w:rsidRPr="00A92C35">
        <w:rPr>
          <w:rFonts w:asciiTheme="minorHAnsi" w:hAnsiTheme="minorHAnsi" w:cstheme="minorHAnsi"/>
          <w:bCs/>
          <w:sz w:val="22"/>
          <w:szCs w:val="22"/>
        </w:rPr>
        <w:t xml:space="preserve">RAN4 asks </w:t>
      </w:r>
      <w:r w:rsidR="00CF09B8" w:rsidRPr="00A92C35">
        <w:rPr>
          <w:rFonts w:asciiTheme="minorHAnsi" w:hAnsiTheme="minorHAnsi" w:cstheme="minorHAnsi"/>
          <w:bCs/>
          <w:sz w:val="22"/>
          <w:szCs w:val="22"/>
        </w:rPr>
        <w:t xml:space="preserve">RAN to consider the observations </w:t>
      </w:r>
      <w:r w:rsidR="00C608BF" w:rsidRPr="00A92C35">
        <w:rPr>
          <w:rFonts w:asciiTheme="minorHAnsi" w:hAnsiTheme="minorHAnsi" w:cstheme="minorHAnsi"/>
          <w:bCs/>
          <w:sz w:val="22"/>
          <w:szCs w:val="22"/>
        </w:rPr>
        <w:t xml:space="preserve">and conclusions </w:t>
      </w:r>
      <w:r w:rsidR="00CF09B8" w:rsidRPr="00A92C35">
        <w:rPr>
          <w:rFonts w:asciiTheme="minorHAnsi" w:hAnsiTheme="minorHAnsi" w:cstheme="minorHAnsi"/>
          <w:bCs/>
          <w:sz w:val="22"/>
          <w:szCs w:val="22"/>
        </w:rPr>
        <w:t>provided in this LS</w:t>
      </w:r>
      <w:r w:rsidR="00307886" w:rsidRPr="00A92C35">
        <w:rPr>
          <w:rFonts w:asciiTheme="minorHAnsi" w:hAnsiTheme="minorHAnsi" w:cstheme="minorHAnsi"/>
          <w:sz w:val="22"/>
          <w:szCs w:val="22"/>
        </w:rPr>
        <w:t xml:space="preserve"> </w:t>
      </w:r>
      <w:r w:rsidR="00307886" w:rsidRPr="00A92C35">
        <w:rPr>
          <w:rFonts w:asciiTheme="minorHAnsi" w:hAnsiTheme="minorHAnsi" w:cstheme="minorHAnsi"/>
          <w:bCs/>
          <w:sz w:val="22"/>
          <w:szCs w:val="22"/>
        </w:rPr>
        <w:t xml:space="preserve">on co-existence for existing </w:t>
      </w:r>
      <w:r w:rsidR="00C608BF" w:rsidRPr="00A92C35">
        <w:rPr>
          <w:rFonts w:asciiTheme="minorHAnsi" w:hAnsiTheme="minorHAnsi" w:cstheme="minorHAnsi"/>
          <w:bCs/>
          <w:sz w:val="22"/>
          <w:szCs w:val="22"/>
        </w:rPr>
        <w:t>MFCN</w:t>
      </w:r>
      <w:r w:rsidR="00307886" w:rsidRPr="00A92C35">
        <w:rPr>
          <w:rFonts w:asciiTheme="minorHAnsi" w:hAnsiTheme="minorHAnsi" w:cstheme="minorHAnsi"/>
          <w:bCs/>
          <w:sz w:val="22"/>
          <w:szCs w:val="22"/>
        </w:rPr>
        <w:t xml:space="preserve"> networks with band n101</w:t>
      </w:r>
      <w:r w:rsidR="00CA68BF" w:rsidRPr="00A92C35">
        <w:rPr>
          <w:rFonts w:asciiTheme="minorHAnsi" w:hAnsiTheme="minorHAnsi" w:cstheme="minorHAnsi"/>
          <w:bCs/>
          <w:sz w:val="22"/>
          <w:szCs w:val="22"/>
        </w:rPr>
        <w:t>.</w:t>
      </w:r>
      <w:r w:rsidR="00311178" w:rsidRPr="00A92C35">
        <w:rPr>
          <w:rFonts w:asciiTheme="minorHAnsi" w:hAnsiTheme="minorHAnsi" w:cstheme="minorHAnsi"/>
          <w:bCs/>
          <w:sz w:val="22"/>
          <w:szCs w:val="22"/>
        </w:rPr>
        <w:t xml:space="preserve"> RAN4 proposes to </w:t>
      </w:r>
      <w:r w:rsidR="00FA4DD2" w:rsidRPr="00A92C35">
        <w:rPr>
          <w:rFonts w:asciiTheme="minorHAnsi" w:hAnsiTheme="minorHAnsi" w:cstheme="minorHAnsi"/>
          <w:bCs/>
          <w:sz w:val="22"/>
          <w:szCs w:val="22"/>
        </w:rPr>
        <w:t>not further pursue this subject</w:t>
      </w:r>
      <w:r w:rsidR="00FA4DD2">
        <w:rPr>
          <w:rFonts w:ascii="Arial" w:hAnsi="Arial" w:cs="Arial"/>
          <w:bCs/>
        </w:rPr>
        <w:t>.</w:t>
      </w:r>
    </w:p>
    <w:p w14:paraId="3E8CE125" w14:textId="77777777" w:rsidR="00B97703" w:rsidRDefault="00B97703">
      <w:pPr>
        <w:spacing w:after="120"/>
        <w:ind w:left="993" w:hanging="993"/>
        <w:rPr>
          <w:rFonts w:ascii="Arial" w:hAnsi="Arial" w:cs="Arial"/>
        </w:rPr>
      </w:pPr>
    </w:p>
    <w:p w14:paraId="3DA627AD" w14:textId="4930735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CA68BF">
        <w:rPr>
          <w:rFonts w:cs="Arial"/>
          <w:szCs w:val="36"/>
        </w:rPr>
        <w:t>RAN</w:t>
      </w:r>
      <w:r w:rsidR="000F6242" w:rsidRPr="000F6242">
        <w:rPr>
          <w:rFonts w:cs="Arial"/>
          <w:bCs/>
          <w:szCs w:val="36"/>
        </w:rPr>
        <w:t xml:space="preserve"> WG </w:t>
      </w:r>
      <w:r w:rsidR="00CA68BF">
        <w:rPr>
          <w:rFonts w:cs="Arial"/>
          <w:bCs/>
          <w:szCs w:val="36"/>
        </w:rPr>
        <w:t>4</w:t>
      </w:r>
      <w:r w:rsidR="000F6242">
        <w:rPr>
          <w:szCs w:val="36"/>
        </w:rPr>
        <w:t xml:space="preserve"> m</w:t>
      </w:r>
      <w:r w:rsidR="000F6242" w:rsidRPr="000F6242">
        <w:rPr>
          <w:szCs w:val="36"/>
        </w:rPr>
        <w:t>eetings</w:t>
      </w:r>
    </w:p>
    <w:p w14:paraId="2A4CEC85" w14:textId="7E3E4A4D" w:rsidR="002F1940" w:rsidRDefault="00CA68BF" w:rsidP="002F1940">
      <w:bookmarkStart w:id="10" w:name="OLE_LINK55"/>
      <w:bookmarkStart w:id="11" w:name="OLE_LINK56"/>
      <w:bookmarkStart w:id="12" w:name="OLE_LINK53"/>
      <w:bookmarkStart w:id="13" w:name="OLE_LINK54"/>
      <w:r>
        <w:t>RAN4#1</w:t>
      </w:r>
      <w:r w:rsidR="00CF09B8">
        <w:t>10</w:t>
      </w:r>
      <w:r>
        <w:t>-bis</w:t>
      </w:r>
      <w:r>
        <w:tab/>
      </w:r>
      <w:r w:rsidR="002F1940">
        <w:tab/>
      </w:r>
      <w:r w:rsidR="00CF09B8">
        <w:t>15</w:t>
      </w:r>
      <w:r>
        <w:t xml:space="preserve"> – 1</w:t>
      </w:r>
      <w:r w:rsidR="00CF09B8">
        <w:t>9</w:t>
      </w:r>
      <w:r>
        <w:t xml:space="preserve"> </w:t>
      </w:r>
      <w:r w:rsidR="00307886">
        <w:t>April</w:t>
      </w:r>
      <w:r>
        <w:t xml:space="preserve"> 202</w:t>
      </w:r>
      <w:r w:rsidR="00CF09B8">
        <w:t>4</w:t>
      </w:r>
      <w:r w:rsidR="002F1940">
        <w:tab/>
      </w:r>
      <w:r w:rsidR="00CF09B8" w:rsidRPr="00CF09B8">
        <w:t>Changsha, Hunan Province</w:t>
      </w:r>
      <w:r w:rsidR="00CF09B8">
        <w:t>,</w:t>
      </w:r>
      <w:r w:rsidR="002F1940">
        <w:t xml:space="preserve"> </w:t>
      </w:r>
      <w:bookmarkEnd w:id="10"/>
      <w:bookmarkEnd w:id="11"/>
      <w:r>
        <w:t>China</w:t>
      </w:r>
    </w:p>
    <w:p w14:paraId="641A6788" w14:textId="22DD1490" w:rsidR="002F1940" w:rsidRPr="002F1940" w:rsidRDefault="00CA68BF" w:rsidP="002F1940">
      <w:r>
        <w:t>RAN4#1</w:t>
      </w:r>
      <w:r w:rsidR="00CF09B8">
        <w:t>11</w:t>
      </w:r>
      <w:r>
        <w:tab/>
      </w:r>
      <w:r w:rsidR="002F1940">
        <w:tab/>
      </w:r>
      <w:r w:rsidR="00307886">
        <w:t>20</w:t>
      </w:r>
      <w:r>
        <w:t xml:space="preserve"> </w:t>
      </w:r>
      <w:r w:rsidR="00307886">
        <w:t xml:space="preserve">– 24 May </w:t>
      </w:r>
      <w:r>
        <w:t>202</w:t>
      </w:r>
      <w:r w:rsidR="00307886">
        <w:t>4</w:t>
      </w:r>
      <w:r w:rsidR="002F1940">
        <w:tab/>
      </w:r>
      <w:r w:rsidR="00307886" w:rsidRPr="00307886">
        <w:t>Fukuoka City, Fukuoka</w:t>
      </w:r>
      <w:r w:rsidR="002F1940">
        <w:t xml:space="preserve">, </w:t>
      </w:r>
      <w:r w:rsidR="00307886">
        <w:t>Japan</w:t>
      </w:r>
    </w:p>
    <w:bookmarkEnd w:id="12"/>
    <w:bookmarkEnd w:id="13"/>
    <w:p w14:paraId="6402B59B"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71432" w14:textId="77777777" w:rsidR="003C47EF" w:rsidRDefault="003C47EF">
      <w:pPr>
        <w:spacing w:after="0"/>
      </w:pPr>
      <w:r>
        <w:separator/>
      </w:r>
    </w:p>
  </w:endnote>
  <w:endnote w:type="continuationSeparator" w:id="0">
    <w:p w14:paraId="2B644BED" w14:textId="77777777" w:rsidR="003C47EF" w:rsidRDefault="003C47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0C9F8" w14:textId="77777777" w:rsidR="003C47EF" w:rsidRDefault="003C47EF">
      <w:pPr>
        <w:spacing w:after="0"/>
      </w:pPr>
      <w:r>
        <w:separator/>
      </w:r>
    </w:p>
  </w:footnote>
  <w:footnote w:type="continuationSeparator" w:id="0">
    <w:p w14:paraId="2DC37F2C" w14:textId="77777777" w:rsidR="003C47EF" w:rsidRDefault="003C47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9064B76"/>
    <w:multiLevelType w:val="multilevel"/>
    <w:tmpl w:val="D40A3AC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2252304">
    <w:abstractNumId w:val="3"/>
  </w:num>
  <w:num w:numId="2" w16cid:durableId="246115679">
    <w:abstractNumId w:val="2"/>
  </w:num>
  <w:num w:numId="3" w16cid:durableId="1157841987">
    <w:abstractNumId w:val="1"/>
  </w:num>
  <w:num w:numId="4" w16cid:durableId="1433428080">
    <w:abstractNumId w:val="0"/>
  </w:num>
  <w:num w:numId="5" w16cid:durableId="158737606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6709"/>
    <w:rsid w:val="00050F03"/>
    <w:rsid w:val="000D44DE"/>
    <w:rsid w:val="000F6242"/>
    <w:rsid w:val="001543D2"/>
    <w:rsid w:val="001C2436"/>
    <w:rsid w:val="001C4CC6"/>
    <w:rsid w:val="001E75C6"/>
    <w:rsid w:val="00222A90"/>
    <w:rsid w:val="002552B0"/>
    <w:rsid w:val="00276163"/>
    <w:rsid w:val="002F1940"/>
    <w:rsid w:val="00307886"/>
    <w:rsid w:val="00311178"/>
    <w:rsid w:val="00320C62"/>
    <w:rsid w:val="0032140D"/>
    <w:rsid w:val="00383545"/>
    <w:rsid w:val="0039013F"/>
    <w:rsid w:val="003A082C"/>
    <w:rsid w:val="003C47EF"/>
    <w:rsid w:val="00433500"/>
    <w:rsid w:val="00433F71"/>
    <w:rsid w:val="00440D43"/>
    <w:rsid w:val="004E3939"/>
    <w:rsid w:val="00542D47"/>
    <w:rsid w:val="00563409"/>
    <w:rsid w:val="005747E7"/>
    <w:rsid w:val="005C185B"/>
    <w:rsid w:val="005C3DCD"/>
    <w:rsid w:val="00687073"/>
    <w:rsid w:val="006C7242"/>
    <w:rsid w:val="006F3031"/>
    <w:rsid w:val="006F5E07"/>
    <w:rsid w:val="007C59D2"/>
    <w:rsid w:val="007F4F92"/>
    <w:rsid w:val="008D772F"/>
    <w:rsid w:val="0099764C"/>
    <w:rsid w:val="009C433E"/>
    <w:rsid w:val="009E4BFB"/>
    <w:rsid w:val="009F6376"/>
    <w:rsid w:val="00A04C6F"/>
    <w:rsid w:val="00A072A2"/>
    <w:rsid w:val="00A36859"/>
    <w:rsid w:val="00A70423"/>
    <w:rsid w:val="00A92C35"/>
    <w:rsid w:val="00AA3E38"/>
    <w:rsid w:val="00B61944"/>
    <w:rsid w:val="00B97703"/>
    <w:rsid w:val="00BB5046"/>
    <w:rsid w:val="00C16348"/>
    <w:rsid w:val="00C608BF"/>
    <w:rsid w:val="00CA68BF"/>
    <w:rsid w:val="00CE7E5C"/>
    <w:rsid w:val="00CF09B8"/>
    <w:rsid w:val="00CF6087"/>
    <w:rsid w:val="00E11F24"/>
    <w:rsid w:val="00E43569"/>
    <w:rsid w:val="00E733C9"/>
    <w:rsid w:val="00EB4646"/>
    <w:rsid w:val="00F37092"/>
    <w:rsid w:val="00F778BE"/>
    <w:rsid w:val="00FA4DD2"/>
    <w:rsid w:val="00FB7F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71386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table" w:styleId="TableGrid">
    <w:name w:val="Table Grid"/>
    <w:basedOn w:val="TableNormal"/>
    <w:uiPriority w:val="39"/>
    <w:rsid w:val="00BB5046"/>
    <w:rPr>
      <w:rFonts w:asciiTheme="minorHAnsi" w:eastAsiaTheme="minorHAnsi" w:hAnsiTheme="minorHAnsi" w:cstheme="minorBidi"/>
      <w:sz w:val="22"/>
      <w:szCs w:val="22"/>
      <w:lang w:val="hu-HU"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1931">
      <w:bodyDiv w:val="1"/>
      <w:marLeft w:val="0"/>
      <w:marRight w:val="0"/>
      <w:marTop w:val="0"/>
      <w:marBottom w:val="0"/>
      <w:divBdr>
        <w:top w:val="none" w:sz="0" w:space="0" w:color="auto"/>
        <w:left w:val="none" w:sz="0" w:space="0" w:color="auto"/>
        <w:bottom w:val="none" w:sz="0" w:space="0" w:color="auto"/>
        <w:right w:val="none" w:sz="0" w:space="0" w:color="auto"/>
      </w:divBdr>
    </w:div>
    <w:div w:id="626005736">
      <w:bodyDiv w:val="1"/>
      <w:marLeft w:val="0"/>
      <w:marRight w:val="0"/>
      <w:marTop w:val="0"/>
      <w:marBottom w:val="0"/>
      <w:divBdr>
        <w:top w:val="none" w:sz="0" w:space="0" w:color="auto"/>
        <w:left w:val="none" w:sz="0" w:space="0" w:color="auto"/>
        <w:bottom w:val="none" w:sz="0" w:space="0" w:color="auto"/>
        <w:right w:val="none" w:sz="0" w:space="0" w:color="auto"/>
      </w:divBdr>
    </w:div>
    <w:div w:id="130693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2A9498-ED73-4A73-A63C-2D436BCB5CD5}">
  <ds:schemaRefs>
    <ds:schemaRef ds:uri="http://schemas.openxmlformats.org/package/2006/metadata/core-properties"/>
    <ds:schemaRef ds:uri="http://www.w3.org/XML/1998/namespace"/>
    <ds:schemaRef ds:uri="47787118-fbe4-41a3-8399-a0f96f6d786d"/>
    <ds:schemaRef ds:uri="http://purl.org/dc/elements/1.1/"/>
    <ds:schemaRef ds:uri="http://purl.org/dc/dcmitype/"/>
    <ds:schemaRef ds:uri="http://schemas.microsoft.com/office/2006/metadata/properties"/>
    <ds:schemaRef ds:uri="http://schemas.microsoft.com/office/2006/documentManagement/types"/>
    <ds:schemaRef ds:uri="http://purl.org/dc/term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0080F223-BE00-41BA-84D2-0DCBE1FA94B8}">
  <ds:schemaRefs>
    <ds:schemaRef ds:uri="http://schemas.microsoft.com/sharepoint/v3/contenttype/forms"/>
  </ds:schemaRefs>
</ds:datastoreItem>
</file>

<file path=customXml/itemProps3.xml><?xml version="1.0" encoding="utf-8"?>
<ds:datastoreItem xmlns:ds="http://schemas.openxmlformats.org/officeDocument/2006/customXml" ds:itemID="{2FAE879F-87E9-4DBE-8E84-6D5513856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1041</Words>
  <Characters>5935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6963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d.martens@strict.nl</dc:creator>
  <cp:keywords/>
  <dc:description/>
  <cp:lastModifiedBy>Martens, Dick</cp:lastModifiedBy>
  <cp:revision>2</cp:revision>
  <cp:lastPrinted>2002-04-23T07:10:00Z</cp:lastPrinted>
  <dcterms:created xsi:type="dcterms:W3CDTF">2024-02-19T15:06:00Z</dcterms:created>
  <dcterms:modified xsi:type="dcterms:W3CDTF">2024-02-19T15:06:00Z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0x0101006844494091599A4BB99A0541BE9C94B3</vt:lpwstr>
  </property>
</Properties>
</file>