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781"/>
          <w:tab w:val="right" w:pos="13323"/>
        </w:tabs>
        <w:spacing w:before="60" w:after="60"/>
        <w:outlineLvl w:val="0"/>
        <w:rPr>
          <w:rFonts w:hint="default" w:ascii="Arial" w:hAnsi="Arial" w:eastAsia="宋体" w:cs="Arial"/>
          <w:b/>
          <w:sz w:val="24"/>
          <w:szCs w:val="24"/>
          <w:lang w:val="en-US" w:eastAsia="zh-CN" w:bidi="ar-SA"/>
        </w:rPr>
      </w:pPr>
      <w:bookmarkStart w:id="0" w:name="DocumentFor"/>
      <w:bookmarkEnd w:id="0"/>
      <w:bookmarkStart w:id="1" w:name="Title"/>
      <w:bookmarkEnd w:id="1"/>
      <w:r>
        <w:rPr>
          <w:rFonts w:ascii="Arial" w:hAnsi="Arial" w:eastAsia="宋体" w:cs="Arial"/>
          <w:b/>
          <w:sz w:val="24"/>
          <w:szCs w:val="24"/>
          <w:lang w:val="en-GB" w:eastAsia="zh-CN" w:bidi="ar-SA"/>
        </w:rPr>
        <w:t>3GPP TSG-RAN WG4 Meeting #110</w:t>
      </w:r>
      <w:r>
        <w:rPr>
          <w:rFonts w:hint="eastAsia" w:ascii="Arial" w:hAnsi="Arial" w:eastAsia="宋体" w:cs="Arial"/>
          <w:b/>
          <w:sz w:val="24"/>
          <w:szCs w:val="24"/>
          <w:lang w:val="en-US" w:eastAsia="zh-CN" w:bidi="ar-SA"/>
        </w:rPr>
        <w:t xml:space="preserve">                                     </w:t>
      </w:r>
      <w:r>
        <w:rPr>
          <w:rFonts w:hint="eastAsia" w:ascii="Arial" w:hAnsi="Arial" w:eastAsia="宋体" w:cs="Arial"/>
          <w:b/>
          <w:sz w:val="24"/>
          <w:szCs w:val="24"/>
          <w:lang w:val="en-GB" w:eastAsia="zh-CN" w:bidi="ar-SA"/>
        </w:rPr>
        <w:t>R4-2401878</w:t>
      </w:r>
    </w:p>
    <w:p>
      <w:pPr>
        <w:widowControl w:val="0"/>
        <w:tabs>
          <w:tab w:val="right" w:pos="9781"/>
          <w:tab w:val="right" w:pos="13323"/>
        </w:tabs>
        <w:spacing w:before="60" w:after="60"/>
        <w:outlineLvl w:val="0"/>
        <w:rPr>
          <w:rFonts w:ascii="Arial" w:hAnsi="Arial" w:eastAsia="宋体" w:cs="Arial"/>
          <w:b/>
          <w:sz w:val="24"/>
          <w:szCs w:val="24"/>
          <w:lang w:val="en-GB" w:eastAsia="zh-CN" w:bidi="ar-SA"/>
        </w:rPr>
      </w:pPr>
      <w:r>
        <w:rPr>
          <w:rFonts w:ascii="Arial" w:hAnsi="Arial" w:eastAsia="宋体" w:cs="Arial"/>
          <w:b/>
          <w:sz w:val="24"/>
          <w:szCs w:val="24"/>
          <w:lang w:val="en-GB" w:eastAsia="zh-CN" w:bidi="ar-SA"/>
        </w:rPr>
        <w:t>Athens, GR, 26 Feb – 01 Mar, 2024</w:t>
      </w:r>
    </w:p>
    <w:p>
      <w:pPr>
        <w:bidi w:val="0"/>
        <w:rPr>
          <w:lang w:val="en-US" w:eastAsia="zh-CN"/>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12</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parameters of terrestrial component of IMT for sharing studies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WRC-23 agreed a WRC-27 agenda item 1.7 related to IMT. Working Party (WP) 5D is responsible for preparing the characteristics of terrestrial component of IMT for sharing and compatibility studies and a LS[1] is sent to RAN4 to ask for IMT parameters in following frequency bands</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ab/>
      </w:r>
      <w:r>
        <w:rPr>
          <w:rFonts w:hint="eastAsia" w:ascii="Times New Roman" w:hAnsi="Times New Roman" w:cs="Times New Roman"/>
          <w:b w:val="0"/>
          <w:bCs w:val="0"/>
          <w:sz w:val="20"/>
          <w:szCs w:val="20"/>
          <w:lang w:val="en-US" w:eastAsia="zh-CN"/>
        </w:rPr>
        <w:t>4 400-4 800 MHz;</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ab/>
      </w:r>
      <w:r>
        <w:rPr>
          <w:rFonts w:hint="eastAsia" w:ascii="Times New Roman" w:hAnsi="Times New Roman" w:cs="Times New Roman"/>
          <w:b w:val="0"/>
          <w:bCs w:val="0"/>
          <w:sz w:val="20"/>
          <w:szCs w:val="20"/>
          <w:lang w:val="en-US" w:eastAsia="zh-CN"/>
        </w:rPr>
        <w:t>7 125-8 400 MHz; and</w:t>
      </w:r>
    </w:p>
    <w:p>
      <w:pPr>
        <w:keepNext w:val="0"/>
        <w:keepLines w:val="0"/>
        <w:pageBreakBefore w:val="0"/>
        <w:widowControl w:val="0"/>
        <w:kinsoku/>
        <w:wordWrap/>
        <w:overflowPunct/>
        <w:topLinePunct w:val="0"/>
        <w:autoSpaceDE/>
        <w:autoSpaceDN/>
        <w:bidi w:val="0"/>
        <w:adjustRightInd/>
        <w:snapToGrid/>
        <w:textAlignment w:val="auto"/>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ab/>
      </w:r>
      <w:r>
        <w:rPr>
          <w:rFonts w:hint="eastAsia" w:ascii="Times New Roman" w:hAnsi="Times New Roman" w:cs="Times New Roman"/>
          <w:b w:val="0"/>
          <w:bCs w:val="0"/>
          <w:sz w:val="20"/>
          <w:szCs w:val="20"/>
          <w:lang w:val="en-US" w:eastAsia="zh-CN"/>
        </w:rPr>
        <w:t>14.8-15.35 GHz.</w:t>
      </w:r>
    </w:p>
    <w:p>
      <w:pPr>
        <w:spacing w:after="180"/>
        <w:rPr>
          <w:rFonts w:hint="default" w:ascii="Times New Roman" w:hAnsi="Times New Roman" w:eastAsia="宋体"/>
          <w:sz w:val="20"/>
          <w:lang w:val="en-US" w:eastAsia="zh-CN"/>
        </w:rPr>
      </w:pPr>
      <w:r>
        <w:rPr>
          <w:rFonts w:hint="eastAsia" w:ascii="Times New Roman" w:hAnsi="Times New Roman"/>
          <w:sz w:val="20"/>
          <w:lang w:val="en-US" w:eastAsia="zh-CN"/>
        </w:rPr>
        <w:t>In this contribution, we focus on the discussion of terrestrial IMT parameters for new candidate IMT operation bands.</w:t>
      </w:r>
    </w:p>
    <w:p>
      <w:pPr>
        <w:keepNext/>
        <w:keepLines/>
        <w:widowControl/>
        <w:numPr>
          <w:ilvl w:val="0"/>
          <w:numId w:val="1"/>
        </w:numPr>
        <w:pBdr>
          <w:top w:val="single" w:color="auto" w:sz="12" w:space="1"/>
        </w:pBdr>
        <w:tabs>
          <w:tab w:val="left" w:pos="567"/>
        </w:tabs>
        <w:adjustRightInd w:val="0"/>
        <w:spacing w:before="240" w:after="180"/>
        <w:ind w:left="510" w:hanging="510"/>
        <w:outlineLvl w:val="0"/>
        <w:rPr>
          <w:rFonts w:hint="eastAsia" w:ascii="Arial" w:hAnsi="Arial" w:eastAsiaTheme="minorEastAsia" w:cstheme="minorBidi"/>
          <w:sz w:val="32"/>
          <w:szCs w:val="36"/>
        </w:rPr>
      </w:pPr>
      <w:r>
        <w:rPr>
          <w:rFonts w:hint="eastAsia" w:ascii="Arial" w:hAnsi="Arial" w:eastAsiaTheme="minorEastAsia" w:cstheme="minorBidi"/>
          <w:sz w:val="32"/>
          <w:szCs w:val="36"/>
        </w:rPr>
        <w:t>Discussion</w:t>
      </w:r>
    </w:p>
    <w:p>
      <w:pPr>
        <w:numPr>
          <w:ilvl w:val="0"/>
          <w:numId w:val="2"/>
        </w:numPr>
        <w:spacing w:after="180"/>
        <w:ind w:left="420" w:leftChars="0" w:hanging="420" w:firstLineChars="0"/>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4400-4800MHz:</w:t>
      </w:r>
      <w:r>
        <w:rPr>
          <w:rFonts w:hint="eastAsia" w:ascii="Times New Roman" w:hAnsi="Times New Roman"/>
          <w:b w:val="0"/>
          <w:bCs w:val="0"/>
          <w:sz w:val="20"/>
          <w:szCs w:val="20"/>
          <w:lang w:val="en-US" w:eastAsia="zh-CN"/>
        </w:rPr>
        <w:t xml:space="preserve"> </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3GPP has defined NR band n79 including frequency range from 4400 to 5000MHz which just cover 4400-4800MHz. Currently, n79 has been commercially deployed in come countries and 3GPP specs has been widely used to test commercial BS minimum requirements before deployment. Therefore, the NR parameters specified in 3GPP could be used for ITU sharing studies. </w:t>
      </w:r>
    </w:p>
    <w:p>
      <w:pPr>
        <w:numPr>
          <w:ilvl w:val="0"/>
          <w:numId w:val="0"/>
        </w:numPr>
        <w:spacing w:after="180"/>
        <w:ind w:leftChars="0"/>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In the LS, WP-5D also welcome any latest information on the AAS radiation pattern implementations models. Currently, AAS BS is the typical commercial product type to provide better coverage and throughput. And sub-array model is also one choice for the AAS BS. In previous 2020, RAN4 has send out the sub-array antenna models to ITU WP-5D and this sub-array model is also captured into 3GPP RAN4 TR 38.803. such model is based on massive testing data from commercial BS. So this model could already reflect the latest information on the AAS radiation pattern implementations. </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For 4400-4800MHz, WP-5D could reuse previous 3-6GHz parameters that RAN4 sent for WRC-23 preparation. Besides, the sub-array antenna model is based on testing of commercial BS and could reflect latest AAS pattern information.</w:t>
      </w:r>
    </w:p>
    <w:p>
      <w:pPr>
        <w:numPr>
          <w:ilvl w:val="0"/>
          <w:numId w:val="2"/>
        </w:numPr>
        <w:spacing w:after="180"/>
        <w:ind w:left="420" w:leftChars="0" w:hanging="420" w:firstLineChars="0"/>
        <w:rPr>
          <w:rFonts w:hint="eastAsia" w:ascii="Times New Roman" w:hAnsi="Times New Roman"/>
          <w:b w:val="0"/>
          <w:bCs w:val="0"/>
          <w:sz w:val="20"/>
          <w:szCs w:val="20"/>
          <w:lang w:val="en-US" w:eastAsia="zh-CN"/>
        </w:rPr>
      </w:pPr>
      <w:r>
        <w:rPr>
          <w:rFonts w:hint="eastAsia" w:ascii="Times New Roman" w:hAnsi="Times New Roman"/>
          <w:b/>
          <w:bCs/>
          <w:sz w:val="20"/>
          <w:szCs w:val="20"/>
          <w:lang w:val="en-US" w:eastAsia="zh-CN"/>
        </w:rPr>
        <w:t>7125-8400MHz:</w:t>
      </w:r>
      <w:r>
        <w:rPr>
          <w:rFonts w:hint="eastAsia" w:ascii="Times New Roman" w:hAnsi="Times New Roman"/>
          <w:b w:val="0"/>
          <w:bCs w:val="0"/>
          <w:sz w:val="20"/>
          <w:szCs w:val="20"/>
          <w:lang w:val="en-US" w:eastAsia="zh-CN"/>
        </w:rPr>
        <w:t xml:space="preserve"> </w:t>
      </w: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3GPP has defined NR band n104 including frequency range from 6425 MHz to 7125 MHz which is much near to 7125-8400MHz. Now there is no study of this new band, at first we could use the parameters of n104 as starting point. The suggestions for table 1 is listed as below. For this high frequency band, only AAS BS is feasible.</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the suggestions for 7125-8400MHz related parameters (table 1) are listed as below as starting point which is the same as what is defined for band n104.</w:t>
      </w:r>
    </w:p>
    <w:p>
      <w:pPr>
        <w:pStyle w:val="57"/>
        <w:rPr>
          <w:rFonts w:eastAsia="MS Mincho"/>
        </w:rPr>
      </w:pPr>
      <w:r>
        <w:rPr>
          <w:rFonts w:eastAsia="MS Mincho"/>
        </w:rPr>
        <w:t xml:space="preserve">IMT-2030 specification related parameters in </w:t>
      </w:r>
      <w:r>
        <w:rPr>
          <w:rFonts w:hint="eastAsia" w:eastAsia="宋体"/>
          <w:lang w:val="en-US" w:eastAsia="zh-CN"/>
        </w:rPr>
        <w:t>7125-8400</w:t>
      </w:r>
      <w:r>
        <w:rPr>
          <w:rFonts w:eastAsia="MS Mincho"/>
        </w:rPr>
        <w:t xml:space="preserve"> MHz</w:t>
      </w:r>
    </w:p>
    <w:tbl>
      <w:tblPr>
        <w:tblStyle w:val="16"/>
        <w:tblW w:w="38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2641"/>
        <w:gridCol w:w="2197"/>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79"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No.</w:t>
            </w:r>
          </w:p>
        </w:tc>
        <w:tc>
          <w:tcPr>
            <w:tcW w:w="1734"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Parameter</w:t>
            </w:r>
          </w:p>
        </w:tc>
        <w:tc>
          <w:tcPr>
            <w:tcW w:w="1443"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 xml:space="preserve">Base station </w:t>
            </w:r>
            <w:r>
              <w:rPr>
                <w:rFonts w:ascii="Times New Roman Bold" w:hAnsi="Times New Roman Bold" w:eastAsia="MS Mincho" w:cs="Times New Roman Bold"/>
                <w:b/>
                <w:sz w:val="20"/>
              </w:rPr>
              <w:br w:type="textWrapping"/>
            </w:r>
            <w:r>
              <w:rPr>
                <w:rFonts w:ascii="Times New Roman Bold" w:hAnsi="Times New Roman Bold" w:eastAsia="MS Mincho" w:cs="Times New Roman Bold"/>
                <w:b/>
                <w:sz w:val="20"/>
              </w:rPr>
              <w:t>(AAS)</w:t>
            </w:r>
          </w:p>
        </w:tc>
        <w:tc>
          <w:tcPr>
            <w:tcW w:w="1442"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Mobile station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w:t>
            </w:r>
          </w:p>
        </w:tc>
        <w:tc>
          <w:tcPr>
            <w:tcW w:w="1734"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Duplex Method</w:t>
            </w:r>
          </w:p>
        </w:tc>
        <w:tc>
          <w:tcPr>
            <w:tcW w:w="1443"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eastAsia="宋体"/>
                <w:sz w:val="20"/>
                <w:lang w:val="en-US" w:eastAsia="zh-CN"/>
              </w:rPr>
            </w:pPr>
            <w:r>
              <w:rPr>
                <w:rFonts w:hint="eastAsia" w:eastAsia="宋体"/>
                <w:sz w:val="20"/>
                <w:lang w:val="en-US" w:eastAsia="zh-CN"/>
              </w:rPr>
              <w:t>TDD</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宋体"/>
                <w:sz w:val="20"/>
                <w:lang w:val="en-US" w:eastAsia="zh-CN"/>
              </w:rPr>
            </w:pPr>
            <w:r>
              <w:rPr>
                <w:rFonts w:hint="eastAsia" w:eastAsia="宋体"/>
                <w:sz w:val="20"/>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Channel bandwidth (MHz)</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eastAsia="宋体"/>
                <w:sz w:val="20"/>
                <w:lang w:val="en-US" w:eastAsia="zh-CN"/>
              </w:rPr>
            </w:pPr>
            <w:r>
              <w:rPr>
                <w:rFonts w:hint="eastAsia" w:eastAsia="宋体"/>
                <w:sz w:val="20"/>
                <w:lang w:val="en-US" w:eastAsia="zh-CN"/>
              </w:rPr>
              <w:t>100MHz (typical)</w:t>
            </w: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hint="eastAsia" w:eastAsia="宋体"/>
                <w:sz w:val="20"/>
                <w:lang w:val="en-US" w:eastAsia="zh-CN"/>
              </w:rPr>
              <w:t>100MHz (typical)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sz w:val="20"/>
                <w:lang w:eastAsia="zh-CN"/>
              </w:rPr>
            </w:pPr>
            <w:r>
              <w:rPr>
                <w:rFonts w:eastAsia="MS Mincho"/>
                <w:sz w:val="20"/>
              </w:rPr>
              <w:t xml:space="preserve">Signal bandwidth </w:t>
            </w:r>
            <w:r>
              <w:rPr>
                <w:sz w:val="20"/>
                <w:lang w:eastAsia="zh-CN"/>
              </w:rPr>
              <w:t>(MHz)</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eastAsia="宋体"/>
                <w:sz w:val="20"/>
                <w:lang w:val="en-US" w:eastAsia="zh-CN"/>
              </w:rPr>
            </w:pPr>
            <w:r>
              <w:rPr>
                <w:rFonts w:hint="eastAsia" w:eastAsia="宋体"/>
                <w:sz w:val="20"/>
                <w:lang w:val="en-US" w:eastAsia="zh-CN"/>
              </w:rPr>
              <w:t>Related to channel bandwidth, see 38.104 section 5.3.2</w:t>
            </w: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hint="eastAsia" w:eastAsia="宋体"/>
                <w:sz w:val="20"/>
                <w:lang w:val="en-US" w:eastAsia="zh-CN"/>
              </w:rPr>
              <w:t>Related to channel bandwidth, see 38.101-1 section 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Transmitter characteristics</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4.1</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Power dynamic range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eastAsia="宋体"/>
                <w:sz w:val="20"/>
                <w:lang w:val="en-US" w:eastAsia="zh-CN"/>
              </w:rPr>
            </w:pPr>
            <w:r>
              <w:rPr>
                <w:rFonts w:hint="eastAsia" w:eastAsia="宋体"/>
                <w:sz w:val="20"/>
                <w:lang w:val="en-US" w:eastAsia="zh-CN"/>
              </w:rPr>
              <w:t>0dB</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宋体"/>
                <w:sz w:val="20"/>
                <w:lang w:val="en-US" w:eastAsia="zh-CN"/>
              </w:rPr>
            </w:pPr>
            <w:r>
              <w:rPr>
                <w:rFonts w:hint="eastAsia" w:eastAsia="宋体"/>
                <w:sz w:val="20"/>
                <w:lang w:val="en-US" w:eastAsia="zh-CN"/>
              </w:rPr>
              <w:t>56dB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Spectral mask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宋体"/>
                <w:sz w:val="20"/>
                <w:lang w:val="en-US" w:eastAsia="zh-CN"/>
              </w:rPr>
            </w:pPr>
            <w:r>
              <w:rPr>
                <w:rFonts w:hint="eastAsia" w:eastAsia="宋体"/>
                <w:sz w:val="20"/>
                <w:lang w:val="en-US" w:eastAsia="zh-CN"/>
              </w:rPr>
              <w:t>see 38.104 section 6.6.4.2 for n104</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hint="eastAsia" w:eastAsia="宋体"/>
                <w:sz w:val="20"/>
                <w:lang w:val="en-US" w:eastAsia="zh-CN"/>
              </w:rPr>
              <w:t>see 38.10</w:t>
            </w:r>
            <w:r>
              <w:rPr>
                <w:rFonts w:hint="eastAsia"/>
                <w:sz w:val="20"/>
                <w:lang w:val="en-US" w:eastAsia="zh-CN"/>
              </w:rPr>
              <w:t>1-1</w:t>
            </w:r>
            <w:r>
              <w:rPr>
                <w:rFonts w:hint="eastAsia" w:eastAsia="宋体"/>
                <w:sz w:val="20"/>
                <w:lang w:val="en-US" w:eastAsia="zh-CN"/>
              </w:rPr>
              <w:t xml:space="preserve"> section 6.</w:t>
            </w:r>
            <w:r>
              <w:rPr>
                <w:rFonts w:hint="eastAsia"/>
                <w:sz w:val="20"/>
                <w:lang w:val="en-US" w:eastAsia="zh-CN"/>
              </w:rPr>
              <w:t>5</w:t>
            </w:r>
            <w:r>
              <w:rPr>
                <w:rFonts w:hint="eastAsia" w:eastAsia="宋体"/>
                <w:sz w:val="20"/>
                <w:lang w:val="en-US" w:eastAsia="zh-CN"/>
              </w:rPr>
              <w:t>.</w:t>
            </w:r>
            <w:r>
              <w:rPr>
                <w:rFonts w:hint="eastAsia"/>
                <w:sz w:val="20"/>
                <w:lang w:val="en-US" w:eastAsia="zh-CN"/>
              </w:rPr>
              <w:t>2</w:t>
            </w:r>
            <w:r>
              <w:rPr>
                <w:rFonts w:hint="eastAsia" w:eastAsia="宋体"/>
                <w:sz w:val="20"/>
                <w:lang w:val="en-US" w:eastAsia="zh-CN"/>
              </w:rPr>
              <w:t>.2 for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ACLR (dB)</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eastAsia="宋体"/>
                <w:sz w:val="20"/>
                <w:lang w:val="en-US" w:eastAsia="zh-CN"/>
              </w:rPr>
            </w:pPr>
            <w:r>
              <w:rPr>
                <w:rFonts w:hint="eastAsia" w:eastAsia="宋体"/>
                <w:sz w:val="20"/>
                <w:lang w:val="en-US" w:eastAsia="zh-CN"/>
              </w:rPr>
              <w:t>38dB</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宋体"/>
                <w:sz w:val="20"/>
                <w:lang w:val="en-US" w:eastAsia="zh-CN"/>
              </w:rPr>
            </w:pPr>
            <w:r>
              <w:rPr>
                <w:rFonts w:hint="eastAsia" w:eastAsia="宋体"/>
                <w:sz w:val="20"/>
                <w:lang w:val="en-US" w:eastAsia="zh-CN"/>
              </w:rPr>
              <w:t>26dB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4.4</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Spurious emissions /out of band emissions</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eastAsia="MS Mincho"/>
                <w:sz w:val="20"/>
                <w:lang w:val="en-US"/>
              </w:rPr>
            </w:pPr>
            <w:r>
              <w:rPr>
                <w:rFonts w:hint="eastAsia" w:eastAsia="宋体"/>
                <w:sz w:val="20"/>
                <w:lang w:val="en-US" w:eastAsia="zh-CN"/>
              </w:rPr>
              <w:t xml:space="preserve"> see 38.104 section </w:t>
            </w:r>
            <w:r>
              <w:rPr>
                <w:rFonts w:hint="eastAsia"/>
                <w:sz w:val="20"/>
                <w:lang w:val="en-US" w:eastAsia="zh-CN"/>
              </w:rPr>
              <w:t>6.6.5</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hint="eastAsia" w:eastAsia="宋体"/>
                <w:sz w:val="20"/>
                <w:lang w:val="en-US" w:eastAsia="zh-CN"/>
              </w:rPr>
              <w:t>see 38.10</w:t>
            </w:r>
            <w:r>
              <w:rPr>
                <w:rFonts w:hint="eastAsia"/>
                <w:sz w:val="20"/>
                <w:lang w:val="en-US" w:eastAsia="zh-CN"/>
              </w:rPr>
              <w:t>1-1</w:t>
            </w:r>
            <w:r>
              <w:rPr>
                <w:rFonts w:hint="eastAsia" w:eastAsia="宋体"/>
                <w:sz w:val="20"/>
                <w:lang w:val="en-US" w:eastAsia="zh-CN"/>
              </w:rPr>
              <w:t xml:space="preserve"> section 6.</w:t>
            </w:r>
            <w:r>
              <w:rPr>
                <w:rFonts w:hint="eastAsia"/>
                <w:sz w:val="20"/>
                <w:lang w:val="en-US" w:eastAsia="zh-CN"/>
              </w:rPr>
              <w:t>5</w:t>
            </w:r>
            <w:r>
              <w:rPr>
                <w:rFonts w:hint="eastAsia" w:eastAsia="宋体"/>
                <w:sz w:val="20"/>
                <w:lang w:val="en-US" w:eastAsia="zh-CN"/>
              </w:rPr>
              <w:t>.</w:t>
            </w:r>
            <w:r>
              <w:rPr>
                <w:rFonts w:hint="eastAsia"/>
                <w:sz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4.5</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Maximum output power (dBm)</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eastAsia="宋体"/>
                <w:sz w:val="20"/>
                <w:lang w:val="en-US" w:eastAsia="zh-CN"/>
              </w:rPr>
            </w:pPr>
            <w:r>
              <w:rPr>
                <w:sz w:val="20"/>
              </w:rPr>
              <w:t>Defined by the conducted power per antenna element,</w:t>
            </w:r>
            <w:r>
              <w:rPr>
                <w:rFonts w:hint="eastAsia"/>
                <w:sz w:val="20"/>
                <w:lang w:val="en-US" w:eastAsia="zh-CN"/>
              </w:rPr>
              <w:t xml:space="preserve"> 22dB for macro suburban, 22dB for macro urban, 16dB for small cell outdoor/micro urban, 9dB for small cell indoor/indoor urban</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宋体"/>
                <w:sz w:val="20"/>
                <w:lang w:val="en-US" w:eastAsia="zh-CN"/>
              </w:rPr>
            </w:pPr>
            <w:r>
              <w:rPr>
                <w:rFonts w:hint="eastAsia" w:eastAsia="宋体"/>
                <w:sz w:val="20"/>
                <w:lang w:val="en-US"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br w:type="page"/>
            </w:r>
            <w:r>
              <w:rPr>
                <w:rFonts w:eastAsia="MS Mincho"/>
                <w:sz w:val="20"/>
              </w:rPr>
              <w:t>5</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Receiver characteristics</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5.1</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Noise figure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sz w:val="20"/>
              </w:rPr>
              <w:t>6 dB (Wide Area BS)</w:t>
            </w:r>
            <w:r>
              <w:rPr>
                <w:sz w:val="20"/>
              </w:rPr>
              <w:br w:type="textWrapping"/>
            </w:r>
            <w:r>
              <w:rPr>
                <w:sz w:val="20"/>
              </w:rPr>
              <w:t>11 dB (Medium Range BS)</w:t>
            </w:r>
            <w:r>
              <w:rPr>
                <w:sz w:val="20"/>
              </w:rPr>
              <w:br w:type="textWrapping"/>
            </w:r>
            <w:r>
              <w:rPr>
                <w:sz w:val="20"/>
              </w:rPr>
              <w:t>14 dB (Local Area BS)</w:t>
            </w: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宋体"/>
                <w:sz w:val="20"/>
                <w:lang w:val="en-US" w:eastAsia="zh-CN"/>
              </w:rPr>
            </w:pPr>
            <w:r>
              <w:rPr>
                <w:rFonts w:hint="eastAsia" w:eastAsia="宋体"/>
                <w:sz w:val="20"/>
                <w:lang w:val="en-US" w:eastAsia="zh-CN"/>
              </w:rPr>
              <w:t>9-13dB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Sensitivity (dBm)</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MS Mincho"/>
                <w:sz w:val="20"/>
                <w:lang w:val="en-US"/>
              </w:rPr>
            </w:pPr>
            <w:r>
              <w:rPr>
                <w:rFonts w:hint="eastAsia" w:eastAsia="宋体"/>
                <w:sz w:val="20"/>
                <w:lang w:val="en-US" w:eastAsia="zh-CN"/>
              </w:rPr>
              <w:t xml:space="preserve"> see 38.104 section </w:t>
            </w:r>
            <w:r>
              <w:rPr>
                <w:rFonts w:hint="eastAsia"/>
                <w:sz w:val="20"/>
                <w:lang w:val="en-US" w:eastAsia="zh-CN"/>
              </w:rPr>
              <w:t>7.2.2</w:t>
            </w: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MS Mincho"/>
                <w:sz w:val="20"/>
                <w:lang w:val="en-US"/>
              </w:rPr>
            </w:pPr>
            <w:r>
              <w:rPr>
                <w:rFonts w:hint="eastAsia" w:eastAsia="宋体"/>
                <w:sz w:val="20"/>
                <w:lang w:val="en-US" w:eastAsia="zh-CN"/>
              </w:rPr>
              <w:t>see 38.10</w:t>
            </w:r>
            <w:r>
              <w:rPr>
                <w:rFonts w:hint="eastAsia"/>
                <w:sz w:val="20"/>
                <w:lang w:val="en-US" w:eastAsia="zh-CN"/>
              </w:rPr>
              <w:t>1-1</w:t>
            </w:r>
            <w:r>
              <w:rPr>
                <w:rFonts w:hint="eastAsia" w:eastAsia="宋体"/>
                <w:sz w:val="20"/>
                <w:lang w:val="en-US" w:eastAsia="zh-CN"/>
              </w:rPr>
              <w:t xml:space="preserve"> section </w:t>
            </w:r>
            <w:r>
              <w:rPr>
                <w:rFonts w:hint="eastAsia"/>
                <w:sz w:val="20"/>
                <w:lang w:val="en-US" w:eastAsia="zh-CN"/>
              </w:rPr>
              <w:t>7.3.2 for band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Blocking response</w:t>
            </w:r>
          </w:p>
        </w:tc>
        <w:tc>
          <w:tcPr>
            <w:tcW w:w="1443" w:type="pct"/>
            <w:vAlign w:val="to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eastAsia"/>
                <w:sz w:val="20"/>
                <w:lang w:val="en-US" w:eastAsia="zh-CN"/>
              </w:rPr>
            </w:pPr>
            <w:r>
              <w:rPr>
                <w:rFonts w:hint="eastAsia"/>
                <w:sz w:val="20"/>
                <w:lang w:val="en-US" w:eastAsia="zh-CN"/>
              </w:rPr>
              <w:t>In-band blocking:</w:t>
            </w:r>
            <w:r>
              <w:rPr>
                <w:rFonts w:hint="eastAsia" w:eastAsia="宋体"/>
                <w:sz w:val="20"/>
                <w:lang w:val="en-US" w:eastAsia="zh-CN"/>
              </w:rPr>
              <w:t xml:space="preserve"> see 38.104 section </w:t>
            </w:r>
            <w:r>
              <w:rPr>
                <w:rFonts w:hint="eastAsia"/>
                <w:sz w:val="20"/>
                <w:lang w:val="en-US" w:eastAsia="zh-CN"/>
              </w:rPr>
              <w:t>7.4.2</w:t>
            </w:r>
          </w:p>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eastAsia"/>
                <w:sz w:val="20"/>
                <w:lang w:val="en-US" w:eastAsia="zh-CN"/>
              </w:rPr>
            </w:pPr>
            <w:r>
              <w:rPr>
                <w:rFonts w:hint="eastAsia"/>
                <w:sz w:val="20"/>
                <w:lang w:val="en-US" w:eastAsia="zh-CN"/>
              </w:rPr>
              <w:t xml:space="preserve">Out-of-band blocking: </w:t>
            </w:r>
            <w:r>
              <w:rPr>
                <w:rFonts w:hint="eastAsia" w:eastAsia="宋体"/>
                <w:sz w:val="20"/>
                <w:lang w:val="en-US" w:eastAsia="zh-CN"/>
              </w:rPr>
              <w:t xml:space="preserve">see 38.104 section </w:t>
            </w:r>
            <w:r>
              <w:rPr>
                <w:rFonts w:hint="eastAsia"/>
                <w:sz w:val="20"/>
                <w:lang w:val="en-US" w:eastAsia="zh-CN"/>
              </w:rPr>
              <w:t>7.5.2</w:t>
            </w:r>
          </w:p>
        </w:tc>
        <w:tc>
          <w:tcPr>
            <w:tcW w:w="1442" w:type="pct"/>
            <w:vAlign w:val="to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eastAsia"/>
                <w:sz w:val="20"/>
                <w:lang w:val="en-US" w:eastAsia="zh-CN"/>
              </w:rPr>
            </w:pPr>
            <w:r>
              <w:rPr>
                <w:rFonts w:hint="eastAsia"/>
                <w:sz w:val="20"/>
                <w:lang w:val="en-US" w:eastAsia="zh-CN"/>
              </w:rPr>
              <w:t xml:space="preserve">In-band blocking: </w:t>
            </w:r>
            <w:r>
              <w:rPr>
                <w:rFonts w:hint="eastAsia" w:eastAsia="宋体"/>
                <w:sz w:val="20"/>
                <w:lang w:val="en-US" w:eastAsia="zh-CN"/>
              </w:rPr>
              <w:t>see 38.10</w:t>
            </w:r>
            <w:r>
              <w:rPr>
                <w:rFonts w:hint="eastAsia"/>
                <w:sz w:val="20"/>
                <w:lang w:val="en-US" w:eastAsia="zh-CN"/>
              </w:rPr>
              <w:t>1-1</w:t>
            </w:r>
            <w:r>
              <w:rPr>
                <w:rFonts w:hint="eastAsia" w:eastAsia="宋体"/>
                <w:sz w:val="20"/>
                <w:lang w:val="en-US" w:eastAsia="zh-CN"/>
              </w:rPr>
              <w:t xml:space="preserve"> </w:t>
            </w:r>
            <w:r>
              <w:rPr>
                <w:rFonts w:hint="eastAsia"/>
                <w:sz w:val="20"/>
                <w:lang w:val="en-US" w:eastAsia="zh-CN"/>
              </w:rPr>
              <w:t>table</w:t>
            </w:r>
            <w:r>
              <w:rPr>
                <w:rFonts w:hint="eastAsia" w:eastAsia="宋体"/>
                <w:sz w:val="20"/>
                <w:lang w:val="en-US" w:eastAsia="zh-CN"/>
              </w:rPr>
              <w:t xml:space="preserve"> </w:t>
            </w:r>
            <w:r>
              <w:rPr>
                <w:rFonts w:hint="eastAsia"/>
                <w:sz w:val="20"/>
                <w:lang w:val="en-US" w:eastAsia="zh-CN"/>
              </w:rPr>
              <w:t>7.6.2-4 for band n104</w:t>
            </w:r>
          </w:p>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eastAsia"/>
                <w:sz w:val="20"/>
                <w:lang w:val="en-US" w:eastAsia="zh-CN"/>
              </w:rPr>
            </w:pPr>
            <w:r>
              <w:rPr>
                <w:rFonts w:hint="eastAsia"/>
                <w:sz w:val="20"/>
                <w:lang w:val="en-US" w:eastAsia="zh-CN"/>
              </w:rPr>
              <w:t xml:space="preserve">Out-of-band blocking: </w:t>
            </w:r>
            <w:r>
              <w:rPr>
                <w:rFonts w:hint="eastAsia" w:eastAsia="宋体"/>
                <w:sz w:val="20"/>
                <w:lang w:val="en-US" w:eastAsia="zh-CN"/>
              </w:rPr>
              <w:t>see 38.10</w:t>
            </w:r>
            <w:r>
              <w:rPr>
                <w:rFonts w:hint="eastAsia"/>
                <w:sz w:val="20"/>
                <w:lang w:val="en-US" w:eastAsia="zh-CN"/>
              </w:rPr>
              <w:t>1-1</w:t>
            </w:r>
            <w:r>
              <w:rPr>
                <w:rFonts w:hint="eastAsia" w:eastAsia="宋体"/>
                <w:sz w:val="20"/>
                <w:lang w:val="en-US" w:eastAsia="zh-CN"/>
              </w:rPr>
              <w:t xml:space="preserve"> </w:t>
            </w:r>
            <w:r>
              <w:rPr>
                <w:rFonts w:hint="eastAsia"/>
                <w:sz w:val="20"/>
                <w:lang w:val="en-US" w:eastAsia="zh-CN"/>
              </w:rPr>
              <w:t>table 7.6.3-4</w:t>
            </w:r>
            <w:r>
              <w:rPr>
                <w:rFonts w:hint="eastAsia" w:eastAsia="宋体"/>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5.4</w:t>
            </w:r>
          </w:p>
        </w:tc>
        <w:tc>
          <w:tcPr>
            <w:tcW w:w="1734"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ACS</w:t>
            </w:r>
          </w:p>
        </w:tc>
        <w:tc>
          <w:tcPr>
            <w:tcW w:w="1443"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宋体"/>
                <w:sz w:val="20"/>
                <w:lang w:val="en-US" w:eastAsia="zh-CN"/>
              </w:rPr>
            </w:pPr>
            <w:r>
              <w:rPr>
                <w:rFonts w:hint="eastAsia" w:eastAsia="宋体"/>
                <w:sz w:val="20"/>
                <w:lang w:val="en-US" w:eastAsia="zh-CN"/>
              </w:rPr>
              <w:t>42dB</w:t>
            </w:r>
          </w:p>
        </w:tc>
        <w:tc>
          <w:tcPr>
            <w:tcW w:w="1442"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eastAsia="宋体"/>
                <w:sz w:val="20"/>
                <w:lang w:val="en-US" w:eastAsia="zh-CN"/>
              </w:rPr>
            </w:pPr>
            <w:r>
              <w:rPr>
                <w:rFonts w:hint="eastAsia" w:eastAsia="宋体"/>
                <w:sz w:val="20"/>
                <w:lang w:val="en-US" w:eastAsia="zh-CN"/>
              </w:rPr>
              <w:t>32dB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5.5</w:t>
            </w:r>
          </w:p>
        </w:tc>
        <w:tc>
          <w:tcPr>
            <w:tcW w:w="1734"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SINR operating range (dB)</w:t>
            </w:r>
          </w:p>
        </w:tc>
        <w:tc>
          <w:tcPr>
            <w:tcW w:w="2885" w:type="pct"/>
            <w:gridSpan w:val="2"/>
            <w:tcBorders>
              <w:bottom w:val="single" w:color="auto" w:sz="4" w:space="0"/>
            </w:tcBorders>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eastAsia="宋体"/>
                <w:sz w:val="20"/>
                <w:lang w:val="en-US" w:eastAsia="zh-CN"/>
              </w:rPr>
            </w:pPr>
            <w:r>
              <w:rPr>
                <w:rFonts w:hint="eastAsia" w:eastAsia="宋体"/>
                <w:sz w:val="20"/>
                <w:lang w:val="en-US" w:eastAsia="zh-CN"/>
              </w:rPr>
              <w:t>As below</w:t>
            </w:r>
          </w:p>
        </w:tc>
      </w:tr>
    </w:tbl>
    <w:p>
      <w:pPr>
        <w:numPr>
          <w:ilvl w:val="0"/>
          <w:numId w:val="0"/>
        </w:numPr>
        <w:spacing w:after="180"/>
        <w:ind w:leftChars="0"/>
        <w:rPr>
          <w:rFonts w:hint="default" w:ascii="Times New Roman" w:hAnsi="Times New Roman" w:cs="Times New Roman"/>
          <w:b/>
          <w:bCs/>
          <w:sz w:val="20"/>
          <w:szCs w:val="20"/>
          <w:lang w:val="en-US" w:eastAsia="zh-CN"/>
        </w:rPr>
      </w:pPr>
    </w:p>
    <w:p>
      <w:pPr>
        <w:tabs>
          <w:tab w:val="left" w:pos="1134"/>
          <w:tab w:val="left" w:pos="1871"/>
          <w:tab w:val="left" w:pos="2268"/>
        </w:tabs>
        <w:rPr>
          <w:rFonts w:hint="default" w:ascii="Times New Roman" w:hAnsi="Times New Roman" w:cs="Times New Roman"/>
          <w:sz w:val="20"/>
          <w:szCs w:val="20"/>
        </w:rPr>
      </w:pPr>
      <w:r>
        <w:rPr>
          <w:rFonts w:hint="default" w:ascii="Times New Roman" w:hAnsi="Times New Roman" w:cs="Times New Roman"/>
          <w:sz w:val="20"/>
          <w:szCs w:val="20"/>
        </w:rPr>
        <w:t xml:space="preserve">The following equations approximate the throughput over a channel with a given SINR (dB), when using link adaptation: </w:t>
      </w:r>
    </w:p>
    <w:p>
      <w:pPr>
        <w:tabs>
          <w:tab w:val="left" w:pos="1134"/>
          <w:tab w:val="center" w:pos="4820"/>
          <w:tab w:val="right" w:pos="9639"/>
        </w:tabs>
        <w:rPr>
          <w:rFonts w:hint="default" w:ascii="Times New Roman" w:hAnsi="Times New Roman" w:cs="Times New Roman"/>
          <w:sz w:val="20"/>
          <w:szCs w:val="20"/>
        </w:rPr>
      </w:pPr>
      <m:oMathPara>
        <m:oMathParaPr>
          <m:jc m:val="center"/>
        </m:oMathParaPr>
        <m:oMath>
          <m:r>
            <m:rPr/>
            <w:rPr>
              <w:rFonts w:hint="default" w:ascii="Cambria Math" w:hAnsi="Cambria Math" w:cs="Times New Roman"/>
              <w:sz w:val="20"/>
              <w:szCs w:val="20"/>
            </w:rPr>
            <m:t>Tℎrougℎput</m:t>
          </m:r>
          <m:r>
            <m:rPr>
              <m:sty m:val="p"/>
            </m:rPr>
            <w:rPr>
              <w:rFonts w:hint="default" w:ascii="Cambria Math" w:hAnsi="Cambria Math" w:cs="Times New Roman"/>
              <w:sz w:val="20"/>
              <w:szCs w:val="20"/>
            </w:rPr>
            <m:t xml:space="preserve"> </m:t>
          </m:r>
          <m:d>
            <m:dPr>
              <m:ctrlPr>
                <w:rPr>
                  <w:rFonts w:hint="default" w:ascii="Cambria Math" w:hAnsi="Cambria Math" w:cs="Times New Roman"/>
                  <w:sz w:val="20"/>
                  <w:szCs w:val="20"/>
                </w:rPr>
              </m:ctrlPr>
            </m:dPr>
            <m:e>
              <m:r>
                <m:rPr/>
                <w:rPr>
                  <w:rFonts w:hint="default" w:ascii="Cambria Math" w:hAnsi="Cambria Math" w:cs="Times New Roman"/>
                  <w:sz w:val="20"/>
                  <w:szCs w:val="20"/>
                </w:rPr>
                <m:t>SINR</m:t>
              </m:r>
              <m:ctrlPr>
                <w:rPr>
                  <w:rFonts w:hint="default" w:ascii="Cambria Math" w:hAnsi="Cambria Math" w:cs="Times New Roman"/>
                  <w:sz w:val="20"/>
                  <w:szCs w:val="20"/>
                </w:rPr>
              </m:ctrlPr>
            </m:e>
          </m:d>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bps</m:t>
          </m:r>
          <m:r>
            <m:rPr>
              <m:sty m:val="p"/>
            </m:rPr>
            <w:rPr>
              <w:rFonts w:hint="default" w:ascii="Cambria Math" w:hAnsi="Cambria Math" w:cs="Times New Roman"/>
              <w:sz w:val="20"/>
              <w:szCs w:val="20"/>
            </w:rPr>
            <m:t>/</m:t>
          </m:r>
          <m:r>
            <m:rPr/>
            <w:rPr>
              <w:rFonts w:hint="default" w:ascii="Cambria Math" w:hAnsi="Cambria Math" w:cs="Times New Roman"/>
              <w:sz w:val="20"/>
              <w:szCs w:val="20"/>
            </w:rPr>
            <m:t>Hz</m:t>
          </m:r>
          <m:r>
            <m:rPr>
              <m:sty m:val="p"/>
            </m:rPr>
            <w:rPr>
              <w:rFonts w:hint="default" w:ascii="Cambria Math" w:hAnsi="Cambria Math" w:cs="Times New Roman"/>
              <w:sz w:val="20"/>
              <w:szCs w:val="20"/>
            </w:rPr>
            <m:t xml:space="preserve"> =</m:t>
          </m:r>
          <m:d>
            <m:dPr>
              <m:begChr m:val="{"/>
              <m:endChr m:val=""/>
              <m:ctrlPr>
                <w:rPr>
                  <w:rFonts w:hint="default" w:ascii="Cambria Math" w:hAnsi="Cambria Math" w:cs="Times New Roman"/>
                  <w:sz w:val="20"/>
                  <w:szCs w:val="20"/>
                </w:rPr>
              </m:ctrlPr>
            </m:dPr>
            <m:e>
              <m:eqArr>
                <m:eqArrPr>
                  <m:ctrlPr>
                    <w:rPr>
                      <w:rFonts w:hint="default" w:ascii="Cambria Math" w:hAnsi="Cambria Math" w:cs="Times New Roman"/>
                      <w:sz w:val="20"/>
                      <w:szCs w:val="20"/>
                    </w:rPr>
                  </m:ctrlPr>
                </m:eqArrPr>
                <m:e>
                  <m:r>
                    <m:rPr>
                      <m:sty m:val="p"/>
                    </m:rPr>
                    <w:rPr>
                      <w:rFonts w:hint="default" w:ascii="Cambria Math" w:hAnsi="Cambria Math" w:cs="Times New Roman"/>
                      <w:sz w:val="20"/>
                      <w:szCs w:val="20"/>
                    </w:rPr>
                    <m:t xml:space="preserve">0                        </m:t>
                  </m:r>
                  <m:r>
                    <m:rPr/>
                    <w:rPr>
                      <w:rFonts w:hint="default" w:ascii="Cambria Math" w:hAnsi="Cambria Math" w:cs="Times New Roman"/>
                      <w:sz w:val="20"/>
                      <w:szCs w:val="20"/>
                    </w:rPr>
                    <m:t>for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SINR</m:t>
                  </m:r>
                  <m:r>
                    <m:rPr>
                      <m:sty m:val="p"/>
                    </m:rPr>
                    <w:rPr>
                      <w:rFonts w:hint="default" w:ascii="Cambria Math" w:hAnsi="Cambria Math" w:cs="Times New Roman"/>
                      <w:sz w:val="20"/>
                      <w:szCs w:val="20"/>
                    </w:rPr>
                    <m:t xml:space="preserve">&lt; </m:t>
                  </m:r>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MIN</m:t>
                      </m:r>
                      <m:ctrlPr>
                        <w:rPr>
                          <w:rFonts w:hint="default" w:ascii="Cambria Math" w:hAnsi="Cambria Math" w:cs="Times New Roman"/>
                          <w:sz w:val="20"/>
                          <w:szCs w:val="20"/>
                        </w:rPr>
                      </m:ctrlPr>
                    </m:sub>
                  </m:sSub>
                  <m:ctrlPr>
                    <w:rPr>
                      <w:rFonts w:hint="default" w:ascii="Cambria Math" w:hAnsi="Cambria Math" w:cs="Times New Roman"/>
                      <w:sz w:val="20"/>
                      <w:szCs w:val="20"/>
                    </w:rPr>
                  </m:ctrlPr>
                </m:e>
                <m:e>
                  <m:r>
                    <m:rPr>
                      <m:sty m:val="p"/>
                    </m:rPr>
                    <w:rPr>
                      <w:rFonts w:hint="default" w:ascii="Cambria Math" w:hAnsi="Cambria Math" w:cs="Times New Roman"/>
                      <w:sz w:val="20"/>
                      <w:szCs w:val="20"/>
                    </w:rPr>
                    <m:t>α∙</m:t>
                  </m:r>
                  <m:r>
                    <m:rPr/>
                    <w:rPr>
                      <w:rFonts w:hint="default" w:ascii="Cambria Math" w:hAnsi="Cambria Math" w:cs="Times New Roman"/>
                      <w:sz w:val="20"/>
                      <w:szCs w:val="20"/>
                    </w:rPr>
                    <m:t>S</m:t>
                  </m:r>
                  <m:d>
                    <m:dPr>
                      <m:ctrlPr>
                        <w:rPr>
                          <w:rFonts w:hint="default" w:ascii="Cambria Math" w:hAnsi="Cambria Math" w:cs="Times New Roman"/>
                          <w:sz w:val="20"/>
                          <w:szCs w:val="20"/>
                        </w:rPr>
                      </m:ctrlPr>
                    </m:dPr>
                    <m:e>
                      <m:r>
                        <m:rPr/>
                        <w:rPr>
                          <w:rFonts w:hint="default" w:ascii="Cambria Math" w:hAnsi="Cambria Math" w:cs="Times New Roman"/>
                          <w:sz w:val="20"/>
                          <w:szCs w:val="20"/>
                        </w:rPr>
                        <m:t>SINR</m:t>
                      </m:r>
                      <m:ctrlPr>
                        <w:rPr>
                          <w:rFonts w:hint="default" w:ascii="Cambria Math" w:hAnsi="Cambria Math" w:cs="Times New Roman"/>
                          <w:sz w:val="20"/>
                          <w:szCs w:val="20"/>
                        </w:rPr>
                      </m:ctrlPr>
                    </m:e>
                  </m:d>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for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MIN</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m:t>
                  </m:r>
                  <m:r>
                    <m:rPr/>
                    <w:rPr>
                      <w:rFonts w:hint="default" w:ascii="Cambria Math" w:hAnsi="Cambria Math" w:cs="Times New Roman"/>
                      <w:sz w:val="20"/>
                      <w:szCs w:val="20"/>
                    </w:rPr>
                    <m:t>SINR</m:t>
                  </m:r>
                  <m:r>
                    <m:rPr>
                      <m:sty m:val="p"/>
                    </m:rPr>
                    <w:rPr>
                      <w:rFonts w:hint="default" w:ascii="Cambria Math" w:hAnsi="Cambria Math" w:cs="Times New Roman"/>
                      <w:sz w:val="20"/>
                      <w:szCs w:val="20"/>
                    </w:rPr>
                    <m:t>&lt;</m:t>
                  </m:r>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MAX</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 xml:space="preserve"> </m:t>
                  </m:r>
                  <m:ctrlPr>
                    <w:rPr>
                      <w:rFonts w:hint="default" w:ascii="Cambria Math" w:hAnsi="Cambria Math" w:cs="Times New Roman"/>
                      <w:sz w:val="20"/>
                      <w:szCs w:val="20"/>
                    </w:rPr>
                  </m:ctrlPr>
                </m:e>
                <m:e>
                  <m:r>
                    <m:rPr>
                      <m:sty m:val="p"/>
                    </m:rPr>
                    <w:rPr>
                      <w:rFonts w:hint="default" w:ascii="Cambria Math" w:hAnsi="Cambria Math" w:cs="Times New Roman"/>
                      <w:sz w:val="20"/>
                      <w:szCs w:val="20"/>
                    </w:rPr>
                    <m:t>α∙</m:t>
                  </m:r>
                  <m:r>
                    <m:rPr/>
                    <w:rPr>
                      <w:rFonts w:hint="default" w:ascii="Cambria Math" w:hAnsi="Cambria Math" w:cs="Times New Roman"/>
                      <w:sz w:val="20"/>
                      <w:szCs w:val="20"/>
                    </w:rPr>
                    <m:t>S</m:t>
                  </m:r>
                  <m:d>
                    <m:dPr>
                      <m:ctrlPr>
                        <w:rPr>
                          <w:rFonts w:hint="default" w:ascii="Cambria Math" w:hAnsi="Cambria Math" w:cs="Times New Roman"/>
                          <w:sz w:val="20"/>
                          <w:szCs w:val="20"/>
                        </w:rPr>
                      </m:ctrlPr>
                    </m:dPr>
                    <m:e>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MAX</m:t>
                          </m:r>
                          <m:ctrlPr>
                            <w:rPr>
                              <w:rFonts w:hint="default" w:ascii="Cambria Math" w:hAnsi="Cambria Math" w:cs="Times New Roman"/>
                              <w:sz w:val="20"/>
                              <w:szCs w:val="20"/>
                            </w:rPr>
                          </m:ctrlPr>
                        </m:sub>
                      </m:sSub>
                      <m:ctrlPr>
                        <w:rPr>
                          <w:rFonts w:hint="default" w:ascii="Cambria Math" w:hAnsi="Cambria Math" w:cs="Times New Roman"/>
                          <w:sz w:val="20"/>
                          <w:szCs w:val="20"/>
                        </w:rPr>
                      </m:ctrlPr>
                    </m:e>
                  </m:d>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for</m:t>
                  </m:r>
                  <m:r>
                    <m:rPr>
                      <m:sty m:val="p"/>
                    </m:rPr>
                    <w:rPr>
                      <w:rFonts w:hint="default" w:ascii="Cambria Math" w:hAnsi="Cambria Math" w:cs="Times New Roman"/>
                      <w:sz w:val="20"/>
                      <w:szCs w:val="20"/>
                    </w:rPr>
                    <m:t xml:space="preserve"> </m:t>
                  </m:r>
                  <m:r>
                    <m:rPr/>
                    <w:rPr>
                      <w:rFonts w:hint="default" w:ascii="Cambria Math" w:hAnsi="Cambria Math" w:cs="Times New Roman"/>
                      <w:sz w:val="20"/>
                      <w:szCs w:val="20"/>
                    </w:rPr>
                    <m:t>SINR</m:t>
                  </m:r>
                  <m:r>
                    <m:rPr>
                      <m:sty m:val="p"/>
                    </m:rPr>
                    <w:rPr>
                      <w:rFonts w:hint="default" w:ascii="Cambria Math" w:hAnsi="Cambria Math" w:cs="Times New Roman"/>
                      <w:sz w:val="20"/>
                      <w:szCs w:val="20"/>
                    </w:rPr>
                    <m:t xml:space="preserve"> ≥ </m:t>
                  </m:r>
                  <m:r>
                    <m:rPr/>
                    <w:rPr>
                      <w:rFonts w:hint="default" w:ascii="Cambria Math" w:hAnsi="Cambria Math" w:cs="Times New Roman"/>
                      <w:sz w:val="20"/>
                      <w:szCs w:val="20"/>
                    </w:rPr>
                    <m:t>SIN</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R</m:t>
                      </m:r>
                      <m:ctrlPr>
                        <w:rPr>
                          <w:rFonts w:hint="default" w:ascii="Cambria Math" w:hAnsi="Cambria Math" w:cs="Times New Roman"/>
                          <w:sz w:val="20"/>
                          <w:szCs w:val="20"/>
                        </w:rPr>
                      </m:ctrlPr>
                    </m:e>
                    <m:sub>
                      <m:r>
                        <m:rPr/>
                        <w:rPr>
                          <w:rFonts w:hint="default" w:ascii="Cambria Math" w:hAnsi="Cambria Math" w:cs="Times New Roman"/>
                          <w:sz w:val="20"/>
                          <w:szCs w:val="20"/>
                        </w:rPr>
                        <m:t>MAX</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 xml:space="preserve">                        </m:t>
                  </m:r>
                  <m:ctrlPr>
                    <w:rPr>
                      <w:rFonts w:hint="default" w:ascii="Cambria Math" w:hAnsi="Cambria Math" w:cs="Times New Roman"/>
                      <w:sz w:val="20"/>
                      <w:szCs w:val="20"/>
                    </w:rPr>
                  </m:ctrlPr>
                </m:e>
              </m:eqArr>
              <m:ctrlPr>
                <w:rPr>
                  <w:rFonts w:hint="default" w:ascii="Cambria Math" w:hAnsi="Cambria Math" w:cs="Times New Roman"/>
                  <w:sz w:val="20"/>
                  <w:szCs w:val="20"/>
                </w:rPr>
              </m:ctrlPr>
            </m:e>
          </m:d>
        </m:oMath>
      </m:oMathPara>
    </w:p>
    <w:p>
      <w:pPr>
        <w:tabs>
          <w:tab w:val="left" w:pos="1134"/>
          <w:tab w:val="left" w:pos="1871"/>
          <w:tab w:val="left" w:pos="2268"/>
        </w:tabs>
        <w:rPr>
          <w:rFonts w:hint="default" w:ascii="Times New Roman" w:hAnsi="Times New Roman" w:cs="Times New Roman"/>
          <w:sz w:val="20"/>
          <w:szCs w:val="20"/>
        </w:rPr>
      </w:pPr>
      <w:r>
        <w:rPr>
          <w:rFonts w:hint="default" w:ascii="Times New Roman" w:hAnsi="Times New Roman" w:cs="Times New Roman"/>
          <w:sz w:val="20"/>
          <w:szCs w:val="20"/>
        </w:rPr>
        <w:t>where:</w:t>
      </w:r>
    </w:p>
    <w:p>
      <w:pPr>
        <w:tabs>
          <w:tab w:val="right" w:pos="1871"/>
          <w:tab w:val="left" w:pos="2041"/>
        </w:tabs>
        <w:spacing w:before="80"/>
        <w:ind w:left="2041" w:hanging="2041"/>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i/>
          <w:iCs/>
          <w:sz w:val="20"/>
          <w:szCs w:val="20"/>
        </w:rPr>
        <w:t>S</w:t>
      </w:r>
      <w:r>
        <w:rPr>
          <w:rFonts w:hint="default" w:ascii="Times New Roman" w:hAnsi="Times New Roman" w:cs="Times New Roman"/>
          <w:sz w:val="20"/>
          <w:szCs w:val="20"/>
        </w:rPr>
        <w:t>(</w:t>
      </w:r>
      <w:r>
        <w:rPr>
          <w:rFonts w:hint="default" w:ascii="Times New Roman" w:hAnsi="Times New Roman" w:cs="Times New Roman"/>
          <w:i/>
          <w:iCs/>
          <w:sz w:val="20"/>
          <w:szCs w:val="20"/>
        </w:rPr>
        <w:t>SINR</w:t>
      </w: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Shannon bound, </w:t>
      </w:r>
      <w:r>
        <w:rPr>
          <w:rFonts w:hint="default" w:ascii="Times New Roman" w:hAnsi="Times New Roman" w:cs="Times New Roman"/>
          <w:i/>
          <w:iCs/>
          <w:sz w:val="20"/>
          <w:szCs w:val="20"/>
        </w:rPr>
        <w:t>S</w:t>
      </w:r>
      <w:r>
        <w:rPr>
          <w:rFonts w:hint="default" w:ascii="Times New Roman" w:hAnsi="Times New Roman" w:cs="Times New Roman"/>
          <w:sz w:val="20"/>
          <w:szCs w:val="20"/>
        </w:rPr>
        <w:t>(</w:t>
      </w:r>
      <w:r>
        <w:rPr>
          <w:rFonts w:hint="default" w:ascii="Times New Roman" w:hAnsi="Times New Roman" w:cs="Times New Roman"/>
          <w:i/>
          <w:iCs/>
          <w:sz w:val="20"/>
          <w:szCs w:val="20"/>
        </w:rPr>
        <w:t>SINR</w:t>
      </w:r>
      <w:r>
        <w:rPr>
          <w:rFonts w:hint="default" w:ascii="Times New Roman" w:hAnsi="Times New Roman" w:cs="Times New Roman"/>
          <w:sz w:val="20"/>
          <w:szCs w:val="20"/>
        </w:rPr>
        <w:t>) =log</w:t>
      </w:r>
      <w:r>
        <w:rPr>
          <w:rFonts w:hint="default" w:ascii="Times New Roman" w:hAnsi="Times New Roman" w:cs="Times New Roman"/>
          <w:sz w:val="20"/>
          <w:szCs w:val="20"/>
          <w:vertAlign w:val="subscript"/>
        </w:rPr>
        <w:t>2</w:t>
      </w:r>
      <w:r>
        <w:rPr>
          <w:rFonts w:hint="default" w:ascii="Times New Roman" w:hAnsi="Times New Roman" w:cs="Times New Roman"/>
          <w:sz w:val="20"/>
          <w:szCs w:val="20"/>
        </w:rPr>
        <w:t>(1 + 10</w:t>
      </w:r>
      <w:r>
        <w:rPr>
          <w:rFonts w:hint="default" w:ascii="Times New Roman" w:hAnsi="Times New Roman" w:cs="Times New Roman"/>
          <w:i/>
          <w:iCs/>
          <w:sz w:val="20"/>
          <w:szCs w:val="20"/>
          <w:vertAlign w:val="superscript"/>
        </w:rPr>
        <w:t>SINR</w:t>
      </w:r>
      <w:r>
        <w:rPr>
          <w:rFonts w:hint="default" w:ascii="Times New Roman" w:hAnsi="Times New Roman" w:cs="Times New Roman"/>
          <w:sz w:val="20"/>
          <w:szCs w:val="20"/>
          <w:vertAlign w:val="superscript"/>
        </w:rPr>
        <w:t>/10</w:t>
      </w:r>
      <w:r>
        <w:rPr>
          <w:rFonts w:hint="default" w:ascii="Times New Roman" w:hAnsi="Times New Roman" w:cs="Times New Roman"/>
          <w:sz w:val="20"/>
          <w:szCs w:val="20"/>
        </w:rPr>
        <w:t>) (bps/Hz);</w:t>
      </w:r>
    </w:p>
    <w:p>
      <w:pPr>
        <w:tabs>
          <w:tab w:val="right" w:pos="1871"/>
          <w:tab w:val="left" w:pos="2041"/>
        </w:tabs>
        <w:spacing w:before="80"/>
        <w:ind w:left="2041" w:hanging="2041"/>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sz w:val="20"/>
          <w:szCs w:val="20"/>
        </w:rPr>
        <w:sym w:font="Symbol" w:char="F061"/>
      </w:r>
      <w:r>
        <w:rPr>
          <w:rFonts w:hint="default" w:ascii="Times New Roman" w:hAnsi="Times New Roman" w:cs="Times New Roman"/>
          <w:sz w:val="20"/>
          <w:szCs w:val="20"/>
        </w:rPr>
        <w:tab/>
      </w:r>
      <w:r>
        <w:rPr>
          <w:rFonts w:hint="default" w:ascii="Times New Roman" w:hAnsi="Times New Roman" w:cs="Times New Roman"/>
          <w:sz w:val="20"/>
          <w:szCs w:val="20"/>
        </w:rPr>
        <w:t>Attenuation factor, representing implementation losses;</w:t>
      </w:r>
    </w:p>
    <w:p>
      <w:pPr>
        <w:tabs>
          <w:tab w:val="right" w:pos="1871"/>
          <w:tab w:val="left" w:pos="2041"/>
        </w:tabs>
        <w:spacing w:before="80"/>
        <w:ind w:left="2041" w:hanging="2041"/>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i/>
          <w:iCs/>
          <w:sz w:val="20"/>
          <w:szCs w:val="20"/>
        </w:rPr>
        <w:t>SINR</w:t>
      </w:r>
      <w:r>
        <w:rPr>
          <w:rFonts w:hint="default" w:ascii="Times New Roman" w:hAnsi="Times New Roman" w:cs="Times New Roman"/>
          <w:i/>
          <w:iCs/>
          <w:sz w:val="20"/>
          <w:szCs w:val="20"/>
          <w:vertAlign w:val="subscript"/>
        </w:rPr>
        <w:t>MIN</w:t>
      </w:r>
      <w:r>
        <w:rPr>
          <w:rFonts w:hint="default" w:ascii="Times New Roman" w:hAnsi="Times New Roman" w:cs="Times New Roman"/>
          <w:sz w:val="20"/>
          <w:szCs w:val="20"/>
        </w:rPr>
        <w:tab/>
      </w:r>
      <w:r>
        <w:rPr>
          <w:rFonts w:hint="default" w:ascii="Times New Roman" w:hAnsi="Times New Roman" w:cs="Times New Roman"/>
          <w:sz w:val="20"/>
          <w:szCs w:val="20"/>
        </w:rPr>
        <w:t>Minimum SINR of the code set,</w:t>
      </w:r>
      <w:bookmarkStart w:id="2" w:name="_GoBack"/>
      <w:bookmarkEnd w:id="2"/>
      <w:r>
        <w:rPr>
          <w:rFonts w:hint="default" w:ascii="Times New Roman" w:hAnsi="Times New Roman" w:cs="Times New Roman"/>
          <w:sz w:val="20"/>
          <w:szCs w:val="20"/>
        </w:rPr>
        <w:t xml:space="preserve"> dB;</w:t>
      </w:r>
    </w:p>
    <w:p>
      <w:pPr>
        <w:tabs>
          <w:tab w:val="right" w:pos="1871"/>
          <w:tab w:val="left" w:pos="2041"/>
        </w:tabs>
        <w:spacing w:before="80"/>
        <w:ind w:left="2041" w:hanging="2041"/>
        <w:rPr>
          <w:rFonts w:hint="default" w:ascii="Times New Roman" w:hAnsi="Times New Roman" w:cs="Times New Roman"/>
          <w:sz w:val="20"/>
          <w:szCs w:val="20"/>
        </w:rPr>
      </w:pPr>
      <w:r>
        <w:rPr>
          <w:rFonts w:hint="default" w:ascii="Times New Roman" w:hAnsi="Times New Roman" w:cs="Times New Roman"/>
          <w:sz w:val="20"/>
          <w:szCs w:val="20"/>
        </w:rPr>
        <w:tab/>
      </w:r>
      <w:r>
        <w:rPr>
          <w:rFonts w:hint="default" w:ascii="Times New Roman" w:hAnsi="Times New Roman" w:cs="Times New Roman"/>
          <w:i/>
          <w:iCs/>
          <w:sz w:val="20"/>
          <w:szCs w:val="20"/>
        </w:rPr>
        <w:t>SINR</w:t>
      </w:r>
      <w:r>
        <w:rPr>
          <w:rFonts w:hint="default" w:ascii="Times New Roman" w:hAnsi="Times New Roman" w:cs="Times New Roman"/>
          <w:i/>
          <w:iCs/>
          <w:sz w:val="20"/>
          <w:szCs w:val="20"/>
          <w:vertAlign w:val="subscript"/>
        </w:rPr>
        <w:t>MAX</w:t>
      </w:r>
      <w:r>
        <w:rPr>
          <w:rFonts w:hint="default" w:ascii="Times New Roman" w:hAnsi="Times New Roman" w:cs="Times New Roman"/>
          <w:sz w:val="20"/>
          <w:szCs w:val="20"/>
        </w:rPr>
        <w:tab/>
      </w:r>
      <w:r>
        <w:rPr>
          <w:rFonts w:hint="default" w:ascii="Times New Roman" w:hAnsi="Times New Roman" w:cs="Times New Roman"/>
          <w:sz w:val="20"/>
          <w:szCs w:val="20"/>
        </w:rPr>
        <w:t>Maximum SINR of the code set, dB.</w:t>
      </w:r>
    </w:p>
    <w:p>
      <w:pPr>
        <w:tabs>
          <w:tab w:val="left" w:pos="1134"/>
          <w:tab w:val="left" w:pos="1871"/>
          <w:tab w:val="left" w:pos="2268"/>
        </w:tabs>
        <w:jc w:val="both"/>
        <w:rPr>
          <w:rFonts w:hint="default" w:ascii="Times New Roman" w:hAnsi="Times New Roman" w:cs="Times New Roman"/>
          <w:sz w:val="20"/>
          <w:szCs w:val="20"/>
        </w:rPr>
      </w:pPr>
      <w:r>
        <w:rPr>
          <w:rFonts w:hint="default" w:ascii="Times New Roman" w:hAnsi="Times New Roman" w:cs="Times New Roman"/>
          <w:sz w:val="20"/>
          <w:szCs w:val="20"/>
        </w:rPr>
        <w:t xml:space="preserve">The parameters α, </w:t>
      </w:r>
      <w:r>
        <w:rPr>
          <w:rFonts w:hint="default" w:ascii="Times New Roman" w:hAnsi="Times New Roman" w:cs="Times New Roman"/>
          <w:i/>
          <w:iCs/>
          <w:sz w:val="20"/>
          <w:szCs w:val="20"/>
        </w:rPr>
        <w:t>SINR</w:t>
      </w:r>
      <w:r>
        <w:rPr>
          <w:rFonts w:hint="default" w:ascii="Times New Roman" w:hAnsi="Times New Roman" w:cs="Times New Roman"/>
          <w:i/>
          <w:iCs/>
          <w:sz w:val="20"/>
          <w:szCs w:val="20"/>
          <w:vertAlign w:val="subscript"/>
        </w:rPr>
        <w:t>MIN</w:t>
      </w:r>
      <w:r>
        <w:rPr>
          <w:rFonts w:hint="default" w:ascii="Times New Roman" w:hAnsi="Times New Roman" w:cs="Times New Roman"/>
          <w:sz w:val="20"/>
          <w:szCs w:val="20"/>
        </w:rPr>
        <w:t xml:space="preserve"> and </w:t>
      </w:r>
      <w:r>
        <w:rPr>
          <w:rFonts w:hint="default" w:ascii="Times New Roman" w:hAnsi="Times New Roman" w:cs="Times New Roman"/>
          <w:i/>
          <w:iCs/>
          <w:sz w:val="20"/>
          <w:szCs w:val="20"/>
        </w:rPr>
        <w:t>SINR</w:t>
      </w:r>
      <w:r>
        <w:rPr>
          <w:rFonts w:hint="default" w:ascii="Times New Roman" w:hAnsi="Times New Roman" w:cs="Times New Roman"/>
          <w:i/>
          <w:iCs/>
          <w:sz w:val="20"/>
          <w:szCs w:val="20"/>
          <w:vertAlign w:val="subscript"/>
        </w:rPr>
        <w:t>MAX</w:t>
      </w:r>
      <w:r>
        <w:rPr>
          <w:rFonts w:hint="default" w:ascii="Times New Roman" w:hAnsi="Times New Roman" w:cs="Times New Roman"/>
          <w:sz w:val="20"/>
          <w:szCs w:val="20"/>
        </w:rPr>
        <w:t xml:space="preserve"> can be chosen to represent different modem implementations and link conditions. The parameters proposed in Table 2 represent a baseline case, which assumes: </w:t>
      </w:r>
    </w:p>
    <w:p>
      <w:pPr>
        <w:tabs>
          <w:tab w:val="left" w:pos="1134"/>
          <w:tab w:val="left" w:pos="1871"/>
          <w:tab w:val="left" w:pos="2608"/>
          <w:tab w:val="left" w:pos="3345"/>
        </w:tabs>
        <w:spacing w:before="80"/>
        <w:ind w:left="1134" w:hanging="113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1:1 antenna configurations;</w:t>
      </w:r>
    </w:p>
    <w:p>
      <w:pPr>
        <w:tabs>
          <w:tab w:val="left" w:pos="1134"/>
          <w:tab w:val="left" w:pos="1871"/>
          <w:tab w:val="left" w:pos="2608"/>
          <w:tab w:val="left" w:pos="3345"/>
        </w:tabs>
        <w:spacing w:before="80"/>
        <w:ind w:left="1134" w:hanging="113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AWGN channel model; </w:t>
      </w:r>
    </w:p>
    <w:p>
      <w:pPr>
        <w:tabs>
          <w:tab w:val="left" w:pos="1134"/>
          <w:tab w:val="left" w:pos="1871"/>
          <w:tab w:val="left" w:pos="2608"/>
          <w:tab w:val="left" w:pos="3345"/>
        </w:tabs>
        <w:spacing w:before="80"/>
        <w:ind w:left="1134" w:hanging="113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Link Adaptation (see Table 2 for details of the highest and lowest rate codes);</w:t>
      </w:r>
    </w:p>
    <w:p>
      <w:pPr>
        <w:tabs>
          <w:tab w:val="left" w:pos="1134"/>
          <w:tab w:val="left" w:pos="1871"/>
          <w:tab w:val="left" w:pos="2608"/>
          <w:tab w:val="left" w:pos="3345"/>
        </w:tabs>
        <w:spacing w:before="80"/>
        <w:ind w:left="1134" w:hanging="1134"/>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No HARQ.</w:t>
      </w:r>
    </w:p>
    <w:p>
      <w:pPr>
        <w:keepNext/>
        <w:tabs>
          <w:tab w:val="left" w:pos="1134"/>
          <w:tab w:val="left" w:pos="1871"/>
          <w:tab w:val="left" w:pos="2268"/>
        </w:tabs>
        <w:spacing w:before="560" w:after="120"/>
        <w:jc w:val="center"/>
        <w:rPr>
          <w:rFonts w:hint="default" w:ascii="Times New Roman" w:hAnsi="Times New Roman" w:cs="Times New Roman"/>
          <w:caps/>
          <w:sz w:val="20"/>
          <w:szCs w:val="20"/>
        </w:rPr>
      </w:pPr>
      <w:r>
        <w:rPr>
          <w:rFonts w:hint="default" w:ascii="Times New Roman" w:hAnsi="Times New Roman" w:cs="Times New Roman"/>
          <w:caps/>
          <w:sz w:val="20"/>
          <w:szCs w:val="20"/>
        </w:rPr>
        <w:t>Table 2</w:t>
      </w:r>
    </w:p>
    <w:p>
      <w:pPr>
        <w:keepNext/>
        <w:keepLines/>
        <w:tabs>
          <w:tab w:val="left" w:pos="1134"/>
          <w:tab w:val="left" w:pos="1871"/>
          <w:tab w:val="left" w:pos="2268"/>
        </w:tabs>
        <w:spacing w:before="0" w:after="120"/>
        <w:jc w:val="center"/>
        <w:rPr>
          <w:rFonts w:ascii="Times New Roman Bold" w:hAnsi="Times New Roman Bold"/>
          <w:b/>
          <w:sz w:val="20"/>
        </w:rPr>
      </w:pPr>
      <w:r>
        <w:rPr>
          <w:rFonts w:ascii="Times New Roman Bold" w:hAnsi="Times New Roman Bold"/>
          <w:b/>
          <w:sz w:val="20"/>
        </w:rPr>
        <w:t>Parameters describing baseline Link Level performance for 5G NR</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850"/>
        <w:gridCol w:w="850"/>
        <w:gridCol w:w="5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noWrap/>
          </w:tcPr>
          <w:p>
            <w:pPr>
              <w:keepNext/>
              <w:tabs>
                <w:tab w:val="left" w:pos="1134"/>
                <w:tab w:val="left" w:pos="1871"/>
                <w:tab w:val="left" w:pos="2268"/>
              </w:tabs>
              <w:spacing w:before="80" w:after="80"/>
              <w:jc w:val="center"/>
              <w:rPr>
                <w:rFonts w:hint="default" w:ascii="Times New Roman" w:hAnsi="Times New Roman" w:cs="Times New Roman"/>
                <w:b/>
                <w:sz w:val="20"/>
              </w:rPr>
            </w:pPr>
            <w:r>
              <w:rPr>
                <w:rFonts w:hint="default" w:ascii="Times New Roman" w:hAnsi="Times New Roman" w:cs="Times New Roman"/>
                <w:b/>
                <w:sz w:val="20"/>
              </w:rPr>
              <w:t xml:space="preserve">Parameter </w:t>
            </w:r>
          </w:p>
        </w:tc>
        <w:tc>
          <w:tcPr>
            <w:tcW w:w="850" w:type="dxa"/>
          </w:tcPr>
          <w:p>
            <w:pPr>
              <w:keepNext/>
              <w:tabs>
                <w:tab w:val="left" w:pos="1134"/>
                <w:tab w:val="left" w:pos="1871"/>
                <w:tab w:val="left" w:pos="2268"/>
              </w:tabs>
              <w:spacing w:before="80" w:after="80"/>
              <w:jc w:val="center"/>
              <w:rPr>
                <w:rFonts w:hint="default" w:ascii="Times New Roman" w:hAnsi="Times New Roman" w:cs="Times New Roman"/>
                <w:b/>
                <w:sz w:val="20"/>
              </w:rPr>
            </w:pPr>
            <w:r>
              <w:rPr>
                <w:rFonts w:hint="default" w:ascii="Times New Roman" w:hAnsi="Times New Roman" w:cs="Times New Roman"/>
                <w:b/>
                <w:sz w:val="20"/>
              </w:rPr>
              <w:t xml:space="preserve">DL </w:t>
            </w:r>
          </w:p>
        </w:tc>
        <w:tc>
          <w:tcPr>
            <w:tcW w:w="850" w:type="dxa"/>
          </w:tcPr>
          <w:p>
            <w:pPr>
              <w:keepNext/>
              <w:tabs>
                <w:tab w:val="left" w:pos="1134"/>
                <w:tab w:val="left" w:pos="1871"/>
                <w:tab w:val="left" w:pos="2268"/>
              </w:tabs>
              <w:spacing w:before="80" w:after="80"/>
              <w:jc w:val="center"/>
              <w:rPr>
                <w:rFonts w:hint="default" w:ascii="Times New Roman" w:hAnsi="Times New Roman" w:cs="Times New Roman"/>
                <w:b/>
                <w:sz w:val="20"/>
              </w:rPr>
            </w:pPr>
            <w:r>
              <w:rPr>
                <w:rFonts w:hint="default" w:ascii="Times New Roman" w:hAnsi="Times New Roman" w:cs="Times New Roman"/>
                <w:b/>
                <w:sz w:val="20"/>
              </w:rPr>
              <w:t xml:space="preserve">UL </w:t>
            </w:r>
          </w:p>
        </w:tc>
        <w:tc>
          <w:tcPr>
            <w:tcW w:w="0" w:type="auto"/>
            <w:noWrap/>
          </w:tcPr>
          <w:p>
            <w:pPr>
              <w:keepNext/>
              <w:tabs>
                <w:tab w:val="left" w:pos="1134"/>
                <w:tab w:val="left" w:pos="1871"/>
                <w:tab w:val="left" w:pos="2268"/>
              </w:tabs>
              <w:spacing w:before="80" w:after="80"/>
              <w:jc w:val="center"/>
              <w:rPr>
                <w:rFonts w:hint="default" w:ascii="Times New Roman" w:hAnsi="Times New Roman" w:cs="Times New Roman"/>
                <w:b/>
                <w:sz w:val="20"/>
              </w:rPr>
            </w:pPr>
            <w:r>
              <w:rPr>
                <w:rFonts w:hint="default" w:ascii="Times New Roman" w:hAnsi="Times New Roman" w:cs="Times New Roman"/>
                <w:b/>
                <w:sz w:val="20"/>
              </w:rPr>
              <w:t xml:space="preserve">Notes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α</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0.6</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0.4</w:t>
            </w:r>
          </w:p>
        </w:tc>
        <w:tc>
          <w:tcPr>
            <w:tcW w:w="0" w:type="auto"/>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rPr>
            </w:pPr>
            <w:r>
              <w:rPr>
                <w:rFonts w:hint="default" w:ascii="Times New Roman" w:hAnsi="Times New Roman" w:cs="Times New Roman"/>
                <w:sz w:val="20"/>
              </w:rPr>
              <w:t>Represents implementation losses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i/>
                <w:iCs/>
                <w:sz w:val="20"/>
              </w:rPr>
              <w:t>SINR</w:t>
            </w:r>
            <w:r>
              <w:rPr>
                <w:rFonts w:hint="default" w:ascii="Times New Roman" w:hAnsi="Times New Roman" w:cs="Times New Roman"/>
                <w:i/>
                <w:iCs/>
                <w:sz w:val="20"/>
                <w:vertAlign w:val="subscript"/>
              </w:rPr>
              <w:t>MIN</w:t>
            </w:r>
            <w:r>
              <w:rPr>
                <w:rFonts w:hint="default" w:ascii="Times New Roman" w:hAnsi="Times New Roman" w:cs="Times New Roman"/>
                <w:sz w:val="20"/>
              </w:rPr>
              <w:t>, dB</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−10</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−10</w:t>
            </w:r>
          </w:p>
        </w:tc>
        <w:tc>
          <w:tcPr>
            <w:tcW w:w="0" w:type="auto"/>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rPr>
            </w:pPr>
            <w:r>
              <w:rPr>
                <w:rFonts w:hint="default" w:ascii="Times New Roman" w:hAnsi="Times New Roman" w:cs="Times New Roman"/>
                <w:sz w:val="20"/>
              </w:rPr>
              <w:t>Based on QPSK, 1/8 rate (DL) &amp; 1/5 rate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i/>
                <w:iCs/>
                <w:sz w:val="20"/>
              </w:rPr>
              <w:t>SINR</w:t>
            </w:r>
            <w:r>
              <w:rPr>
                <w:rFonts w:hint="default" w:ascii="Times New Roman" w:hAnsi="Times New Roman" w:cs="Times New Roman"/>
                <w:i/>
                <w:iCs/>
                <w:sz w:val="20"/>
                <w:vertAlign w:val="subscript"/>
              </w:rPr>
              <w:t>MAX</w:t>
            </w:r>
            <w:r>
              <w:rPr>
                <w:rFonts w:hint="default" w:ascii="Times New Roman" w:hAnsi="Times New Roman" w:cs="Times New Roman"/>
                <w:sz w:val="20"/>
              </w:rPr>
              <w:t>, dB</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30</w:t>
            </w:r>
          </w:p>
        </w:tc>
        <w:tc>
          <w:tcPr>
            <w:tcW w:w="850" w:type="dxa"/>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cs="Times New Roman"/>
                <w:sz w:val="20"/>
              </w:rPr>
            </w:pPr>
            <w:r>
              <w:rPr>
                <w:rFonts w:hint="default" w:ascii="Times New Roman" w:hAnsi="Times New Roman" w:cs="Times New Roman"/>
                <w:sz w:val="20"/>
              </w:rPr>
              <w:t>22</w:t>
            </w:r>
          </w:p>
        </w:tc>
        <w:tc>
          <w:tcPr>
            <w:tcW w:w="0" w:type="auto"/>
            <w:noWra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rPr>
            </w:pPr>
            <w:r>
              <w:rPr>
                <w:rFonts w:hint="default" w:ascii="Times New Roman" w:hAnsi="Times New Roman" w:cs="Times New Roman"/>
                <w:sz w:val="20"/>
              </w:rPr>
              <w:t>Based on 256-QAM, 0.93 rate (DL) &amp; 64-QAM, 0.93 rate (UL)</w:t>
            </w:r>
          </w:p>
        </w:tc>
      </w:tr>
    </w:tbl>
    <w:p>
      <w:pPr>
        <w:spacing w:before="0"/>
        <w:rPr>
          <w:sz w:val="20"/>
          <w:lang w:eastAsia="zh-CN"/>
        </w:rPr>
      </w:pPr>
    </w:p>
    <w:p>
      <w:pPr>
        <w:numPr>
          <w:ilvl w:val="0"/>
          <w:numId w:val="0"/>
        </w:numPr>
        <w:spacing w:after="180"/>
        <w:ind w:leftChars="0"/>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For the beam forming antenna characteristics, the sub-array modeling captured into TR 38.803 is based on testing of massive commercial BS. Considering antenna performance is much similar for a large frequency range and there is no commercial BS operating at 7125-8400MHz for further testing, it</w:t>
      </w:r>
      <w:r>
        <w:rPr>
          <w:rFonts w:hint="default" w:ascii="Times New Roman" w:hAnsi="Times New Roman" w:cs="Times New Roman"/>
          <w:b w:val="0"/>
          <w:bCs w:val="0"/>
          <w:sz w:val="20"/>
          <w:szCs w:val="20"/>
          <w:lang w:val="en-US" w:eastAsia="zh-CN"/>
        </w:rPr>
        <w:t>’</w:t>
      </w:r>
      <w:r>
        <w:rPr>
          <w:rFonts w:hint="eastAsia" w:ascii="Times New Roman" w:hAnsi="Times New Roman" w:cs="Times New Roman"/>
          <w:b w:val="0"/>
          <w:bCs w:val="0"/>
          <w:sz w:val="20"/>
          <w:szCs w:val="20"/>
          <w:lang w:val="en-US" w:eastAsia="zh-CN"/>
        </w:rPr>
        <w:t>s reasonable to assume the legacy sub-array antenna modeling is still applicable for this new band.</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the legacy sub-array antenna modeling in TR 38.803 is still applicable for the band 7125-8400MHz.</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lang w:val="en-US" w:eastAsia="zh-CN"/>
        </w:rPr>
        <w:t>terrestrial IMT parameters for new candidate IMT operation bands</w:t>
      </w:r>
      <w:r>
        <w:rPr>
          <w:rFonts w:hint="eastAsia" w:ascii="Times New Roman" w:hAnsi="Times New Roman"/>
          <w:sz w:val="20"/>
          <w:szCs w:val="20"/>
          <w:lang w:val="en-US" w:eastAsia="zh-CN"/>
        </w:rPr>
        <w:t xml:space="preserve"> 4400-4800MHz and 7125-8400MHz are discussed with following observations and proposals.</w:t>
      </w: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For 4400-4800MHz, WP-5D could reuse previous 3-6GHz parameters that RAN4 sent for WRC-23 preparation. Besides, the sub-array antenna model is based on testing of commercial BS and could reflect latest AAS pattern information.</w:t>
      </w:r>
    </w:p>
    <w:p>
      <w:pPr>
        <w:numPr>
          <w:ilvl w:val="0"/>
          <w:numId w:val="0"/>
        </w:numPr>
        <w:spacing w:after="180"/>
        <w:ind w:leftChars="0"/>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2: the suggestions for 7125-8400MHz related parameters (table 1) are listed as below as starting point which is the same as what is defined for band n104.</w:t>
      </w:r>
    </w:p>
    <w:p>
      <w:pPr>
        <w:pStyle w:val="57"/>
        <w:rPr>
          <w:rFonts w:eastAsia="MS Mincho"/>
        </w:rPr>
      </w:pPr>
      <w:r>
        <w:rPr>
          <w:rFonts w:eastAsia="MS Mincho"/>
        </w:rPr>
        <w:t>IMT-2030 specification related parameters in [</w:t>
      </w:r>
      <w:r>
        <w:rPr>
          <w:rFonts w:hint="eastAsia" w:eastAsia="宋体"/>
          <w:lang w:val="en-US" w:eastAsia="zh-CN"/>
        </w:rPr>
        <w:t>7125-8400</w:t>
      </w:r>
      <w:r>
        <w:rPr>
          <w:rFonts w:eastAsia="MS Mincho"/>
        </w:rPr>
        <w:t>] MHz</w:t>
      </w:r>
    </w:p>
    <w:tbl>
      <w:tblPr>
        <w:tblStyle w:val="16"/>
        <w:tblW w:w="38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7"/>
        <w:gridCol w:w="2641"/>
        <w:gridCol w:w="2197"/>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79"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No.</w:t>
            </w:r>
          </w:p>
        </w:tc>
        <w:tc>
          <w:tcPr>
            <w:tcW w:w="1734"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Parameter</w:t>
            </w:r>
          </w:p>
        </w:tc>
        <w:tc>
          <w:tcPr>
            <w:tcW w:w="1443"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 xml:space="preserve">Base station </w:t>
            </w:r>
            <w:r>
              <w:rPr>
                <w:rFonts w:ascii="Times New Roman Bold" w:hAnsi="Times New Roman Bold" w:eastAsia="MS Mincho" w:cs="Times New Roman Bold"/>
                <w:b/>
                <w:sz w:val="20"/>
              </w:rPr>
              <w:br w:type="textWrapping"/>
            </w:r>
            <w:r>
              <w:rPr>
                <w:rFonts w:ascii="Times New Roman Bold" w:hAnsi="Times New Roman Bold" w:eastAsia="MS Mincho" w:cs="Times New Roman Bold"/>
                <w:b/>
                <w:sz w:val="20"/>
              </w:rPr>
              <w:t>(AAS)</w:t>
            </w:r>
          </w:p>
        </w:tc>
        <w:tc>
          <w:tcPr>
            <w:tcW w:w="1442" w:type="pct"/>
            <w:vAlign w:val="center"/>
          </w:tcPr>
          <w:p>
            <w:pPr>
              <w:keepNext/>
              <w:tabs>
                <w:tab w:val="left" w:pos="1134"/>
                <w:tab w:val="left" w:pos="1871"/>
                <w:tab w:val="left" w:pos="2268"/>
              </w:tabs>
              <w:spacing w:before="80" w:after="80"/>
              <w:jc w:val="center"/>
              <w:rPr>
                <w:rFonts w:ascii="Times New Roman Bold" w:hAnsi="Times New Roman Bold" w:eastAsia="MS Mincho" w:cs="Times New Roman Bold"/>
                <w:b/>
                <w:sz w:val="20"/>
              </w:rPr>
            </w:pPr>
            <w:r>
              <w:rPr>
                <w:rFonts w:ascii="Times New Roman Bold" w:hAnsi="Times New Roman Bold" w:eastAsia="MS Mincho" w:cs="Times New Roman Bold"/>
                <w:b/>
                <w:sz w:val="20"/>
              </w:rPr>
              <w:t>Mobile station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1</w:t>
            </w:r>
          </w:p>
        </w:tc>
        <w:tc>
          <w:tcPr>
            <w:tcW w:w="1734"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Duplex Method</w:t>
            </w:r>
          </w:p>
        </w:tc>
        <w:tc>
          <w:tcPr>
            <w:tcW w:w="1443"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TDD</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Channel bandwidth (MHz)</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100MHz (typical)</w:t>
            </w: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100MHz (typical)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eastAsia="zh-CN"/>
              </w:rPr>
            </w:pPr>
            <w:r>
              <w:rPr>
                <w:rFonts w:hint="default" w:ascii="Times New Roman" w:hAnsi="Times New Roman" w:eastAsia="MS Mincho" w:cs="Times New Roman"/>
                <w:sz w:val="20"/>
              </w:rPr>
              <w:t xml:space="preserve">Signal bandwidth </w:t>
            </w:r>
            <w:r>
              <w:rPr>
                <w:rFonts w:hint="default" w:ascii="Times New Roman" w:hAnsi="Times New Roman" w:cs="Times New Roman"/>
                <w:sz w:val="20"/>
                <w:lang w:eastAsia="zh-CN"/>
              </w:rPr>
              <w:t>(MHz)</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Related to channel bandwidth, see 38.104 section 5.3.2</w:t>
            </w: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Related to channel bandwidth, see 38.101-1 section 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Transmitter characteristics</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4.1</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Power dynamic range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0dB</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56dB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Spectral mask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see 38.104 section 6.6.4.2 for n104</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section 6.</w:t>
            </w:r>
            <w:r>
              <w:rPr>
                <w:rFonts w:hint="default" w:ascii="Times New Roman" w:hAnsi="Times New Roman" w:cs="Times New Roman"/>
                <w:sz w:val="20"/>
                <w:lang w:val="en-US" w:eastAsia="zh-CN"/>
              </w:rPr>
              <w:t>5</w:t>
            </w:r>
            <w:r>
              <w:rPr>
                <w:rFonts w:hint="default" w:ascii="Times New Roman" w:hAnsi="Times New Roman" w:eastAsia="宋体" w:cs="Times New Roman"/>
                <w:sz w:val="20"/>
                <w:lang w:val="en-US" w:eastAsia="zh-CN"/>
              </w:rPr>
              <w:t>.</w:t>
            </w:r>
            <w:r>
              <w:rPr>
                <w:rFonts w:hint="default" w:ascii="Times New Roman" w:hAnsi="Times New Roman" w:cs="Times New Roman"/>
                <w:sz w:val="20"/>
                <w:lang w:val="en-US" w:eastAsia="zh-CN"/>
              </w:rPr>
              <w:t>2</w:t>
            </w:r>
            <w:r>
              <w:rPr>
                <w:rFonts w:hint="default" w:ascii="Times New Roman" w:hAnsi="Times New Roman" w:eastAsia="宋体" w:cs="Times New Roman"/>
                <w:sz w:val="20"/>
                <w:lang w:val="en-US" w:eastAsia="zh-CN"/>
              </w:rPr>
              <w:t>.2 for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ACLR (dB)</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38dB</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26dB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4.4</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Spurious emissions /out of band emissions</w:t>
            </w:r>
          </w:p>
        </w:tc>
        <w:tc>
          <w:tcPr>
            <w:tcW w:w="1443"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lang w:val="en-US"/>
              </w:rPr>
            </w:pPr>
            <w:r>
              <w:rPr>
                <w:rFonts w:hint="default" w:ascii="Times New Roman" w:hAnsi="Times New Roman" w:eastAsia="宋体" w:cs="Times New Roman"/>
                <w:sz w:val="20"/>
                <w:lang w:val="en-US" w:eastAsia="zh-CN"/>
              </w:rPr>
              <w:t xml:space="preserve"> see 38.104 section </w:t>
            </w:r>
            <w:r>
              <w:rPr>
                <w:rFonts w:hint="default" w:ascii="Times New Roman" w:hAnsi="Times New Roman" w:cs="Times New Roman"/>
                <w:sz w:val="20"/>
                <w:lang w:val="en-US" w:eastAsia="zh-CN"/>
              </w:rPr>
              <w:t>6.6.5</w:t>
            </w:r>
          </w:p>
        </w:tc>
        <w:tc>
          <w:tcPr>
            <w:tcW w:w="1442" w:type="pct"/>
            <w:shd w:val="clear" w:color="auto" w:fill="auto"/>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section 6.</w:t>
            </w:r>
            <w:r>
              <w:rPr>
                <w:rFonts w:hint="default" w:ascii="Times New Roman" w:hAnsi="Times New Roman" w:cs="Times New Roman"/>
                <w:sz w:val="20"/>
                <w:lang w:val="en-US" w:eastAsia="zh-CN"/>
              </w:rPr>
              <w:t>5</w:t>
            </w:r>
            <w:r>
              <w:rPr>
                <w:rFonts w:hint="default" w:ascii="Times New Roman" w:hAnsi="Times New Roman" w:eastAsia="宋体" w:cs="Times New Roman"/>
                <w:sz w:val="20"/>
                <w:lang w:val="en-US" w:eastAsia="zh-CN"/>
              </w:rPr>
              <w:t>.</w:t>
            </w:r>
            <w:r>
              <w:rPr>
                <w:rFonts w:hint="default" w:ascii="Times New Roman" w:hAnsi="Times New Roman" w:cs="Times New Roman"/>
                <w:sz w:val="2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4.5</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Maximum output power (dBm)</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cs="Times New Roman"/>
                <w:sz w:val="20"/>
              </w:rPr>
              <w:t>Defined by the conducted power per antenna element,</w:t>
            </w:r>
            <w:r>
              <w:rPr>
                <w:rFonts w:hint="default" w:ascii="Times New Roman" w:hAnsi="Times New Roman" w:cs="Times New Roman"/>
                <w:sz w:val="20"/>
                <w:lang w:val="en-US" w:eastAsia="zh-CN"/>
              </w:rPr>
              <w:t xml:space="preserve"> 22dB for macro suburban, 22dB for macro urban, 16dB for small cell outdoor/micro urban, 9dB for small cell indoor/indoor urban</w:t>
            </w:r>
          </w:p>
        </w:tc>
        <w:tc>
          <w:tcPr>
            <w:tcW w:w="1442" w:type="pct"/>
            <w:shd w:val="clear" w:color="auto" w:fill="auto"/>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23dBm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br w:type="page"/>
            </w:r>
            <w:r>
              <w:rPr>
                <w:rFonts w:hint="default" w:ascii="Times New Roman" w:hAnsi="Times New Roman" w:eastAsia="MS Mincho" w:cs="Times New Roman"/>
                <w:sz w:val="20"/>
              </w:rPr>
              <w:t>5</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Receiver characteristics</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5.1</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Noise figure (dB)</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cs="Times New Roman"/>
                <w:sz w:val="20"/>
              </w:rPr>
              <w:t>6 dB (Wide Area BS)</w:t>
            </w:r>
            <w:r>
              <w:rPr>
                <w:rFonts w:hint="default" w:ascii="Times New Roman" w:hAnsi="Times New Roman" w:cs="Times New Roman"/>
                <w:sz w:val="20"/>
              </w:rPr>
              <w:br w:type="textWrapping"/>
            </w:r>
            <w:r>
              <w:rPr>
                <w:rFonts w:hint="default" w:ascii="Times New Roman" w:hAnsi="Times New Roman" w:cs="Times New Roman"/>
                <w:sz w:val="20"/>
              </w:rPr>
              <w:t>11 dB (Medium Range BS)</w:t>
            </w:r>
            <w:r>
              <w:rPr>
                <w:rFonts w:hint="default" w:ascii="Times New Roman" w:hAnsi="Times New Roman" w:cs="Times New Roman"/>
                <w:sz w:val="20"/>
              </w:rPr>
              <w:br w:type="textWrapping"/>
            </w:r>
            <w:r>
              <w:rPr>
                <w:rFonts w:hint="default" w:ascii="Times New Roman" w:hAnsi="Times New Roman" w:cs="Times New Roman"/>
                <w:sz w:val="20"/>
              </w:rPr>
              <w:t>14 dB (Local Area BS)</w:t>
            </w:r>
          </w:p>
        </w:tc>
        <w:tc>
          <w:tcPr>
            <w:tcW w:w="1442" w:type="pct"/>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9-13dB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5.2</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Sensitivity (dBm)</w:t>
            </w:r>
          </w:p>
        </w:tc>
        <w:tc>
          <w:tcPr>
            <w:tcW w:w="1443"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lang w:val="en-US"/>
              </w:rPr>
            </w:pPr>
            <w:r>
              <w:rPr>
                <w:rFonts w:hint="default" w:ascii="Times New Roman" w:hAnsi="Times New Roman" w:eastAsia="宋体" w:cs="Times New Roman"/>
                <w:sz w:val="20"/>
                <w:lang w:val="en-US" w:eastAsia="zh-CN"/>
              </w:rPr>
              <w:t xml:space="preserve"> see 38.104 section </w:t>
            </w:r>
            <w:r>
              <w:rPr>
                <w:rFonts w:hint="default" w:ascii="Times New Roman" w:hAnsi="Times New Roman" w:cs="Times New Roman"/>
                <w:sz w:val="20"/>
                <w:lang w:val="en-US" w:eastAsia="zh-CN"/>
              </w:rPr>
              <w:t>7.2.2</w:t>
            </w:r>
          </w:p>
        </w:tc>
        <w:tc>
          <w:tcPr>
            <w:tcW w:w="1442"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lang w:val="en-US"/>
              </w:rPr>
            </w:pP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section </w:t>
            </w:r>
            <w:r>
              <w:rPr>
                <w:rFonts w:hint="default" w:ascii="Times New Roman" w:hAnsi="Times New Roman" w:cs="Times New Roman"/>
                <w:sz w:val="20"/>
                <w:lang w:val="en-US" w:eastAsia="zh-CN"/>
              </w:rPr>
              <w:t>7.3.2 for band 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5.3</w:t>
            </w:r>
          </w:p>
        </w:tc>
        <w:tc>
          <w:tcPr>
            <w:tcW w:w="1734" w:type="pct"/>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Blocking response</w:t>
            </w:r>
          </w:p>
        </w:tc>
        <w:tc>
          <w:tcPr>
            <w:tcW w:w="1443" w:type="pct"/>
            <w:vAlign w:val="to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In-band blocking:</w:t>
            </w:r>
            <w:r>
              <w:rPr>
                <w:rFonts w:hint="default" w:ascii="Times New Roman" w:hAnsi="Times New Roman" w:eastAsia="宋体" w:cs="Times New Roman"/>
                <w:sz w:val="20"/>
                <w:lang w:val="en-US" w:eastAsia="zh-CN"/>
              </w:rPr>
              <w:t xml:space="preserve"> see 38.104 section </w:t>
            </w:r>
            <w:r>
              <w:rPr>
                <w:rFonts w:hint="default" w:ascii="Times New Roman" w:hAnsi="Times New Roman" w:cs="Times New Roman"/>
                <w:sz w:val="20"/>
                <w:lang w:val="en-US" w:eastAsia="zh-CN"/>
              </w:rPr>
              <w:t>7.4.2</w:t>
            </w:r>
          </w:p>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 xml:space="preserve">Out-of-band blocking: </w:t>
            </w:r>
            <w:r>
              <w:rPr>
                <w:rFonts w:hint="default" w:ascii="Times New Roman" w:hAnsi="Times New Roman" w:eastAsia="宋体" w:cs="Times New Roman"/>
                <w:sz w:val="20"/>
                <w:lang w:val="en-US" w:eastAsia="zh-CN"/>
              </w:rPr>
              <w:t xml:space="preserve">see 38.104 section </w:t>
            </w:r>
            <w:r>
              <w:rPr>
                <w:rFonts w:hint="default" w:ascii="Times New Roman" w:hAnsi="Times New Roman" w:cs="Times New Roman"/>
                <w:sz w:val="20"/>
                <w:lang w:val="en-US" w:eastAsia="zh-CN"/>
              </w:rPr>
              <w:t>7.5.2</w:t>
            </w:r>
          </w:p>
        </w:tc>
        <w:tc>
          <w:tcPr>
            <w:tcW w:w="1442" w:type="pct"/>
            <w:vAlign w:val="top"/>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 xml:space="preserve">In-band blocking: </w:t>
            </w: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table</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7.6.2-4 for band n104</w:t>
            </w:r>
          </w:p>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 xml:space="preserve">Out-of-band blocking: </w:t>
            </w:r>
            <w:r>
              <w:rPr>
                <w:rFonts w:hint="default" w:ascii="Times New Roman" w:hAnsi="Times New Roman" w:eastAsia="宋体" w:cs="Times New Roman"/>
                <w:sz w:val="20"/>
                <w:lang w:val="en-US" w:eastAsia="zh-CN"/>
              </w:rPr>
              <w:t>see 38.10</w:t>
            </w:r>
            <w:r>
              <w:rPr>
                <w:rFonts w:hint="default" w:ascii="Times New Roman" w:hAnsi="Times New Roman" w:cs="Times New Roman"/>
                <w:sz w:val="20"/>
                <w:lang w:val="en-US" w:eastAsia="zh-CN"/>
              </w:rPr>
              <w:t>1-1</w:t>
            </w:r>
            <w:r>
              <w:rPr>
                <w:rFonts w:hint="default" w:ascii="Times New Roman" w:hAnsi="Times New Roman" w:eastAsia="宋体" w:cs="Times New Roman"/>
                <w:sz w:val="20"/>
                <w:lang w:val="en-US" w:eastAsia="zh-CN"/>
              </w:rPr>
              <w:t xml:space="preserve"> </w:t>
            </w:r>
            <w:r>
              <w:rPr>
                <w:rFonts w:hint="default" w:ascii="Times New Roman" w:hAnsi="Times New Roman" w:cs="Times New Roman"/>
                <w:sz w:val="20"/>
                <w:lang w:val="en-US" w:eastAsia="zh-CN"/>
              </w:rPr>
              <w:t>table 7.6.3-4</w:t>
            </w:r>
            <w:r>
              <w:rPr>
                <w:rFonts w:hint="default" w:ascii="Times New Roman" w:hAnsi="Times New Roman" w:eastAsia="宋体" w:cs="Times New Roman"/>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5.4</w:t>
            </w:r>
          </w:p>
        </w:tc>
        <w:tc>
          <w:tcPr>
            <w:tcW w:w="1734"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ACS</w:t>
            </w:r>
          </w:p>
        </w:tc>
        <w:tc>
          <w:tcPr>
            <w:tcW w:w="1443"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42dB</w:t>
            </w:r>
          </w:p>
        </w:tc>
        <w:tc>
          <w:tcPr>
            <w:tcW w:w="1442"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32dB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9"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MS Mincho" w:cs="Times New Roman"/>
                <w:sz w:val="20"/>
              </w:rPr>
            </w:pPr>
            <w:r>
              <w:rPr>
                <w:rFonts w:hint="default" w:ascii="Times New Roman" w:hAnsi="Times New Roman" w:eastAsia="MS Mincho" w:cs="Times New Roman"/>
                <w:sz w:val="20"/>
              </w:rPr>
              <w:t>5.5</w:t>
            </w:r>
          </w:p>
        </w:tc>
        <w:tc>
          <w:tcPr>
            <w:tcW w:w="1734" w:type="pct"/>
            <w:tcBorders>
              <w:bottom w:val="single" w:color="auto" w:sz="4" w:space="0"/>
            </w:tcBorders>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rPr>
                <w:rFonts w:hint="default" w:ascii="Times New Roman" w:hAnsi="Times New Roman" w:eastAsia="MS Mincho" w:cs="Times New Roman"/>
                <w:sz w:val="20"/>
              </w:rPr>
            </w:pPr>
            <w:r>
              <w:rPr>
                <w:rFonts w:hint="default" w:ascii="Times New Roman" w:hAnsi="Times New Roman" w:eastAsia="MS Mincho" w:cs="Times New Roman"/>
                <w:sz w:val="20"/>
              </w:rPr>
              <w:t>SINR operating range (dB)</w:t>
            </w:r>
          </w:p>
        </w:tc>
        <w:tc>
          <w:tcPr>
            <w:tcW w:w="2885" w:type="pct"/>
            <w:gridSpan w:val="2"/>
            <w:tcBorders>
              <w:bottom w:val="single" w:color="auto" w:sz="4" w:space="0"/>
            </w:tcBorders>
            <w:vAlign w:val="center"/>
          </w:tcPr>
          <w:p>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As below</w:t>
            </w:r>
          </w:p>
        </w:tc>
      </w:tr>
    </w:tbl>
    <w:p>
      <w:pPr>
        <w:numPr>
          <w:ilvl w:val="0"/>
          <w:numId w:val="0"/>
        </w:numPr>
        <w:spacing w:after="180"/>
        <w:ind w:leftChars="0"/>
        <w:rPr>
          <w:rFonts w:hint="default" w:ascii="Times New Roman" w:hAnsi="Times New Roman" w:cs="Times New Roman"/>
          <w:b/>
          <w:bCs/>
          <w:sz w:val="20"/>
          <w:szCs w:val="20"/>
          <w:lang w:val="en-US" w:eastAsia="zh-CN"/>
        </w:rPr>
      </w:pPr>
    </w:p>
    <w:p>
      <w:pPr>
        <w:numPr>
          <w:ilvl w:val="0"/>
          <w:numId w:val="0"/>
        </w:numPr>
        <w:spacing w:after="180"/>
        <w:ind w:leftChars="0"/>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3: the legacy sub-array antenna modeling in TR 38.803 is still applicable for the frequency range 7125-8400MHz.</w:t>
      </w:r>
    </w:p>
    <w:p>
      <w:pPr>
        <w:keepNext/>
        <w:keepLines/>
        <w:widowControl/>
        <w:pBdr>
          <w:top w:val="single" w:color="auto" w:sz="12" w:space="1"/>
        </w:pBdr>
        <w:tabs>
          <w:tab w:val="left" w:pos="567"/>
        </w:tabs>
        <w:adjustRightInd w:val="0"/>
        <w:spacing w:before="240" w:after="180"/>
        <w:ind w:left="510" w:hanging="510"/>
        <w:outlineLvl w:val="0"/>
        <w:rPr>
          <w:rFonts w:ascii="Calibri" w:hAnsi="Calibri" w:eastAsiaTheme="minorEastAsia" w:cstheme="minorBidi"/>
          <w:sz w:val="32"/>
          <w:szCs w:val="36"/>
        </w:rPr>
      </w:pPr>
      <w:r>
        <w:rPr>
          <w:rFonts w:ascii="Arial" w:hAnsi="Arial" w:eastAsiaTheme="minorEastAsia" w:cstheme="minorBidi"/>
          <w:sz w:val="32"/>
          <w:szCs w:val="36"/>
        </w:rPr>
        <w:t>4. Reference</w:t>
      </w:r>
    </w:p>
    <w:p>
      <w:pPr>
        <w:numPr>
          <w:ilvl w:val="0"/>
          <w:numId w:val="3"/>
        </w:numPr>
        <w:tabs>
          <w:tab w:val="right" w:pos="10440"/>
          <w:tab w:val="right" w:pos="13323"/>
        </w:tabs>
        <w:spacing w:after="0"/>
        <w:jc w:val="left"/>
        <w:rPr>
          <w:rFonts w:hint="default" w:ascii="Times New Roman" w:hAnsi="Times New Roman" w:eastAsia="宋体"/>
          <w:sz w:val="20"/>
          <w:szCs w:val="20"/>
          <w:lang w:val="en-US" w:eastAsia="zh-CN"/>
        </w:rPr>
      </w:pPr>
      <w:r>
        <w:rPr>
          <w:rFonts w:hint="default" w:ascii="Times New Roman" w:hAnsi="Times New Roman" w:cs="Times New Roman"/>
          <w:sz w:val="20"/>
          <w:szCs w:val="20"/>
          <w:highlight w:val="none"/>
        </w:rPr>
        <w:t>R</w:t>
      </w:r>
      <w:r>
        <w:rPr>
          <w:rFonts w:hint="eastAsia" w:ascii="Times New Roman" w:hAnsi="Times New Roman" w:cs="Times New Roman"/>
          <w:sz w:val="20"/>
          <w:szCs w:val="20"/>
          <w:highlight w:val="none"/>
          <w:lang w:val="en-US" w:eastAsia="zh-CN"/>
        </w:rPr>
        <w:t>4</w:t>
      </w:r>
      <w:r>
        <w:rPr>
          <w:rFonts w:hint="default" w:ascii="Times New Roman" w:hAnsi="Times New Roman" w:cs="Times New Roman"/>
          <w:sz w:val="20"/>
          <w:szCs w:val="20"/>
          <w:highlight w:val="none"/>
        </w:rPr>
        <w:t>-</w:t>
      </w:r>
      <w:r>
        <w:rPr>
          <w:rFonts w:hint="eastAsia" w:ascii="Times New Roman" w:hAnsi="Times New Roman" w:cs="Times New Roman"/>
          <w:sz w:val="20"/>
          <w:szCs w:val="20"/>
          <w:highlight w:val="none"/>
          <w:lang w:val="en-US" w:eastAsia="zh-CN"/>
        </w:rPr>
        <w:t>2400333</w:t>
      </w:r>
      <w:r>
        <w:rPr>
          <w:rFonts w:hint="default" w:ascii="Times New Roman" w:hAnsi="Times New Roman" w:cs="Times New Roman"/>
          <w:sz w:val="20"/>
          <w:szCs w:val="20"/>
          <w:highlight w:val="none"/>
        </w:rPr>
        <w:t>,</w:t>
      </w:r>
      <w:r>
        <w:rPr>
          <w:rFonts w:hint="eastAsia" w:ascii="Times New Roman" w:hAnsi="Times New Roman" w:cs="Times New Roman"/>
          <w:sz w:val="20"/>
          <w:szCs w:val="20"/>
          <w:highlight w:val="none"/>
          <w:lang w:val="en-US" w:eastAsia="zh-CN"/>
        </w:rPr>
        <w:t xml:space="preserve"> Parameters of terrestrial component of IMT for sharing and compatibility studies in the frequency bands 4 400-4 800 MHz, 7 125-8 400 MHz and 14.8-15.35 GHz</w:t>
      </w:r>
      <w:r>
        <w:rPr>
          <w:rFonts w:hint="default" w:ascii="Times New Roman" w:hAnsi="Times New Roman" w:cs="Times New Roman"/>
          <w:sz w:val="20"/>
          <w:szCs w:val="20"/>
          <w:highlight w:val="none"/>
        </w:rPr>
        <w:t>, ITU-R Working Party 5D.</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Math">
    <w:panose1 w:val="02040503050406030204"/>
    <w:charset w:val="00"/>
    <w:family w:val="roman"/>
    <w:pitch w:val="default"/>
    <w:sig w:usb0="E00006FF" w:usb1="420024FF" w:usb2="02000000" w:usb3="00000000" w:csb0="2000019F" w:csb1="0000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2">
    <w:nsid w:val="05759DDB"/>
    <w:multiLevelType w:val="singleLevel"/>
    <w:tmpl w:val="05759DDB"/>
    <w:lvl w:ilvl="0" w:tentative="0">
      <w:start w:val="1"/>
      <w:numFmt w:val="bullet"/>
      <w:lvlText w:val=""/>
      <w:lvlJc w:val="left"/>
      <w:pPr>
        <w:ind w:left="42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970CA"/>
    <w:rsid w:val="028E1852"/>
    <w:rsid w:val="02C81B1F"/>
    <w:rsid w:val="035967B1"/>
    <w:rsid w:val="035D4591"/>
    <w:rsid w:val="03631D1E"/>
    <w:rsid w:val="03E26584"/>
    <w:rsid w:val="04492C16"/>
    <w:rsid w:val="04A732AF"/>
    <w:rsid w:val="04B527F1"/>
    <w:rsid w:val="05026E46"/>
    <w:rsid w:val="053C405B"/>
    <w:rsid w:val="056F5AD7"/>
    <w:rsid w:val="059E10D1"/>
    <w:rsid w:val="05A012C8"/>
    <w:rsid w:val="05BF54F8"/>
    <w:rsid w:val="06305334"/>
    <w:rsid w:val="06434355"/>
    <w:rsid w:val="06CC0A35"/>
    <w:rsid w:val="0769686A"/>
    <w:rsid w:val="076E27BD"/>
    <w:rsid w:val="0770402F"/>
    <w:rsid w:val="078E5270"/>
    <w:rsid w:val="07B42F31"/>
    <w:rsid w:val="07CA6B66"/>
    <w:rsid w:val="07F15671"/>
    <w:rsid w:val="08200491"/>
    <w:rsid w:val="085D3E3F"/>
    <w:rsid w:val="08973524"/>
    <w:rsid w:val="08A65D3D"/>
    <w:rsid w:val="0900762B"/>
    <w:rsid w:val="09626007"/>
    <w:rsid w:val="09993AB5"/>
    <w:rsid w:val="09F66D51"/>
    <w:rsid w:val="0A0219DF"/>
    <w:rsid w:val="0AA20101"/>
    <w:rsid w:val="0ABA1F25"/>
    <w:rsid w:val="0ADD2F10"/>
    <w:rsid w:val="0AE113D2"/>
    <w:rsid w:val="0AF67B8B"/>
    <w:rsid w:val="0B0758A7"/>
    <w:rsid w:val="0B1B4548"/>
    <w:rsid w:val="0BBF5056"/>
    <w:rsid w:val="0BE65845"/>
    <w:rsid w:val="0BF0521B"/>
    <w:rsid w:val="0BF7455D"/>
    <w:rsid w:val="0BFE4B3A"/>
    <w:rsid w:val="0C296C83"/>
    <w:rsid w:val="0C8D3125"/>
    <w:rsid w:val="0D545798"/>
    <w:rsid w:val="0D624402"/>
    <w:rsid w:val="0E037D57"/>
    <w:rsid w:val="0E1D4B35"/>
    <w:rsid w:val="0E5F68A3"/>
    <w:rsid w:val="0E7813A9"/>
    <w:rsid w:val="0EBD33B9"/>
    <w:rsid w:val="0EBE690E"/>
    <w:rsid w:val="0F1A117A"/>
    <w:rsid w:val="0F5116AE"/>
    <w:rsid w:val="0F596ABB"/>
    <w:rsid w:val="0F5F09C4"/>
    <w:rsid w:val="0F5F4247"/>
    <w:rsid w:val="0F6273CA"/>
    <w:rsid w:val="0F7D4B34"/>
    <w:rsid w:val="0FC419ED"/>
    <w:rsid w:val="0FD9288C"/>
    <w:rsid w:val="0FEE6FAE"/>
    <w:rsid w:val="0FF20B73"/>
    <w:rsid w:val="10003991"/>
    <w:rsid w:val="10254F0A"/>
    <w:rsid w:val="107B7E97"/>
    <w:rsid w:val="109C57D8"/>
    <w:rsid w:val="10D64689"/>
    <w:rsid w:val="10EF7E56"/>
    <w:rsid w:val="11321BC4"/>
    <w:rsid w:val="1155307D"/>
    <w:rsid w:val="117C38F8"/>
    <w:rsid w:val="117D6EEE"/>
    <w:rsid w:val="11B5219D"/>
    <w:rsid w:val="11DF67EB"/>
    <w:rsid w:val="122946DB"/>
    <w:rsid w:val="12750F57"/>
    <w:rsid w:val="12E83AF4"/>
    <w:rsid w:val="13771DFE"/>
    <w:rsid w:val="13F25EC4"/>
    <w:rsid w:val="14245767"/>
    <w:rsid w:val="145C23B3"/>
    <w:rsid w:val="149E7662"/>
    <w:rsid w:val="1508348E"/>
    <w:rsid w:val="15350710"/>
    <w:rsid w:val="155F416A"/>
    <w:rsid w:val="156354FD"/>
    <w:rsid w:val="156C0FB4"/>
    <w:rsid w:val="157A51BC"/>
    <w:rsid w:val="159557BE"/>
    <w:rsid w:val="15CD7D54"/>
    <w:rsid w:val="15D00CD9"/>
    <w:rsid w:val="15E450B5"/>
    <w:rsid w:val="16371982"/>
    <w:rsid w:val="163D388B"/>
    <w:rsid w:val="168B5B89"/>
    <w:rsid w:val="16C005E1"/>
    <w:rsid w:val="175862BF"/>
    <w:rsid w:val="17F263D4"/>
    <w:rsid w:val="17F52BDC"/>
    <w:rsid w:val="180D2D20"/>
    <w:rsid w:val="182249A5"/>
    <w:rsid w:val="18642373"/>
    <w:rsid w:val="18834ED9"/>
    <w:rsid w:val="18E26C79"/>
    <w:rsid w:val="18E55D68"/>
    <w:rsid w:val="18FE0AB6"/>
    <w:rsid w:val="19813C3F"/>
    <w:rsid w:val="19B263B5"/>
    <w:rsid w:val="19DF2D99"/>
    <w:rsid w:val="19EA686E"/>
    <w:rsid w:val="1A8670A6"/>
    <w:rsid w:val="1AB02A55"/>
    <w:rsid w:val="1AFD11C6"/>
    <w:rsid w:val="1B00542F"/>
    <w:rsid w:val="1B2F42F1"/>
    <w:rsid w:val="1B3F3E40"/>
    <w:rsid w:val="1B7C00B3"/>
    <w:rsid w:val="1B7C0EA4"/>
    <w:rsid w:val="1BF509C2"/>
    <w:rsid w:val="1BF95FEE"/>
    <w:rsid w:val="1C700838"/>
    <w:rsid w:val="1CE56278"/>
    <w:rsid w:val="1CFC261A"/>
    <w:rsid w:val="1CFF6E5D"/>
    <w:rsid w:val="1D0432AA"/>
    <w:rsid w:val="1D0A4412"/>
    <w:rsid w:val="1D0B38F8"/>
    <w:rsid w:val="1D1D5776"/>
    <w:rsid w:val="1D2753AE"/>
    <w:rsid w:val="1D3E218A"/>
    <w:rsid w:val="1D6D7456"/>
    <w:rsid w:val="1D7879E5"/>
    <w:rsid w:val="1D867707"/>
    <w:rsid w:val="1E3D0B9B"/>
    <w:rsid w:val="1E81151C"/>
    <w:rsid w:val="1E884DB6"/>
    <w:rsid w:val="1EFE1319"/>
    <w:rsid w:val="1F0D1045"/>
    <w:rsid w:val="1F1F489E"/>
    <w:rsid w:val="1F2F076D"/>
    <w:rsid w:val="1FFB17BC"/>
    <w:rsid w:val="201828B7"/>
    <w:rsid w:val="203D39F0"/>
    <w:rsid w:val="20817033"/>
    <w:rsid w:val="20990887"/>
    <w:rsid w:val="20E833A7"/>
    <w:rsid w:val="20EA2C10"/>
    <w:rsid w:val="216C01F4"/>
    <w:rsid w:val="219168A1"/>
    <w:rsid w:val="21B038D2"/>
    <w:rsid w:val="21D70408"/>
    <w:rsid w:val="221E7789"/>
    <w:rsid w:val="228B3B2E"/>
    <w:rsid w:val="22E84C54"/>
    <w:rsid w:val="235E2230"/>
    <w:rsid w:val="2370600B"/>
    <w:rsid w:val="23CA7445"/>
    <w:rsid w:val="241B0EB4"/>
    <w:rsid w:val="24513BF6"/>
    <w:rsid w:val="24683E4B"/>
    <w:rsid w:val="246C2851"/>
    <w:rsid w:val="24841763"/>
    <w:rsid w:val="2488042D"/>
    <w:rsid w:val="24896A55"/>
    <w:rsid w:val="24C36C6D"/>
    <w:rsid w:val="254E0ABD"/>
    <w:rsid w:val="258A21E5"/>
    <w:rsid w:val="25A10883"/>
    <w:rsid w:val="25D729E7"/>
    <w:rsid w:val="260F5480"/>
    <w:rsid w:val="26382DB8"/>
    <w:rsid w:val="265C4D5F"/>
    <w:rsid w:val="26644B8A"/>
    <w:rsid w:val="268A1547"/>
    <w:rsid w:val="268B3CAF"/>
    <w:rsid w:val="26A73075"/>
    <w:rsid w:val="26B2270B"/>
    <w:rsid w:val="26F853FE"/>
    <w:rsid w:val="274B1605"/>
    <w:rsid w:val="277D7855"/>
    <w:rsid w:val="278B3C06"/>
    <w:rsid w:val="27E33F9B"/>
    <w:rsid w:val="27F23097"/>
    <w:rsid w:val="2805016B"/>
    <w:rsid w:val="286036CB"/>
    <w:rsid w:val="28AA4C8A"/>
    <w:rsid w:val="294A494E"/>
    <w:rsid w:val="29560760"/>
    <w:rsid w:val="2960326E"/>
    <w:rsid w:val="2975343F"/>
    <w:rsid w:val="29922597"/>
    <w:rsid w:val="29C71D19"/>
    <w:rsid w:val="2A144016"/>
    <w:rsid w:val="2A24682F"/>
    <w:rsid w:val="2A2C74BF"/>
    <w:rsid w:val="2A53737E"/>
    <w:rsid w:val="2A704730"/>
    <w:rsid w:val="2AC70C94"/>
    <w:rsid w:val="2B2A3B5F"/>
    <w:rsid w:val="2C0547C6"/>
    <w:rsid w:val="2C380499"/>
    <w:rsid w:val="2C401128"/>
    <w:rsid w:val="2C8A2F49"/>
    <w:rsid w:val="2C9F3BCE"/>
    <w:rsid w:val="2CA64350"/>
    <w:rsid w:val="2D4D51B1"/>
    <w:rsid w:val="2D4D79AC"/>
    <w:rsid w:val="2DB7418D"/>
    <w:rsid w:val="2DD5373D"/>
    <w:rsid w:val="2DF80479"/>
    <w:rsid w:val="2E747DC3"/>
    <w:rsid w:val="2E9C0F87"/>
    <w:rsid w:val="2EB7077F"/>
    <w:rsid w:val="2EB8044F"/>
    <w:rsid w:val="2EC16B9C"/>
    <w:rsid w:val="2EDF426C"/>
    <w:rsid w:val="2EEC4E92"/>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243059C"/>
    <w:rsid w:val="32697D44"/>
    <w:rsid w:val="326D0948"/>
    <w:rsid w:val="328A5CFA"/>
    <w:rsid w:val="32C835E0"/>
    <w:rsid w:val="32DF7982"/>
    <w:rsid w:val="331537CD"/>
    <w:rsid w:val="331E4E70"/>
    <w:rsid w:val="336E17F0"/>
    <w:rsid w:val="33E2230D"/>
    <w:rsid w:val="33FB26D9"/>
    <w:rsid w:val="34291F23"/>
    <w:rsid w:val="34413D46"/>
    <w:rsid w:val="344A45A5"/>
    <w:rsid w:val="345C5BF5"/>
    <w:rsid w:val="348103B3"/>
    <w:rsid w:val="357C3ACE"/>
    <w:rsid w:val="35962F2D"/>
    <w:rsid w:val="35B629AE"/>
    <w:rsid w:val="35B71496"/>
    <w:rsid w:val="35B8262E"/>
    <w:rsid w:val="35CC12CF"/>
    <w:rsid w:val="35D319E6"/>
    <w:rsid w:val="35D72EE3"/>
    <w:rsid w:val="35E768F5"/>
    <w:rsid w:val="35F559C7"/>
    <w:rsid w:val="36075C31"/>
    <w:rsid w:val="36510879"/>
    <w:rsid w:val="37036DCD"/>
    <w:rsid w:val="372F46A7"/>
    <w:rsid w:val="37726C9D"/>
    <w:rsid w:val="379A1E22"/>
    <w:rsid w:val="37BD6848"/>
    <w:rsid w:val="37CC6816"/>
    <w:rsid w:val="37DE6907"/>
    <w:rsid w:val="37E810A7"/>
    <w:rsid w:val="380E1C87"/>
    <w:rsid w:val="38A9437C"/>
    <w:rsid w:val="38C2712E"/>
    <w:rsid w:val="38D16127"/>
    <w:rsid w:val="393C0FF6"/>
    <w:rsid w:val="39706EC7"/>
    <w:rsid w:val="39787B56"/>
    <w:rsid w:val="398E1CFA"/>
    <w:rsid w:val="39B62EBE"/>
    <w:rsid w:val="3A3F5379"/>
    <w:rsid w:val="3A436689"/>
    <w:rsid w:val="3A675260"/>
    <w:rsid w:val="3AAC45FF"/>
    <w:rsid w:val="3AC37B79"/>
    <w:rsid w:val="3AE070A1"/>
    <w:rsid w:val="3B617677"/>
    <w:rsid w:val="3B757B5E"/>
    <w:rsid w:val="3BA65BED"/>
    <w:rsid w:val="3BDB4DC2"/>
    <w:rsid w:val="3C09240E"/>
    <w:rsid w:val="3C146221"/>
    <w:rsid w:val="3CC365B8"/>
    <w:rsid w:val="3CD51844"/>
    <w:rsid w:val="3CE979FE"/>
    <w:rsid w:val="3D08452F"/>
    <w:rsid w:val="3D3675FD"/>
    <w:rsid w:val="3D5001A7"/>
    <w:rsid w:val="3D55441E"/>
    <w:rsid w:val="3D6B2F4F"/>
    <w:rsid w:val="3D713555"/>
    <w:rsid w:val="3D741DEE"/>
    <w:rsid w:val="3D85737C"/>
    <w:rsid w:val="3D9C3FFF"/>
    <w:rsid w:val="3DDE328E"/>
    <w:rsid w:val="3E0B0DB0"/>
    <w:rsid w:val="3E116F60"/>
    <w:rsid w:val="3E572F58"/>
    <w:rsid w:val="3E636D6A"/>
    <w:rsid w:val="3E872DEF"/>
    <w:rsid w:val="3E962A3C"/>
    <w:rsid w:val="3E9704BE"/>
    <w:rsid w:val="3F043070"/>
    <w:rsid w:val="3F1D2CEE"/>
    <w:rsid w:val="3F4D6968"/>
    <w:rsid w:val="3F8B424E"/>
    <w:rsid w:val="3F934EDE"/>
    <w:rsid w:val="3FCE6ABE"/>
    <w:rsid w:val="40130E98"/>
    <w:rsid w:val="401776B5"/>
    <w:rsid w:val="403501D5"/>
    <w:rsid w:val="40516596"/>
    <w:rsid w:val="40B04E56"/>
    <w:rsid w:val="40C60753"/>
    <w:rsid w:val="40D24565"/>
    <w:rsid w:val="410113A2"/>
    <w:rsid w:val="41880811"/>
    <w:rsid w:val="41C60C56"/>
    <w:rsid w:val="41E9727E"/>
    <w:rsid w:val="41F50509"/>
    <w:rsid w:val="420226D9"/>
    <w:rsid w:val="42375131"/>
    <w:rsid w:val="42610172"/>
    <w:rsid w:val="426339F7"/>
    <w:rsid w:val="42733C91"/>
    <w:rsid w:val="428C76CE"/>
    <w:rsid w:val="42916AC5"/>
    <w:rsid w:val="42CE0B28"/>
    <w:rsid w:val="436807A8"/>
    <w:rsid w:val="439901E8"/>
    <w:rsid w:val="43CD51C7"/>
    <w:rsid w:val="43EC12FF"/>
    <w:rsid w:val="43F11B33"/>
    <w:rsid w:val="43F17986"/>
    <w:rsid w:val="43FF4262"/>
    <w:rsid w:val="444678CE"/>
    <w:rsid w:val="44565A46"/>
    <w:rsid w:val="447E086E"/>
    <w:rsid w:val="44B454C5"/>
    <w:rsid w:val="44C125DD"/>
    <w:rsid w:val="44DD6689"/>
    <w:rsid w:val="44E7774D"/>
    <w:rsid w:val="45127C50"/>
    <w:rsid w:val="454416D4"/>
    <w:rsid w:val="455E7EDC"/>
    <w:rsid w:val="45830A1B"/>
    <w:rsid w:val="458D51A8"/>
    <w:rsid w:val="459B4244"/>
    <w:rsid w:val="45A33E4B"/>
    <w:rsid w:val="45A94422"/>
    <w:rsid w:val="45B253E8"/>
    <w:rsid w:val="45CC5F92"/>
    <w:rsid w:val="46236563"/>
    <w:rsid w:val="465C2D4B"/>
    <w:rsid w:val="465C457C"/>
    <w:rsid w:val="467609A9"/>
    <w:rsid w:val="46E67A01"/>
    <w:rsid w:val="47262D4B"/>
    <w:rsid w:val="47670737"/>
    <w:rsid w:val="47F00216"/>
    <w:rsid w:val="480F5247"/>
    <w:rsid w:val="4839608B"/>
    <w:rsid w:val="483A3F41"/>
    <w:rsid w:val="48B06FCF"/>
    <w:rsid w:val="48FF25D1"/>
    <w:rsid w:val="49281A93"/>
    <w:rsid w:val="492F313E"/>
    <w:rsid w:val="495010D7"/>
    <w:rsid w:val="4955555E"/>
    <w:rsid w:val="49A21DDA"/>
    <w:rsid w:val="49E453DD"/>
    <w:rsid w:val="49EE4458"/>
    <w:rsid w:val="4A521971"/>
    <w:rsid w:val="4A880DD3"/>
    <w:rsid w:val="4A9C4E28"/>
    <w:rsid w:val="4AFF7B18"/>
    <w:rsid w:val="4B254325"/>
    <w:rsid w:val="4B2941E0"/>
    <w:rsid w:val="4BFF2F3E"/>
    <w:rsid w:val="4C261BDE"/>
    <w:rsid w:val="4C334692"/>
    <w:rsid w:val="4C660668"/>
    <w:rsid w:val="4C816990"/>
    <w:rsid w:val="4D1B40EF"/>
    <w:rsid w:val="4D2079EB"/>
    <w:rsid w:val="4D2B4C2A"/>
    <w:rsid w:val="4D570F71"/>
    <w:rsid w:val="4DEE01EB"/>
    <w:rsid w:val="4DF036EE"/>
    <w:rsid w:val="4DF30DF0"/>
    <w:rsid w:val="4DFC16FF"/>
    <w:rsid w:val="4E03108A"/>
    <w:rsid w:val="4E2822B5"/>
    <w:rsid w:val="4E5A1A99"/>
    <w:rsid w:val="4E640249"/>
    <w:rsid w:val="4E723844"/>
    <w:rsid w:val="4E85035F"/>
    <w:rsid w:val="4EB95335"/>
    <w:rsid w:val="4ED33CE1"/>
    <w:rsid w:val="4F01352B"/>
    <w:rsid w:val="4F13254C"/>
    <w:rsid w:val="4FBF6DE2"/>
    <w:rsid w:val="502D7993"/>
    <w:rsid w:val="504273BB"/>
    <w:rsid w:val="505605DA"/>
    <w:rsid w:val="50941CF8"/>
    <w:rsid w:val="509636E2"/>
    <w:rsid w:val="50B13272"/>
    <w:rsid w:val="50B6710F"/>
    <w:rsid w:val="50BC2F96"/>
    <w:rsid w:val="50DE7239"/>
    <w:rsid w:val="51A227FA"/>
    <w:rsid w:val="51A57002"/>
    <w:rsid w:val="51F65583"/>
    <w:rsid w:val="528278EA"/>
    <w:rsid w:val="52E03A67"/>
    <w:rsid w:val="52FC46EA"/>
    <w:rsid w:val="534D042C"/>
    <w:rsid w:val="5350703E"/>
    <w:rsid w:val="538C361F"/>
    <w:rsid w:val="538D10A1"/>
    <w:rsid w:val="53A46AC8"/>
    <w:rsid w:val="53A54549"/>
    <w:rsid w:val="53F47B4C"/>
    <w:rsid w:val="5403314B"/>
    <w:rsid w:val="544A4CD7"/>
    <w:rsid w:val="545309AA"/>
    <w:rsid w:val="54BF0519"/>
    <w:rsid w:val="552827AD"/>
    <w:rsid w:val="552B1450"/>
    <w:rsid w:val="55584783"/>
    <w:rsid w:val="55835CD9"/>
    <w:rsid w:val="558E2FA7"/>
    <w:rsid w:val="55B464A8"/>
    <w:rsid w:val="55B7742C"/>
    <w:rsid w:val="55BD2802"/>
    <w:rsid w:val="55F969E7"/>
    <w:rsid w:val="56024028"/>
    <w:rsid w:val="5616190A"/>
    <w:rsid w:val="56941399"/>
    <w:rsid w:val="569F71AC"/>
    <w:rsid w:val="56BA15D9"/>
    <w:rsid w:val="56EF3AF5"/>
    <w:rsid w:val="56F83407"/>
    <w:rsid w:val="571E54DC"/>
    <w:rsid w:val="572210F5"/>
    <w:rsid w:val="572A730E"/>
    <w:rsid w:val="574B7843"/>
    <w:rsid w:val="576146B9"/>
    <w:rsid w:val="577865C9"/>
    <w:rsid w:val="578F7CCE"/>
    <w:rsid w:val="579C1BCB"/>
    <w:rsid w:val="57B74973"/>
    <w:rsid w:val="57E1103B"/>
    <w:rsid w:val="57E23AB5"/>
    <w:rsid w:val="58467715"/>
    <w:rsid w:val="587B1239"/>
    <w:rsid w:val="58886F75"/>
    <w:rsid w:val="58B65B9B"/>
    <w:rsid w:val="593309E8"/>
    <w:rsid w:val="59B07FB1"/>
    <w:rsid w:val="59FB712C"/>
    <w:rsid w:val="59FD262F"/>
    <w:rsid w:val="5A050D40"/>
    <w:rsid w:val="5A770B6E"/>
    <w:rsid w:val="5A8A0BF0"/>
    <w:rsid w:val="5AB246DC"/>
    <w:rsid w:val="5AB3215E"/>
    <w:rsid w:val="5AD42692"/>
    <w:rsid w:val="5B2F7529"/>
    <w:rsid w:val="5BBA168B"/>
    <w:rsid w:val="5BBD01B3"/>
    <w:rsid w:val="5C13779B"/>
    <w:rsid w:val="5CCF11D3"/>
    <w:rsid w:val="5D4A309B"/>
    <w:rsid w:val="5D7F7CF2"/>
    <w:rsid w:val="5D851C35"/>
    <w:rsid w:val="5F187E14"/>
    <w:rsid w:val="5F255EFF"/>
    <w:rsid w:val="5F5159EF"/>
    <w:rsid w:val="5FDA5B33"/>
    <w:rsid w:val="5FDC7E75"/>
    <w:rsid w:val="5FF120B4"/>
    <w:rsid w:val="603A596D"/>
    <w:rsid w:val="607B393B"/>
    <w:rsid w:val="609B470C"/>
    <w:rsid w:val="60AC4695"/>
    <w:rsid w:val="60BA2331"/>
    <w:rsid w:val="60EB32AF"/>
    <w:rsid w:val="61171AD8"/>
    <w:rsid w:val="6142291C"/>
    <w:rsid w:val="61B73BDF"/>
    <w:rsid w:val="61FE0917"/>
    <w:rsid w:val="623E513D"/>
    <w:rsid w:val="62563CE5"/>
    <w:rsid w:val="62E47AC9"/>
    <w:rsid w:val="6350047D"/>
    <w:rsid w:val="6412053C"/>
    <w:rsid w:val="64430D0B"/>
    <w:rsid w:val="648065F1"/>
    <w:rsid w:val="65046BCA"/>
    <w:rsid w:val="650A2CD2"/>
    <w:rsid w:val="651435E1"/>
    <w:rsid w:val="654153AA"/>
    <w:rsid w:val="654D4A40"/>
    <w:rsid w:val="6566621E"/>
    <w:rsid w:val="65821697"/>
    <w:rsid w:val="65CE6293"/>
    <w:rsid w:val="661E7317"/>
    <w:rsid w:val="66495BDD"/>
    <w:rsid w:val="669E696B"/>
    <w:rsid w:val="66C60005"/>
    <w:rsid w:val="66D435C2"/>
    <w:rsid w:val="66ED66EB"/>
    <w:rsid w:val="67763396"/>
    <w:rsid w:val="678A1A6C"/>
    <w:rsid w:val="679F070D"/>
    <w:rsid w:val="67A9335C"/>
    <w:rsid w:val="67D44D17"/>
    <w:rsid w:val="680C4CB4"/>
    <w:rsid w:val="680E2045"/>
    <w:rsid w:val="68976726"/>
    <w:rsid w:val="69156EBB"/>
    <w:rsid w:val="69760313"/>
    <w:rsid w:val="698A6FB3"/>
    <w:rsid w:val="69DD483F"/>
    <w:rsid w:val="69F942E4"/>
    <w:rsid w:val="6A0568FD"/>
    <w:rsid w:val="6A2B6B3C"/>
    <w:rsid w:val="6A865F51"/>
    <w:rsid w:val="6B9F60AC"/>
    <w:rsid w:val="6BA350A4"/>
    <w:rsid w:val="6BFA38B5"/>
    <w:rsid w:val="6C0A3B4F"/>
    <w:rsid w:val="6C254067"/>
    <w:rsid w:val="6C3426E1"/>
    <w:rsid w:val="6C7A1884"/>
    <w:rsid w:val="6D0A6F75"/>
    <w:rsid w:val="6D2E4BAB"/>
    <w:rsid w:val="6D4A44DB"/>
    <w:rsid w:val="6D63623C"/>
    <w:rsid w:val="6D853006"/>
    <w:rsid w:val="6DEB7F47"/>
    <w:rsid w:val="6E123F24"/>
    <w:rsid w:val="6E3B72E7"/>
    <w:rsid w:val="6E5C02CB"/>
    <w:rsid w:val="6E680DA5"/>
    <w:rsid w:val="6E804558"/>
    <w:rsid w:val="6EA0288E"/>
    <w:rsid w:val="6EE509F4"/>
    <w:rsid w:val="6EFC51A7"/>
    <w:rsid w:val="6F023405"/>
    <w:rsid w:val="6F0B13DB"/>
    <w:rsid w:val="6F25039A"/>
    <w:rsid w:val="6FA8783E"/>
    <w:rsid w:val="6FBC2EB1"/>
    <w:rsid w:val="70623166"/>
    <w:rsid w:val="7073020B"/>
    <w:rsid w:val="709C35CE"/>
    <w:rsid w:val="70D127A3"/>
    <w:rsid w:val="70F86AD9"/>
    <w:rsid w:val="71032079"/>
    <w:rsid w:val="71936767"/>
    <w:rsid w:val="72100F31"/>
    <w:rsid w:val="72287D95"/>
    <w:rsid w:val="72304FDF"/>
    <w:rsid w:val="72434C03"/>
    <w:rsid w:val="7247717D"/>
    <w:rsid w:val="729926C8"/>
    <w:rsid w:val="73096F4B"/>
    <w:rsid w:val="73131A58"/>
    <w:rsid w:val="7317045F"/>
    <w:rsid w:val="732D5E85"/>
    <w:rsid w:val="733D42E3"/>
    <w:rsid w:val="737230F7"/>
    <w:rsid w:val="73854316"/>
    <w:rsid w:val="73A57DF9"/>
    <w:rsid w:val="73A744CA"/>
    <w:rsid w:val="73CC19D5"/>
    <w:rsid w:val="741A7D2C"/>
    <w:rsid w:val="74694588"/>
    <w:rsid w:val="746C550D"/>
    <w:rsid w:val="74AF2AFE"/>
    <w:rsid w:val="74E146D2"/>
    <w:rsid w:val="74F86B15"/>
    <w:rsid w:val="756A3232"/>
    <w:rsid w:val="75895CE5"/>
    <w:rsid w:val="759901A2"/>
    <w:rsid w:val="759F2407"/>
    <w:rsid w:val="75D02BD6"/>
    <w:rsid w:val="75E15270"/>
    <w:rsid w:val="76116EC2"/>
    <w:rsid w:val="76325B80"/>
    <w:rsid w:val="76B72ED4"/>
    <w:rsid w:val="76F00D88"/>
    <w:rsid w:val="771928DB"/>
    <w:rsid w:val="771C067A"/>
    <w:rsid w:val="772A6AEC"/>
    <w:rsid w:val="77693C0F"/>
    <w:rsid w:val="77695CCA"/>
    <w:rsid w:val="776C5E7A"/>
    <w:rsid w:val="779415BD"/>
    <w:rsid w:val="779C0BC8"/>
    <w:rsid w:val="779C4C9B"/>
    <w:rsid w:val="77C2468B"/>
    <w:rsid w:val="7855167B"/>
    <w:rsid w:val="78A92755"/>
    <w:rsid w:val="78B9366E"/>
    <w:rsid w:val="78BC17CD"/>
    <w:rsid w:val="78D366C6"/>
    <w:rsid w:val="790B20A3"/>
    <w:rsid w:val="796C47DC"/>
    <w:rsid w:val="79DF2C7C"/>
    <w:rsid w:val="79E47779"/>
    <w:rsid w:val="79F57AA2"/>
    <w:rsid w:val="7A1F66E8"/>
    <w:rsid w:val="7A4C3D34"/>
    <w:rsid w:val="7A7D4CC5"/>
    <w:rsid w:val="7AE67D87"/>
    <w:rsid w:val="7B6E2211"/>
    <w:rsid w:val="7B8472B4"/>
    <w:rsid w:val="7BC80470"/>
    <w:rsid w:val="7BE0484E"/>
    <w:rsid w:val="7C081A8C"/>
    <w:rsid w:val="7C0F40E4"/>
    <w:rsid w:val="7C15332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9E07CB"/>
    <w:rsid w:val="7EDD5D31"/>
    <w:rsid w:val="7F23352A"/>
    <w:rsid w:val="7F6C689A"/>
    <w:rsid w:val="7F7D33DC"/>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50" w:beforeLines="50" w:after="50" w:afterLines="50" w:line="240" w:lineRule="auto"/>
      <w:outlineLvl w:val="2"/>
    </w:pPr>
    <w:rPr>
      <w:rFonts w:ascii="Arial" w:hAnsi="Arial" w:eastAsia="Arial Unicode MS"/>
      <w:bCs/>
      <w:sz w:val="30"/>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List 2"/>
    <w:basedOn w:val="10"/>
    <w:qFormat/>
    <w:uiPriority w:val="0"/>
    <w:pPr>
      <w:ind w:left="851"/>
    </w:pPr>
  </w:style>
  <w:style w:type="paragraph" w:styleId="10">
    <w:name w:val="List"/>
    <w:basedOn w:val="1"/>
    <w:semiHidden/>
    <w:unhideWhenUsed/>
    <w:qFormat/>
    <w:uiPriority w:val="99"/>
    <w:pPr>
      <w:ind w:left="200" w:hanging="200" w:hangingChars="200"/>
      <w:contextualSpacing/>
    </w:pPr>
  </w:style>
  <w:style w:type="paragraph" w:styleId="11">
    <w:name w:val="Balloon Text"/>
    <w:basedOn w:val="1"/>
    <w:link w:val="35"/>
    <w:semiHidden/>
    <w:unhideWhenUsed/>
    <w:qFormat/>
    <w:uiPriority w:val="99"/>
    <w:rPr>
      <w:sz w:val="18"/>
      <w:szCs w:val="18"/>
    </w:rPr>
  </w:style>
  <w:style w:type="paragraph" w:styleId="12">
    <w:name w:val="footer"/>
    <w:basedOn w:val="1"/>
    <w:link w:val="22"/>
    <w:unhideWhenUsed/>
    <w:qFormat/>
    <w:uiPriority w:val="99"/>
    <w:pPr>
      <w:tabs>
        <w:tab w:val="center" w:pos="4153"/>
        <w:tab w:val="right" w:pos="8306"/>
      </w:tabs>
      <w:snapToGrid w:val="0"/>
      <w:jc w:val="left"/>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3"/>
    <w:qFormat/>
    <w:uiPriority w:val="99"/>
    <w:rPr>
      <w:sz w:val="18"/>
      <w:szCs w:val="18"/>
    </w:rPr>
  </w:style>
  <w:style w:type="character" w:customStyle="1" w:styleId="22">
    <w:name w:val="Footer Char"/>
    <w:basedOn w:val="18"/>
    <w:link w:val="12"/>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0"/>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1"/>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Arial" w:hAnsi="Arial" w:eastAsia="Arial Unicode MS"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9"/>
    <w:qFormat/>
    <w:uiPriority w:val="0"/>
  </w:style>
  <w:style w:type="paragraph" w:customStyle="1" w:styleId="54">
    <w:name w:val="TAN"/>
    <w:basedOn w:val="29"/>
    <w:qFormat/>
    <w:uiPriority w:val="0"/>
    <w:pPr>
      <w:ind w:left="851" w:hanging="851"/>
    </w:pPr>
  </w:style>
  <w:style w:type="character" w:customStyle="1" w:styleId="55">
    <w:name w:val="B1 Char1"/>
    <w:qFormat/>
    <w:uiPriority w:val="0"/>
    <w:rPr>
      <w:rFonts w:eastAsia="Times New Roman"/>
    </w:rPr>
  </w:style>
  <w:style w:type="paragraph" w:customStyle="1" w:styleId="56">
    <w:name w:val="enumlev1"/>
    <w:basedOn w:val="1"/>
    <w:qFormat/>
    <w:uiPriority w:val="0"/>
    <w:pPr>
      <w:tabs>
        <w:tab w:val="left" w:pos="1134"/>
        <w:tab w:val="left" w:pos="1871"/>
        <w:tab w:val="left" w:pos="2608"/>
        <w:tab w:val="left" w:pos="3345"/>
      </w:tabs>
      <w:spacing w:before="80"/>
      <w:ind w:left="1134" w:hanging="1134"/>
    </w:pPr>
  </w:style>
  <w:style w:type="paragraph" w:customStyle="1" w:styleId="57">
    <w:name w:val="Table_title"/>
    <w:basedOn w:val="1"/>
    <w:next w:val="58"/>
    <w:qFormat/>
    <w:uiPriority w:val="0"/>
    <w:pPr>
      <w:keepNext/>
      <w:keepLines/>
      <w:tabs>
        <w:tab w:val="left" w:pos="1134"/>
        <w:tab w:val="left" w:pos="1871"/>
        <w:tab w:val="left" w:pos="2268"/>
      </w:tabs>
      <w:spacing w:before="0" w:after="120"/>
      <w:jc w:val="center"/>
    </w:pPr>
    <w:rPr>
      <w:rFonts w:ascii="Times New Roman Bold" w:hAnsi="Times New Roman Bold"/>
      <w:b/>
      <w:sz w:val="20"/>
    </w:rPr>
  </w:style>
  <w:style w:type="paragraph" w:customStyle="1" w:styleId="58">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2</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2024-02-19T10:43:55Z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