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283776"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B02B63">
        <w:rPr>
          <w:rFonts w:cs="Arial"/>
          <w:sz w:val="24"/>
          <w:szCs w:val="24"/>
        </w:rPr>
        <w:t>1</w:t>
      </w:r>
      <w:r w:rsidR="003A0336">
        <w:rPr>
          <w:rFonts w:cs="Arial"/>
          <w:sz w:val="24"/>
          <w:szCs w:val="24"/>
        </w:rPr>
        <w:t>10</w:t>
      </w:r>
      <w:r w:rsidR="007A793C" w:rsidRPr="004A029C">
        <w:rPr>
          <w:rFonts w:cs="Arial"/>
          <w:sz w:val="24"/>
          <w:szCs w:val="24"/>
        </w:rPr>
        <w:tab/>
      </w:r>
      <w:r w:rsidR="00392ABD" w:rsidRPr="00392ABD">
        <w:rPr>
          <w:rFonts w:cs="Arial"/>
          <w:sz w:val="24"/>
          <w:szCs w:val="24"/>
        </w:rPr>
        <w:t>R4-2401315</w:t>
      </w:r>
      <w:bookmarkStart w:id="0" w:name="_GoBack"/>
      <w:bookmarkEnd w:id="0"/>
    </w:p>
    <w:p w:rsidR="00B875B3" w:rsidRPr="006D409C" w:rsidRDefault="00B875B3" w:rsidP="00B875B3">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225BF" w:rsidRPr="00E225BF">
        <w:rPr>
          <w:rFonts w:ascii="Arial" w:hAnsi="Arial"/>
          <w:sz w:val="24"/>
          <w:lang w:val="en-US"/>
        </w:rPr>
        <w:t>6.2.</w:t>
      </w:r>
      <w:r w:rsidR="00B875B3">
        <w:rPr>
          <w:rFonts w:ascii="Arial" w:hAnsi="Arial"/>
          <w:sz w:val="24"/>
          <w:lang w:val="en-US"/>
        </w:rPr>
        <w:t>2.3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70995"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B02B63">
        <w:rPr>
          <w:rFonts w:eastAsiaTheme="minorEastAsia" w:hint="eastAsia"/>
          <w:lang w:val="en-US" w:eastAsia="zh-CN"/>
        </w:rPr>
        <w:t>The</w:t>
      </w:r>
      <w:r w:rsidR="00B02B63">
        <w:rPr>
          <w:rFonts w:eastAsiaTheme="minorEastAsia"/>
          <w:lang w:val="en-US" w:eastAsia="zh-CN"/>
        </w:rPr>
        <w:t xml:space="preserve"> core requirements have been completed with some left issues to be discussed in maintenance stage [3]. </w:t>
      </w:r>
      <w:r w:rsidR="009C1A89">
        <w:rPr>
          <w:rFonts w:eastAsiaTheme="minorEastAsia"/>
          <w:lang w:val="en-US" w:eastAsia="zh-CN"/>
        </w:rPr>
        <w:t>In this contribution,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887644" w:rsidRDefault="00887644" w:rsidP="003A0336">
      <w:pPr>
        <w:rPr>
          <w:lang w:val="en-US" w:eastAsia="zh-CN"/>
        </w:rPr>
      </w:pPr>
      <w:r>
        <w:rPr>
          <w:lang w:val="en-US" w:eastAsia="zh-CN"/>
        </w:rPr>
        <w:t>Regarding the measurement relaxation for serving cell for NGSO, the issue has been discussed for quite many meetings. The detailed analyzed could be find in our contribution [5]. Based on the comments received in previous meetings, the situations are summarized as follows.</w:t>
      </w:r>
    </w:p>
    <w:p w:rsidR="00887644" w:rsidRDefault="00887644" w:rsidP="003A0336">
      <w:pPr>
        <w:rPr>
          <w:lang w:val="en-US" w:eastAsia="zh-CN"/>
        </w:rPr>
      </w:pPr>
      <w:r>
        <w:rPr>
          <w:lang w:val="en-US" w:eastAsia="zh-CN"/>
        </w:rPr>
        <w:t>The motivation of normal serving cell measurement without relaxation before t-Service is that: The action of Cell reselection is determined by the measurement results of both neighbour cell and serving cell, and the relaxed serving cell measurement (N*DRX) may resulted in unnecessary delay before UE determines to perform Cell reselection.</w:t>
      </w:r>
    </w:p>
    <w:p w:rsidR="00887644" w:rsidRPr="00887644" w:rsidRDefault="00887644" w:rsidP="003A0336">
      <w:pPr>
        <w:rPr>
          <w:b/>
          <w:lang w:val="en-US" w:eastAsia="zh-CN"/>
        </w:rPr>
      </w:pPr>
      <w:r w:rsidRPr="00887644">
        <w:rPr>
          <w:b/>
          <w:lang w:val="en-US" w:eastAsia="zh-CN"/>
        </w:rPr>
        <w:t>Observation 1: The motivation of normal serving cell measurement without relaxation before t-Service is to avoid unnecessary delay before UE determines to perform Cell reselection, which is decided by the measurement results of both neighbour cell and serving cell.</w:t>
      </w:r>
    </w:p>
    <w:p w:rsidR="00887644" w:rsidRDefault="00887644" w:rsidP="003A0336">
      <w:pPr>
        <w:rPr>
          <w:lang w:val="en-US" w:eastAsia="zh-CN"/>
        </w:rPr>
      </w:pPr>
      <w:r>
        <w:rPr>
          <w:lang w:val="en-US" w:eastAsia="zh-CN"/>
        </w:rPr>
        <w:t xml:space="preserve">However, based on the discussion in previous meeting, we received valuable comments that UE may have less measurement opportunity for neighbour cell measurement if relaxed serving cell measurement is not allowed since UE may needs to perform measurement in different satellites in sequence. </w:t>
      </w:r>
    </w:p>
    <w:p w:rsidR="00887644" w:rsidRPr="00887644" w:rsidRDefault="00887644" w:rsidP="003A0336">
      <w:pPr>
        <w:rPr>
          <w:b/>
          <w:lang w:val="en-US" w:eastAsia="zh-CN"/>
        </w:rPr>
      </w:pPr>
      <w:r w:rsidRPr="00887644">
        <w:rPr>
          <w:b/>
          <w:lang w:val="en-US" w:eastAsia="zh-CN"/>
        </w:rPr>
        <w:t>Observation 2: UE may have less measurement opportunity for neighbour cell measurement if relaxed serving cell measurement is not allowed since UE may needs to perform measurement in different satellites in sequence.</w:t>
      </w:r>
    </w:p>
    <w:p w:rsidR="003A0336" w:rsidRDefault="00887644" w:rsidP="003A0336">
      <w:pPr>
        <w:rPr>
          <w:lang w:val="en-US" w:eastAsia="zh-CN"/>
        </w:rPr>
      </w:pPr>
      <w:r>
        <w:rPr>
          <w:lang w:val="en-US" w:eastAsia="zh-CN"/>
        </w:rPr>
        <w:t xml:space="preserve">For the situation mentioned in O2, we provide our analysis in [5] to show whether it will extend the neighbour cell measurement delay for different cases. </w:t>
      </w:r>
      <w:r w:rsidR="00741AF9">
        <w:rPr>
          <w:lang w:val="en-US" w:eastAsia="zh-CN"/>
        </w:rPr>
        <w:t>We observed that relaxed serving cell measurement will only provide more opportunity for neighbour cell measurement for certain cases (e.g. intra-f neighbour and serving cell are in different satellite). But more important, the benefits can not be reflected in the specification as the neighbour cell measurement delay requirements are the same not matter whether serving cell measurement is relaxed or not.</w:t>
      </w:r>
    </w:p>
    <w:p w:rsidR="00741AF9" w:rsidRDefault="00741AF9" w:rsidP="003A0336">
      <w:pPr>
        <w:rPr>
          <w:b/>
          <w:lang w:val="en-US" w:eastAsia="zh-CN"/>
        </w:rPr>
      </w:pPr>
      <w:r w:rsidRPr="00741AF9">
        <w:rPr>
          <w:b/>
          <w:lang w:val="en-US" w:eastAsia="zh-CN"/>
        </w:rPr>
        <w:t>Observation 3: Relaxed serving cell measurement will only provide more opportunity for neighbour cell measurement for certain cases (e.g. intra-f neighbour and serving cell are in different satellite), and it has no impacts neighbour cell measurement delay requirements not matter whether serving cell measurement is relaxed or not.</w:t>
      </w:r>
    </w:p>
    <w:p w:rsidR="00741AF9" w:rsidRPr="00741AF9" w:rsidRDefault="00741AF9" w:rsidP="003A0336">
      <w:pPr>
        <w:rPr>
          <w:lang w:val="en-US" w:eastAsia="zh-CN"/>
        </w:rPr>
      </w:pPr>
      <w:r w:rsidRPr="00741AF9">
        <w:rPr>
          <w:lang w:val="en-US" w:eastAsia="zh-CN"/>
        </w:rPr>
        <w:t>Based on the observation above, in seek of the middle ground to allow flexibility of UE measurement and also avoid unnecessary cell reselection delay, we propose to add following conditions for serving cell measurement relaxation:</w:t>
      </w:r>
    </w:p>
    <w:p w:rsidR="00741AF9" w:rsidRPr="00741AF9" w:rsidRDefault="00741AF9" w:rsidP="00741AF9">
      <w:pPr>
        <w:pStyle w:val="ListParagraph"/>
        <w:numPr>
          <w:ilvl w:val="0"/>
          <w:numId w:val="32"/>
        </w:numPr>
        <w:ind w:firstLineChars="0"/>
        <w:rPr>
          <w:b/>
          <w:lang w:val="en-US" w:eastAsia="zh-CN"/>
        </w:rPr>
      </w:pPr>
      <w:r w:rsidRPr="00B8447E">
        <w:t xml:space="preserve">The time span to </w:t>
      </w:r>
      <w:r w:rsidRPr="00741AF9">
        <w:rPr>
          <w:rFonts w:eastAsia="Calibri"/>
          <w:i/>
          <w:iCs/>
          <w:color w:val="000000"/>
          <w:lang w:val="en-US" w:eastAsia="zh-CN"/>
        </w:rPr>
        <w:t xml:space="preserve">t-Service-r17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 xml:space="preserve">, </w:t>
      </w:r>
      <w:r w:rsidRPr="00C055C1">
        <w:t>when UE already starts measuring intra-frequency neighbour cell measurement in the same satellite</w:t>
      </w:r>
      <w:r>
        <w:t xml:space="preserve"> every DRX</w:t>
      </w:r>
      <w:r w:rsidRPr="00C055C1">
        <w:t>.</w:t>
      </w:r>
    </w:p>
    <w:p w:rsidR="00741AF9" w:rsidRDefault="00741AF9" w:rsidP="003A0336">
      <w:pPr>
        <w:rPr>
          <w:lang w:val="en-US" w:eastAsia="zh-CN"/>
        </w:rPr>
      </w:pPr>
      <w:r>
        <w:rPr>
          <w:lang w:val="en-US" w:eastAsia="zh-CN"/>
        </w:rPr>
        <w:t>Specifically, if UE is already perform</w:t>
      </w:r>
      <w:r w:rsidR="00E1191D">
        <w:rPr>
          <w:lang w:val="en-US" w:eastAsia="zh-CN"/>
        </w:rPr>
        <w:t>ing</w:t>
      </w:r>
      <w:r>
        <w:rPr>
          <w:lang w:val="en-US" w:eastAsia="zh-CN"/>
        </w:rPr>
        <w:t xml:space="preserve"> intra-f measurement on the same satellite as serving cell measurement every DRX, there is no reason to allow relaxed serving cell measurement. Under this case, performing serving cell measurement every DRX will not </w:t>
      </w:r>
      <w:r w:rsidR="00E1191D">
        <w:rPr>
          <w:lang w:val="en-US" w:eastAsia="zh-CN"/>
        </w:rPr>
        <w:t>spare any extra measurement opportunities or cause additional power consumption.</w:t>
      </w:r>
    </w:p>
    <w:p w:rsidR="00E1191D" w:rsidRPr="00E1191D" w:rsidRDefault="00E1191D" w:rsidP="003A0336">
      <w:pPr>
        <w:rPr>
          <w:b/>
          <w:lang w:val="en-US" w:eastAsia="zh-CN"/>
        </w:rPr>
      </w:pPr>
      <w:r w:rsidRPr="00E1191D">
        <w:rPr>
          <w:b/>
          <w:lang w:val="en-US" w:eastAsia="zh-CN"/>
        </w:rPr>
        <w:lastRenderedPageBreak/>
        <w:t>Proposal 1: Add following conditions for serving cell measurement:</w:t>
      </w:r>
    </w:p>
    <w:p w:rsidR="00E1191D" w:rsidRPr="00E1191D" w:rsidRDefault="00E1191D" w:rsidP="00E1191D">
      <w:pPr>
        <w:pStyle w:val="ListParagraph"/>
        <w:numPr>
          <w:ilvl w:val="0"/>
          <w:numId w:val="32"/>
        </w:numPr>
        <w:ind w:firstLineChars="0"/>
        <w:rPr>
          <w:b/>
          <w:lang w:val="en-US" w:eastAsia="zh-CN"/>
        </w:rPr>
      </w:pPr>
      <w:r w:rsidRPr="00E1191D">
        <w:rPr>
          <w:b/>
        </w:rPr>
        <w:t xml:space="preserve">The time span to </w:t>
      </w:r>
      <w:r w:rsidRPr="00E1191D">
        <w:rPr>
          <w:rFonts w:eastAsia="Calibri"/>
          <w:b/>
          <w:i/>
          <w:iCs/>
          <w:color w:val="000000"/>
          <w:lang w:val="en-US" w:eastAsia="zh-CN"/>
        </w:rPr>
        <w:t xml:space="preserve">t-Service-r17 </w:t>
      </w:r>
      <w:r w:rsidRPr="00E1191D">
        <w:rPr>
          <w:b/>
        </w:rPr>
        <w:t xml:space="preserve">is longer than k, where k = 4 DRX cycle if not configured with </w:t>
      </w:r>
      <w:proofErr w:type="spellStart"/>
      <w:r w:rsidRPr="00E1191D">
        <w:rPr>
          <w:b/>
        </w:rPr>
        <w:t>eDRX_IDLE</w:t>
      </w:r>
      <w:proofErr w:type="spellEnd"/>
      <w:r w:rsidRPr="00E1191D">
        <w:rPr>
          <w:b/>
        </w:rPr>
        <w:t xml:space="preserve"> cycle and k = 1 </w:t>
      </w:r>
      <w:proofErr w:type="spellStart"/>
      <w:r w:rsidRPr="00E1191D">
        <w:rPr>
          <w:b/>
        </w:rPr>
        <w:t>eDRX</w:t>
      </w:r>
      <w:proofErr w:type="spellEnd"/>
      <w:r w:rsidRPr="00E1191D">
        <w:rPr>
          <w:b/>
        </w:rPr>
        <w:t xml:space="preserve"> cycle if configured with </w:t>
      </w:r>
      <w:proofErr w:type="spellStart"/>
      <w:r w:rsidRPr="00E1191D">
        <w:rPr>
          <w:b/>
        </w:rPr>
        <w:t>eDRX_IDLE</w:t>
      </w:r>
      <w:proofErr w:type="spellEnd"/>
      <w:r w:rsidRPr="00E1191D">
        <w:rPr>
          <w:b/>
        </w:rPr>
        <w:t xml:space="preserve"> cycle, when UE already starts measuring intra-frequency neighbour cell measurement in the same satellite every DRX.</w:t>
      </w:r>
    </w:p>
    <w:p w:rsidR="00B02B63" w:rsidRPr="00181AC2" w:rsidRDefault="00B02B63" w:rsidP="00BC5381">
      <w:pPr>
        <w:jc w:val="both"/>
        <w:rPr>
          <w:b/>
          <w:lang w:val="en-US"/>
        </w:rPr>
      </w:pPr>
    </w:p>
    <w:p w:rsidR="00181AC2" w:rsidRPr="00E430A2" w:rsidRDefault="00181AC2" w:rsidP="004E4C75">
      <w:pPr>
        <w:jc w:val="both"/>
        <w:rPr>
          <w:b/>
        </w:rPr>
      </w:pPr>
    </w:p>
    <w:p w:rsidR="00386BEA" w:rsidRPr="00386BEA" w:rsidRDefault="00DF0231" w:rsidP="00A86270">
      <w:pPr>
        <w:pStyle w:val="Heading1"/>
        <w:numPr>
          <w:ilvl w:val="0"/>
          <w:numId w:val="1"/>
        </w:numPr>
        <w:rPr>
          <w:lang w:val="en-US"/>
        </w:rPr>
      </w:pPr>
      <w:r w:rsidRPr="002D2977">
        <w:rPr>
          <w:lang w:val="en-US"/>
        </w:rPr>
        <w:t>Conclusions</w:t>
      </w:r>
    </w:p>
    <w:p w:rsidR="00E1191D" w:rsidRPr="00887644" w:rsidRDefault="00E1191D" w:rsidP="00E1191D">
      <w:pPr>
        <w:rPr>
          <w:b/>
          <w:lang w:val="en-US" w:eastAsia="zh-CN"/>
        </w:rPr>
      </w:pPr>
      <w:r w:rsidRPr="00887644">
        <w:rPr>
          <w:b/>
          <w:lang w:val="en-US" w:eastAsia="zh-CN"/>
        </w:rPr>
        <w:t>Observation 1: The motivation of normal serving cell measurement without relaxation before t-Service is to avoid unnecessary delay before UE determines to perform Cell reselection, which is decided by the measurement results of both neighbour cell and serving cell.</w:t>
      </w:r>
    </w:p>
    <w:p w:rsidR="00E1191D" w:rsidRPr="00887644" w:rsidRDefault="00E1191D" w:rsidP="00E1191D">
      <w:pPr>
        <w:rPr>
          <w:b/>
          <w:lang w:val="en-US" w:eastAsia="zh-CN"/>
        </w:rPr>
      </w:pPr>
      <w:r w:rsidRPr="00887644">
        <w:rPr>
          <w:b/>
          <w:lang w:val="en-US" w:eastAsia="zh-CN"/>
        </w:rPr>
        <w:t>Observation 2: UE may have less measurement opportunity for neighbour cell measurement if relaxed serving cell measurement is not allowed since UE may needs to perform measurement in different satellites in sequence.</w:t>
      </w:r>
    </w:p>
    <w:p w:rsidR="00E1191D" w:rsidRDefault="00E1191D" w:rsidP="00E1191D">
      <w:pPr>
        <w:rPr>
          <w:b/>
          <w:lang w:val="en-US" w:eastAsia="zh-CN"/>
        </w:rPr>
      </w:pPr>
      <w:r w:rsidRPr="00741AF9">
        <w:rPr>
          <w:b/>
          <w:lang w:val="en-US" w:eastAsia="zh-CN"/>
        </w:rPr>
        <w:t>Observation 3: Relaxed serving cell measurement will only provide more opportunity for neighbour cell measurement for certain cases (e.g. intra-f neighbour and serving cell are in different satellite), and it has no impacts neighbour cell measurement delay requirements not matter whether serving cell measurement is relaxed or not.</w:t>
      </w:r>
    </w:p>
    <w:p w:rsidR="00E1191D" w:rsidRPr="00E1191D" w:rsidRDefault="00E1191D" w:rsidP="00E1191D">
      <w:pPr>
        <w:rPr>
          <w:b/>
          <w:lang w:val="en-US" w:eastAsia="zh-CN"/>
        </w:rPr>
      </w:pPr>
      <w:r w:rsidRPr="00E1191D">
        <w:rPr>
          <w:b/>
          <w:lang w:val="en-US" w:eastAsia="zh-CN"/>
        </w:rPr>
        <w:t>Proposal 1: Add following conditions for serving cell measurement:</w:t>
      </w:r>
    </w:p>
    <w:p w:rsidR="00E1191D" w:rsidRPr="00E1191D" w:rsidRDefault="00E1191D" w:rsidP="00E1191D">
      <w:pPr>
        <w:pStyle w:val="ListParagraph"/>
        <w:numPr>
          <w:ilvl w:val="0"/>
          <w:numId w:val="32"/>
        </w:numPr>
        <w:ind w:firstLineChars="0"/>
        <w:rPr>
          <w:b/>
          <w:lang w:val="en-US" w:eastAsia="zh-CN"/>
        </w:rPr>
      </w:pPr>
      <w:r w:rsidRPr="00E1191D">
        <w:rPr>
          <w:b/>
        </w:rPr>
        <w:t xml:space="preserve">The time span to </w:t>
      </w:r>
      <w:r w:rsidRPr="00E1191D">
        <w:rPr>
          <w:rFonts w:eastAsia="Calibri"/>
          <w:b/>
          <w:i/>
          <w:iCs/>
          <w:color w:val="000000"/>
          <w:lang w:val="en-US" w:eastAsia="zh-CN"/>
        </w:rPr>
        <w:t xml:space="preserve">t-Service-r17 </w:t>
      </w:r>
      <w:r w:rsidRPr="00E1191D">
        <w:rPr>
          <w:b/>
        </w:rPr>
        <w:t xml:space="preserve">is longer than k, where k = 4 DRX cycle if not configured with </w:t>
      </w:r>
      <w:proofErr w:type="spellStart"/>
      <w:r w:rsidRPr="00E1191D">
        <w:rPr>
          <w:b/>
        </w:rPr>
        <w:t>eDRX_IDLE</w:t>
      </w:r>
      <w:proofErr w:type="spellEnd"/>
      <w:r w:rsidRPr="00E1191D">
        <w:rPr>
          <w:b/>
        </w:rPr>
        <w:t xml:space="preserve"> cycle and k = 1 </w:t>
      </w:r>
      <w:proofErr w:type="spellStart"/>
      <w:r w:rsidRPr="00E1191D">
        <w:rPr>
          <w:b/>
        </w:rPr>
        <w:t>eDRX</w:t>
      </w:r>
      <w:proofErr w:type="spellEnd"/>
      <w:r w:rsidRPr="00E1191D">
        <w:rPr>
          <w:b/>
        </w:rPr>
        <w:t xml:space="preserve"> cycle if configured with </w:t>
      </w:r>
      <w:proofErr w:type="spellStart"/>
      <w:r w:rsidRPr="00E1191D">
        <w:rPr>
          <w:b/>
        </w:rPr>
        <w:t>eDRX_IDLE</w:t>
      </w:r>
      <w:proofErr w:type="spellEnd"/>
      <w:r w:rsidRPr="00E1191D">
        <w:rPr>
          <w:b/>
        </w:rPr>
        <w:t xml:space="preserve"> cycle, when UE already starts measuring intra-frequency neighbour cell measurement in the same satellite every DRX.</w:t>
      </w:r>
    </w:p>
    <w:p w:rsidR="003A0336" w:rsidRPr="00181AC2" w:rsidRDefault="003A0336"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970995" w:rsidRPr="00970995">
        <w:rPr>
          <w:rFonts w:eastAsiaTheme="minorEastAsia"/>
          <w:lang w:val="en-US" w:eastAsia="zh-CN"/>
        </w:rPr>
        <w:t>R4-2310098</w:t>
      </w:r>
      <w:r w:rsidR="00970995">
        <w:rPr>
          <w:rFonts w:eastAsiaTheme="minorEastAsia"/>
          <w:lang w:val="en-US" w:eastAsia="zh-CN"/>
        </w:rPr>
        <w:t xml:space="preserve"> </w:t>
      </w:r>
      <w:r w:rsidR="00970995" w:rsidRPr="00970995">
        <w:rPr>
          <w:rFonts w:eastAsiaTheme="minorEastAsia"/>
          <w:lang w:val="en-US" w:eastAsia="zh-CN"/>
        </w:rPr>
        <w:t>WF on RRM requirements for NTN NB-IoT/</w:t>
      </w:r>
      <w:proofErr w:type="spellStart"/>
      <w:r w:rsidR="00970995" w:rsidRPr="00970995">
        <w:rPr>
          <w:rFonts w:eastAsiaTheme="minorEastAsia"/>
          <w:lang w:val="en-US" w:eastAsia="zh-CN"/>
        </w:rPr>
        <w:t>eMTC</w:t>
      </w:r>
      <w:proofErr w:type="spellEnd"/>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Default="00970995" w:rsidP="00751D0C">
      <w:pPr>
        <w:rPr>
          <w:rFonts w:eastAsiaTheme="minorEastAsia"/>
          <w:lang w:val="en-US" w:eastAsia="zh-CN"/>
        </w:rPr>
      </w:pPr>
      <w:r>
        <w:rPr>
          <w:rFonts w:eastAsiaTheme="minorEastAsia"/>
          <w:lang w:val="en-US" w:eastAsia="zh-CN"/>
        </w:rPr>
        <w:t xml:space="preserve">[4] </w:t>
      </w:r>
      <w:r w:rsidR="00E225BF" w:rsidRPr="00E225BF">
        <w:rPr>
          <w:rFonts w:eastAsiaTheme="minorEastAsia"/>
          <w:lang w:val="en-US" w:eastAsia="zh-CN"/>
        </w:rPr>
        <w:t>R4-2314433</w:t>
      </w:r>
      <w:r w:rsidR="00E225BF">
        <w:rPr>
          <w:rFonts w:eastAsiaTheme="minorEastAsia"/>
          <w:lang w:val="en-US" w:eastAsia="zh-CN"/>
        </w:rPr>
        <w:t xml:space="preserve"> </w:t>
      </w:r>
      <w:r w:rsidR="00E225BF" w:rsidRPr="00E225BF">
        <w:rPr>
          <w:rFonts w:eastAsiaTheme="minorEastAsia"/>
          <w:lang w:val="en-US" w:eastAsia="zh-CN"/>
        </w:rPr>
        <w:t>WF on NB-IoT/</w:t>
      </w:r>
      <w:proofErr w:type="spellStart"/>
      <w:r w:rsidR="00E225BF" w:rsidRPr="00E225BF">
        <w:rPr>
          <w:rFonts w:eastAsiaTheme="minorEastAsia"/>
          <w:lang w:val="en-US" w:eastAsia="zh-CN"/>
        </w:rPr>
        <w:t>eMTC</w:t>
      </w:r>
      <w:proofErr w:type="spellEnd"/>
      <w:r w:rsidR="00E225BF" w:rsidRPr="00E225BF">
        <w:rPr>
          <w:rFonts w:eastAsiaTheme="minorEastAsia"/>
          <w:lang w:val="en-US" w:eastAsia="zh-CN"/>
        </w:rPr>
        <w:t xml:space="preserve"> NTN core &amp; perf. RRM requirements maintenance</w:t>
      </w:r>
    </w:p>
    <w:p w:rsidR="003A0336" w:rsidRPr="00970995" w:rsidRDefault="003A0336" w:rsidP="00751D0C">
      <w:pPr>
        <w:rPr>
          <w:rFonts w:eastAsiaTheme="minorEastAsia"/>
          <w:lang w:eastAsia="zh-CN"/>
        </w:rPr>
      </w:pPr>
      <w:r>
        <w:rPr>
          <w:rFonts w:eastAsiaTheme="minorEastAsia"/>
          <w:lang w:eastAsia="zh-CN"/>
        </w:rPr>
        <w:t xml:space="preserve">[5] </w:t>
      </w:r>
      <w:r w:rsidRPr="003A0336">
        <w:rPr>
          <w:rFonts w:eastAsiaTheme="minorEastAsia"/>
          <w:lang w:eastAsia="zh-CN"/>
        </w:rPr>
        <w:t>R4-2319350</w:t>
      </w:r>
      <w:r>
        <w:rPr>
          <w:rFonts w:eastAsiaTheme="minorEastAsia"/>
          <w:lang w:eastAsia="zh-CN"/>
        </w:rPr>
        <w:t xml:space="preserve"> </w:t>
      </w:r>
      <w:r w:rsidRPr="003A0336">
        <w:rPr>
          <w:rFonts w:eastAsiaTheme="minorEastAsia"/>
          <w:lang w:eastAsia="zh-CN"/>
        </w:rPr>
        <w:t>Discussion on RRM requirements maintenance for IoT NTN</w:t>
      </w:r>
    </w:p>
    <w:sectPr w:rsidR="003A0336" w:rsidRPr="0097099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310" w:rsidRDefault="00462310">
      <w:pPr>
        <w:spacing w:after="0"/>
      </w:pPr>
      <w:r>
        <w:separator/>
      </w:r>
    </w:p>
  </w:endnote>
  <w:endnote w:type="continuationSeparator" w:id="0">
    <w:p w:rsidR="00462310" w:rsidRDefault="00462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310" w:rsidRDefault="00462310">
      <w:pPr>
        <w:spacing w:after="0"/>
      </w:pPr>
      <w:r>
        <w:separator/>
      </w:r>
    </w:p>
  </w:footnote>
  <w:footnote w:type="continuationSeparator" w:id="0">
    <w:p w:rsidR="00462310" w:rsidRDefault="004623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4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5AD2FCD"/>
    <w:multiLevelType w:val="hybridMultilevel"/>
    <w:tmpl w:val="01741B5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4"/>
  </w:num>
  <w:num w:numId="2">
    <w:abstractNumId w:val="2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
  </w:num>
  <w:num w:numId="7">
    <w:abstractNumId w:val="16"/>
  </w:num>
  <w:num w:numId="8">
    <w:abstractNumId w:val="3"/>
  </w:num>
  <w:num w:numId="9">
    <w:abstractNumId w:val="22"/>
  </w:num>
  <w:num w:numId="10">
    <w:abstractNumId w:val="0"/>
  </w:num>
  <w:num w:numId="11">
    <w:abstractNumId w:val="16"/>
  </w:num>
  <w:num w:numId="12">
    <w:abstractNumId w:val="11"/>
  </w:num>
  <w:num w:numId="13">
    <w:abstractNumId w:val="13"/>
  </w:num>
  <w:num w:numId="14">
    <w:abstractNumId w:val="18"/>
  </w:num>
  <w:num w:numId="15">
    <w:abstractNumId w:val="1"/>
  </w:num>
  <w:num w:numId="16">
    <w:abstractNumId w:val="18"/>
  </w:num>
  <w:num w:numId="17">
    <w:abstractNumId w:val="6"/>
  </w:num>
  <w:num w:numId="18">
    <w:abstractNumId w:val="25"/>
  </w:num>
  <w:num w:numId="19">
    <w:abstractNumId w:val="18"/>
  </w:num>
  <w:num w:numId="20">
    <w:abstractNumId w:val="26"/>
  </w:num>
  <w:num w:numId="21">
    <w:abstractNumId w:val="21"/>
  </w:num>
  <w:num w:numId="22">
    <w:abstractNumId w:val="16"/>
  </w:num>
  <w:num w:numId="23">
    <w:abstractNumId w:val="15"/>
  </w:num>
  <w:num w:numId="24">
    <w:abstractNumId w:val="25"/>
  </w:num>
  <w:num w:numId="25">
    <w:abstractNumId w:val="5"/>
  </w:num>
  <w:num w:numId="26">
    <w:abstractNumId w:val="20"/>
  </w:num>
  <w:num w:numId="27">
    <w:abstractNumId w:val="9"/>
  </w:num>
  <w:num w:numId="28">
    <w:abstractNumId w:val="12"/>
  </w:num>
  <w:num w:numId="29">
    <w:abstractNumId w:val="10"/>
  </w:num>
  <w:num w:numId="30">
    <w:abstractNumId w:val="19"/>
  </w:num>
  <w:num w:numId="31">
    <w:abstractNumId w:val="7"/>
  </w:num>
  <w:num w:numId="3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3D8"/>
    <w:rsid w:val="000109DF"/>
    <w:rsid w:val="00013180"/>
    <w:rsid w:val="000131D4"/>
    <w:rsid w:val="00025036"/>
    <w:rsid w:val="00026467"/>
    <w:rsid w:val="00026991"/>
    <w:rsid w:val="00035B7C"/>
    <w:rsid w:val="00035D42"/>
    <w:rsid w:val="00037E80"/>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1FA0"/>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47AE"/>
    <w:rsid w:val="001365E9"/>
    <w:rsid w:val="001406A8"/>
    <w:rsid w:val="0014128A"/>
    <w:rsid w:val="00141870"/>
    <w:rsid w:val="001435CB"/>
    <w:rsid w:val="001452C9"/>
    <w:rsid w:val="00151949"/>
    <w:rsid w:val="00152334"/>
    <w:rsid w:val="001531EC"/>
    <w:rsid w:val="00153CFF"/>
    <w:rsid w:val="00160573"/>
    <w:rsid w:val="00161981"/>
    <w:rsid w:val="00163724"/>
    <w:rsid w:val="00165992"/>
    <w:rsid w:val="00171619"/>
    <w:rsid w:val="001734E7"/>
    <w:rsid w:val="00175B04"/>
    <w:rsid w:val="0017747E"/>
    <w:rsid w:val="00181AC2"/>
    <w:rsid w:val="0018314E"/>
    <w:rsid w:val="00184719"/>
    <w:rsid w:val="0019343D"/>
    <w:rsid w:val="00197964"/>
    <w:rsid w:val="001A0A8D"/>
    <w:rsid w:val="001A1A49"/>
    <w:rsid w:val="001A1E7C"/>
    <w:rsid w:val="001C4240"/>
    <w:rsid w:val="001C5D98"/>
    <w:rsid w:val="001C5E22"/>
    <w:rsid w:val="001D154C"/>
    <w:rsid w:val="001D3006"/>
    <w:rsid w:val="001D7F90"/>
    <w:rsid w:val="001E17E6"/>
    <w:rsid w:val="001E24D0"/>
    <w:rsid w:val="001E7174"/>
    <w:rsid w:val="001F03D0"/>
    <w:rsid w:val="0020000C"/>
    <w:rsid w:val="0020033A"/>
    <w:rsid w:val="00207FF4"/>
    <w:rsid w:val="002160E3"/>
    <w:rsid w:val="00216A70"/>
    <w:rsid w:val="00216AAB"/>
    <w:rsid w:val="00217770"/>
    <w:rsid w:val="002204E2"/>
    <w:rsid w:val="00221C9D"/>
    <w:rsid w:val="002221AC"/>
    <w:rsid w:val="002224FF"/>
    <w:rsid w:val="00222A85"/>
    <w:rsid w:val="00222AF7"/>
    <w:rsid w:val="002230C1"/>
    <w:rsid w:val="00224857"/>
    <w:rsid w:val="002266C2"/>
    <w:rsid w:val="00232120"/>
    <w:rsid w:val="002328DD"/>
    <w:rsid w:val="0023369F"/>
    <w:rsid w:val="00234AA1"/>
    <w:rsid w:val="00241980"/>
    <w:rsid w:val="00243552"/>
    <w:rsid w:val="00243BFC"/>
    <w:rsid w:val="002454B4"/>
    <w:rsid w:val="00245810"/>
    <w:rsid w:val="00254F38"/>
    <w:rsid w:val="002620F9"/>
    <w:rsid w:val="00264822"/>
    <w:rsid w:val="00267D3F"/>
    <w:rsid w:val="00272F1F"/>
    <w:rsid w:val="0027365E"/>
    <w:rsid w:val="002736F0"/>
    <w:rsid w:val="00277B56"/>
    <w:rsid w:val="00282D3C"/>
    <w:rsid w:val="00283776"/>
    <w:rsid w:val="00284EA4"/>
    <w:rsid w:val="00294B79"/>
    <w:rsid w:val="002978A7"/>
    <w:rsid w:val="002A0BB1"/>
    <w:rsid w:val="002A235C"/>
    <w:rsid w:val="002A2EF8"/>
    <w:rsid w:val="002A5E54"/>
    <w:rsid w:val="002A640E"/>
    <w:rsid w:val="002A677B"/>
    <w:rsid w:val="002B0D2E"/>
    <w:rsid w:val="002B45C3"/>
    <w:rsid w:val="002B5F4F"/>
    <w:rsid w:val="002B6FD5"/>
    <w:rsid w:val="002D03A9"/>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1F3"/>
    <w:rsid w:val="003422A4"/>
    <w:rsid w:val="00352697"/>
    <w:rsid w:val="003567C2"/>
    <w:rsid w:val="00356FB6"/>
    <w:rsid w:val="003622B2"/>
    <w:rsid w:val="00362F43"/>
    <w:rsid w:val="003664ED"/>
    <w:rsid w:val="00366E5E"/>
    <w:rsid w:val="00376522"/>
    <w:rsid w:val="00377D59"/>
    <w:rsid w:val="003844DE"/>
    <w:rsid w:val="0038462A"/>
    <w:rsid w:val="00384847"/>
    <w:rsid w:val="0038557C"/>
    <w:rsid w:val="003866C4"/>
    <w:rsid w:val="00386BEA"/>
    <w:rsid w:val="00392ABD"/>
    <w:rsid w:val="0039404F"/>
    <w:rsid w:val="003A0336"/>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457E"/>
    <w:rsid w:val="00407B73"/>
    <w:rsid w:val="00411C89"/>
    <w:rsid w:val="00415933"/>
    <w:rsid w:val="004223E2"/>
    <w:rsid w:val="00422C2D"/>
    <w:rsid w:val="00423683"/>
    <w:rsid w:val="00423FB0"/>
    <w:rsid w:val="004273E7"/>
    <w:rsid w:val="00430AE6"/>
    <w:rsid w:val="00430F24"/>
    <w:rsid w:val="00433560"/>
    <w:rsid w:val="00433890"/>
    <w:rsid w:val="00434D68"/>
    <w:rsid w:val="00435D65"/>
    <w:rsid w:val="00435EBD"/>
    <w:rsid w:val="0043678E"/>
    <w:rsid w:val="004405D4"/>
    <w:rsid w:val="00451B80"/>
    <w:rsid w:val="00453799"/>
    <w:rsid w:val="00454E6A"/>
    <w:rsid w:val="00455FD0"/>
    <w:rsid w:val="004569BB"/>
    <w:rsid w:val="00462310"/>
    <w:rsid w:val="004630EE"/>
    <w:rsid w:val="00465B9B"/>
    <w:rsid w:val="00466AE8"/>
    <w:rsid w:val="00466D02"/>
    <w:rsid w:val="004677F7"/>
    <w:rsid w:val="00477263"/>
    <w:rsid w:val="004831D1"/>
    <w:rsid w:val="00485549"/>
    <w:rsid w:val="0049501A"/>
    <w:rsid w:val="00496923"/>
    <w:rsid w:val="004A0306"/>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3FF7"/>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C7FC3"/>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20A6"/>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484"/>
    <w:rsid w:val="006F1BAF"/>
    <w:rsid w:val="006F27CD"/>
    <w:rsid w:val="006F4D95"/>
    <w:rsid w:val="006F5874"/>
    <w:rsid w:val="00701598"/>
    <w:rsid w:val="007028B4"/>
    <w:rsid w:val="00702FA5"/>
    <w:rsid w:val="00703B4D"/>
    <w:rsid w:val="007051D4"/>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1AF9"/>
    <w:rsid w:val="007448B1"/>
    <w:rsid w:val="00745A97"/>
    <w:rsid w:val="00751D0C"/>
    <w:rsid w:val="00751E52"/>
    <w:rsid w:val="00757896"/>
    <w:rsid w:val="00763EF7"/>
    <w:rsid w:val="00766048"/>
    <w:rsid w:val="00766C53"/>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1B4"/>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87644"/>
    <w:rsid w:val="008921D4"/>
    <w:rsid w:val="008924AB"/>
    <w:rsid w:val="00892EAE"/>
    <w:rsid w:val="00893B15"/>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25A5"/>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33DA9"/>
    <w:rsid w:val="009450D8"/>
    <w:rsid w:val="00946BF6"/>
    <w:rsid w:val="009524AD"/>
    <w:rsid w:val="00955217"/>
    <w:rsid w:val="00957098"/>
    <w:rsid w:val="009660E3"/>
    <w:rsid w:val="009708D0"/>
    <w:rsid w:val="00970995"/>
    <w:rsid w:val="00972D26"/>
    <w:rsid w:val="00973C4C"/>
    <w:rsid w:val="009814D6"/>
    <w:rsid w:val="0099022B"/>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D7A66"/>
    <w:rsid w:val="009E061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2081"/>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27176"/>
    <w:rsid w:val="00B343A3"/>
    <w:rsid w:val="00B37533"/>
    <w:rsid w:val="00B4184D"/>
    <w:rsid w:val="00B41E6D"/>
    <w:rsid w:val="00B430DA"/>
    <w:rsid w:val="00B450D5"/>
    <w:rsid w:val="00B51F58"/>
    <w:rsid w:val="00B54605"/>
    <w:rsid w:val="00B54E66"/>
    <w:rsid w:val="00B55002"/>
    <w:rsid w:val="00B55463"/>
    <w:rsid w:val="00B56E67"/>
    <w:rsid w:val="00B60998"/>
    <w:rsid w:val="00B7158B"/>
    <w:rsid w:val="00B71C35"/>
    <w:rsid w:val="00B72BEC"/>
    <w:rsid w:val="00B73A82"/>
    <w:rsid w:val="00B76F4D"/>
    <w:rsid w:val="00B77412"/>
    <w:rsid w:val="00B77752"/>
    <w:rsid w:val="00B80822"/>
    <w:rsid w:val="00B83BC0"/>
    <w:rsid w:val="00B875B3"/>
    <w:rsid w:val="00B87A6F"/>
    <w:rsid w:val="00B91028"/>
    <w:rsid w:val="00B91712"/>
    <w:rsid w:val="00B92509"/>
    <w:rsid w:val="00B92A6E"/>
    <w:rsid w:val="00B9763F"/>
    <w:rsid w:val="00BA05B4"/>
    <w:rsid w:val="00BA0FB3"/>
    <w:rsid w:val="00BA2CB9"/>
    <w:rsid w:val="00BA3511"/>
    <w:rsid w:val="00BA3882"/>
    <w:rsid w:val="00BA3B44"/>
    <w:rsid w:val="00BA4C0A"/>
    <w:rsid w:val="00BB2A32"/>
    <w:rsid w:val="00BB3285"/>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E6B86"/>
    <w:rsid w:val="00BF00A7"/>
    <w:rsid w:val="00BF136F"/>
    <w:rsid w:val="00BF33D9"/>
    <w:rsid w:val="00BF5AD6"/>
    <w:rsid w:val="00C0184F"/>
    <w:rsid w:val="00C075BD"/>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1E06"/>
    <w:rsid w:val="00C73515"/>
    <w:rsid w:val="00C74442"/>
    <w:rsid w:val="00C754BC"/>
    <w:rsid w:val="00C76E52"/>
    <w:rsid w:val="00C82283"/>
    <w:rsid w:val="00C83525"/>
    <w:rsid w:val="00CA1729"/>
    <w:rsid w:val="00CA176C"/>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BAA"/>
    <w:rsid w:val="00CF1DFC"/>
    <w:rsid w:val="00CF2856"/>
    <w:rsid w:val="00CF5CE7"/>
    <w:rsid w:val="00CF5EF5"/>
    <w:rsid w:val="00CF7481"/>
    <w:rsid w:val="00CF7EE3"/>
    <w:rsid w:val="00D0284A"/>
    <w:rsid w:val="00D03278"/>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668F"/>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91D"/>
    <w:rsid w:val="00E11FA9"/>
    <w:rsid w:val="00E13E91"/>
    <w:rsid w:val="00E16040"/>
    <w:rsid w:val="00E16D37"/>
    <w:rsid w:val="00E17E17"/>
    <w:rsid w:val="00E17F78"/>
    <w:rsid w:val="00E21B03"/>
    <w:rsid w:val="00E222F0"/>
    <w:rsid w:val="00E225BF"/>
    <w:rsid w:val="00E22D0F"/>
    <w:rsid w:val="00E23794"/>
    <w:rsid w:val="00E26722"/>
    <w:rsid w:val="00E31284"/>
    <w:rsid w:val="00E33210"/>
    <w:rsid w:val="00E34071"/>
    <w:rsid w:val="00E406F2"/>
    <w:rsid w:val="00E41266"/>
    <w:rsid w:val="00E415BA"/>
    <w:rsid w:val="00E42C77"/>
    <w:rsid w:val="00E430A2"/>
    <w:rsid w:val="00E470EC"/>
    <w:rsid w:val="00E51A7C"/>
    <w:rsid w:val="00E52C09"/>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A64DE"/>
    <w:rsid w:val="00EB02DF"/>
    <w:rsid w:val="00EB2795"/>
    <w:rsid w:val="00EB58C4"/>
    <w:rsid w:val="00EB7895"/>
    <w:rsid w:val="00EC42A1"/>
    <w:rsid w:val="00EE1CF7"/>
    <w:rsid w:val="00EE5757"/>
    <w:rsid w:val="00EE6F45"/>
    <w:rsid w:val="00EF0E38"/>
    <w:rsid w:val="00EF0E4A"/>
    <w:rsid w:val="00EF2DE4"/>
    <w:rsid w:val="00EF3D51"/>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3856"/>
    <w:rsid w:val="00F543C6"/>
    <w:rsid w:val="00F5790A"/>
    <w:rsid w:val="00F609CD"/>
    <w:rsid w:val="00F61DAD"/>
    <w:rsid w:val="00F66108"/>
    <w:rsid w:val="00F671E4"/>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2D6E"/>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89B47-2B34-4822-B84E-C8ACC5C0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2023-11-02T09:06:00Z</dcterms:created>
  <dcterms:modified xsi:type="dcterms:W3CDTF">2024-02-19T07:52:00Z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(3)KWqK0kvMaR1aBa4QNsfYTOR0u/2fjYAzczIisAMp2BC8TadSynMURp18EXAtS1o0l9H0HGey
/Np91s7ea9fwutNBW+ufj+99xSox3sUKcul5B5qEjsJtvSy3vcLD9TCFt2ghVSNKe6eXP23k
oFl9p57fIf712H2omNxk4LanNEoE7cY4uvWhP4/SmVBZqnrZHqkcS8HTS1XThjjHYGfqHwI+
zshPs3nnm1YJ5FH0Zz</vt:lpwstr>
  </property>
  <property fmtid="{D5CDD505-2E9C-101B-9397-08002B2CF9AE}" pid="3" name="_2015_ms_pID_7253431">
    <vt:lpwstr>CZTcqm5gWjj26MJo5Z/ncA7MdGyNv1z+GhDGODAsbsF75G4dnkx6X1
FjxO+aj+yhVqr917rJAuJqprACKLw6dA/wXTmspzMM5WCVANjKzcOaqZpD6QLb1s9iD9rtj2
P4ZAfk5pb+F1uwpWqGMguTvRGWTXlvd9gQgc6Y/3xjJthS7hTYkLHfgufK/6+E5YaOrxSXKT
BWQ7LiNsM4gudFM1xk50vu4EWm5U8ZfkWKZN</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