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13676A72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272C2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00644</w:t>
      </w:r>
    </w:p>
    <w:p w14:paraId="239BFA5F" w14:textId="77777777" w:rsidR="005513CD" w:rsidRPr="005513CD" w:rsidRDefault="005513C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Athens, Greece, February 26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March 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5CEAB85B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7.1</w:t>
      </w:r>
      <w:r w:rsidR="00CE09D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CCCF7B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E09D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NR-U Nominal Channel Spacing</w:t>
      </w:r>
      <w:r w:rsidR="005165C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and Intra-band CA combinations</w:t>
      </w:r>
    </w:p>
    <w:p w14:paraId="288EF4D1" w14:textId="4740A396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165C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0EC63142" w:rsidR="005513CD" w:rsidRPr="005513CD" w:rsidRDefault="00826E74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on how to resolve </w:t>
      </w:r>
      <w:r w:rsidR="008F08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existing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discrepancy between specified NR-U Intra-band Contiguous CA combinations and nominal channel spacing are provided in this contribution.</w:t>
      </w:r>
    </w:p>
    <w:p w14:paraId="438D9510" w14:textId="04DCFC21" w:rsidR="005513CD" w:rsidRPr="00581ABA" w:rsidRDefault="00D24213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5D8F945B" w14:textId="17DDF6BC" w:rsidR="00F22FDF" w:rsidRDefault="00D24213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It was pointed out in [1] that </w:t>
      </w:r>
      <w:r w:rsidR="00F22F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nominal channel spacing is not always met with some NR-U channel combinations.</w:t>
      </w:r>
      <w:r w:rsidR="009B559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WF to study alternatives</w:t>
      </w:r>
      <w:r w:rsidR="001D06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agreed in [2], which basically suggest that either nomina</w:t>
      </w:r>
      <w:r w:rsidR="006B1CA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</w:t>
      </w:r>
      <w:r w:rsidR="001D06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channel spacing may be exceeded by certain amount for </w:t>
      </w:r>
      <w:r w:rsidR="006B1CA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NR-U, or that combinations exceeding nominal channel spacing are non-contiguous.</w:t>
      </w:r>
    </w:p>
    <w:p w14:paraId="119A782A" w14:textId="5A1F8421" w:rsidR="0090772A" w:rsidRDefault="00A41476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allowed NR-U channel locations are specified explicitly by NR-ARFCN numbers in</w:t>
      </w:r>
      <w:r w:rsidR="00D7717E">
        <w:rPr>
          <w:rFonts w:ascii="Times New Roman" w:hAnsi="Times New Roman" w:cs="Times New Roman"/>
          <w:sz w:val="20"/>
          <w:szCs w:val="20"/>
        </w:rPr>
        <w:t xml:space="preserve"> Tables 5.4.2.3</w:t>
      </w:r>
      <w:r w:rsidR="000709C0">
        <w:rPr>
          <w:rFonts w:ascii="Times New Roman" w:hAnsi="Times New Roman" w:cs="Times New Roman"/>
          <w:sz w:val="20"/>
          <w:szCs w:val="20"/>
        </w:rPr>
        <w:t>-2, 5.4.2.3-3, and 5.4.2.3-4 for NR-U bands n46, n96, and n102, respectively.</w:t>
      </w:r>
    </w:p>
    <w:p w14:paraId="2FCC2E7A" w14:textId="77777777" w:rsidR="00CF2885" w:rsidRDefault="00ED597F" w:rsidP="002A7690">
      <w:pPr>
        <w:ind w:right="288"/>
      </w:pPr>
      <w:r w:rsidRPr="00ED597F">
        <w:rPr>
          <w:noProof/>
        </w:rPr>
        <w:t xml:space="preserve"> </w:t>
      </w:r>
    </w:p>
    <w:p w14:paraId="53DB4F71" w14:textId="77777777" w:rsidR="00CF2885" w:rsidRDefault="00CF2885" w:rsidP="00CF2885">
      <w:pPr>
        <w:keepNext/>
        <w:ind w:right="288"/>
      </w:pPr>
      <w:r w:rsidRPr="00CF2885">
        <w:rPr>
          <w:noProof/>
        </w:rPr>
        <w:lastRenderedPageBreak/>
        <w:drawing>
          <wp:inline distT="0" distB="0" distL="0" distR="0" wp14:anchorId="4740C865" wp14:editId="2BAEF57C">
            <wp:extent cx="5943600" cy="3706495"/>
            <wp:effectExtent l="0" t="0" r="0" b="8255"/>
            <wp:docPr id="36515955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159557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0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FE823" w14:textId="623B3B1F" w:rsidR="00BD077E" w:rsidRPr="002B61E1" w:rsidRDefault="00CF2885" w:rsidP="00CF2885">
      <w:pPr>
        <w:pStyle w:val="Caption"/>
        <w:jc w:val="center"/>
        <w:rPr>
          <w:noProof/>
          <w:sz w:val="22"/>
          <w:szCs w:val="22"/>
        </w:rPr>
      </w:pPr>
      <w:r w:rsidRPr="002B61E1">
        <w:rPr>
          <w:sz w:val="22"/>
          <w:szCs w:val="22"/>
        </w:rPr>
        <w:t xml:space="preserve">Figure </w:t>
      </w:r>
      <w:r w:rsidRPr="002B61E1">
        <w:rPr>
          <w:sz w:val="22"/>
          <w:szCs w:val="22"/>
        </w:rPr>
        <w:fldChar w:fldCharType="begin"/>
      </w:r>
      <w:r w:rsidRPr="002B61E1">
        <w:rPr>
          <w:sz w:val="22"/>
          <w:szCs w:val="22"/>
        </w:rPr>
        <w:instrText xml:space="preserve"> SEQ Figure \* ARABIC </w:instrText>
      </w:r>
      <w:r w:rsidRPr="002B61E1">
        <w:rPr>
          <w:sz w:val="22"/>
          <w:szCs w:val="22"/>
        </w:rPr>
        <w:fldChar w:fldCharType="separate"/>
      </w:r>
      <w:r w:rsidRPr="002B61E1">
        <w:rPr>
          <w:noProof/>
          <w:sz w:val="22"/>
          <w:szCs w:val="22"/>
        </w:rPr>
        <w:t>1</w:t>
      </w:r>
      <w:r w:rsidRPr="002B61E1">
        <w:rPr>
          <w:noProof/>
          <w:sz w:val="22"/>
          <w:szCs w:val="22"/>
        </w:rPr>
        <w:fldChar w:fldCharType="end"/>
      </w:r>
      <w:r w:rsidRPr="002B61E1">
        <w:rPr>
          <w:sz w:val="22"/>
          <w:szCs w:val="22"/>
        </w:rPr>
        <w:t xml:space="preserve"> Allowed NR-ARFCN's for NR-U </w:t>
      </w:r>
      <w:proofErr w:type="gramStart"/>
      <w:r w:rsidRPr="002B61E1">
        <w:rPr>
          <w:sz w:val="22"/>
          <w:szCs w:val="22"/>
        </w:rPr>
        <w:t>bands</w:t>
      </w:r>
      <w:proofErr w:type="gramEnd"/>
    </w:p>
    <w:p w14:paraId="012AFB8A" w14:textId="5AEBA2A7" w:rsidR="00ED597F" w:rsidRDefault="00ED597F" w:rsidP="002A7690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48FEE444" w14:textId="3BEB9357" w:rsidR="0014215B" w:rsidRDefault="0032751A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Nomina</w:t>
      </w:r>
      <w:r w:rsidR="00927CA5"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 xml:space="preserve"> NR channel spacing is</w:t>
      </w:r>
      <w:r w:rsidR="008A75BD">
        <w:rPr>
          <w:rFonts w:ascii="Times New Roman" w:hAnsi="Times New Roman" w:cs="Times New Roman"/>
          <w:sz w:val="20"/>
          <w:szCs w:val="20"/>
        </w:rPr>
        <w:t xml:space="preserve"> specified in 5.4A.2</w:t>
      </w:r>
      <w:r w:rsidR="00DF258B">
        <w:rPr>
          <w:rFonts w:ascii="Times New Roman" w:hAnsi="Times New Roman" w:cs="Times New Roman"/>
          <w:sz w:val="20"/>
          <w:szCs w:val="20"/>
        </w:rPr>
        <w:t>:</w:t>
      </w:r>
    </w:p>
    <w:p w14:paraId="056B4DE9" w14:textId="77777777" w:rsidR="00CF2885" w:rsidRDefault="00BD077E" w:rsidP="00CF2885">
      <w:pPr>
        <w:keepNext/>
        <w:ind w:right="288"/>
      </w:pPr>
      <w:r w:rsidRPr="00BD077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FCA00E4" wp14:editId="27D5DC3B">
            <wp:extent cx="5943600" cy="2788920"/>
            <wp:effectExtent l="0" t="0" r="0" b="0"/>
            <wp:docPr id="899644541" name="Picture 1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644541" name="Picture 1" descr="A close-up of a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44E5C" w14:textId="159E853C" w:rsidR="00BD077E" w:rsidRPr="002B61E1" w:rsidRDefault="00CF2885" w:rsidP="00CF2885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r w:rsidRPr="002B61E1">
        <w:rPr>
          <w:sz w:val="22"/>
          <w:szCs w:val="22"/>
        </w:rPr>
        <w:t xml:space="preserve">Figure </w:t>
      </w:r>
      <w:r w:rsidRPr="002B61E1">
        <w:rPr>
          <w:sz w:val="22"/>
          <w:szCs w:val="22"/>
        </w:rPr>
        <w:fldChar w:fldCharType="begin"/>
      </w:r>
      <w:r w:rsidRPr="002B61E1">
        <w:rPr>
          <w:sz w:val="22"/>
          <w:szCs w:val="22"/>
        </w:rPr>
        <w:instrText xml:space="preserve"> SEQ Figure \* ARABIC </w:instrText>
      </w:r>
      <w:r w:rsidRPr="002B61E1">
        <w:rPr>
          <w:sz w:val="22"/>
          <w:szCs w:val="22"/>
        </w:rPr>
        <w:fldChar w:fldCharType="separate"/>
      </w:r>
      <w:r w:rsidRPr="002B61E1">
        <w:rPr>
          <w:noProof/>
          <w:sz w:val="22"/>
          <w:szCs w:val="22"/>
        </w:rPr>
        <w:t>2</w:t>
      </w:r>
      <w:r w:rsidRPr="002B61E1">
        <w:rPr>
          <w:noProof/>
          <w:sz w:val="22"/>
          <w:szCs w:val="22"/>
        </w:rPr>
        <w:fldChar w:fldCharType="end"/>
      </w:r>
      <w:r w:rsidRPr="002B61E1">
        <w:rPr>
          <w:sz w:val="22"/>
          <w:szCs w:val="22"/>
        </w:rPr>
        <w:t xml:space="preserve"> Nominal Channel Spacing for CA</w:t>
      </w:r>
    </w:p>
    <w:p w14:paraId="70334365" w14:textId="31DB7FE8" w:rsidR="00DF258B" w:rsidRDefault="00DF258B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re-cap </w:t>
      </w:r>
      <w:r w:rsidR="007B0406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ominal </w:t>
      </w:r>
      <w:r w:rsidR="007B0406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 xml:space="preserve">hannel </w:t>
      </w:r>
      <w:r w:rsidR="007B0406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pacing rules, </w:t>
      </w:r>
      <w:r w:rsidR="00A039EF">
        <w:rPr>
          <w:rFonts w:ascii="Times New Roman" w:hAnsi="Times New Roman" w:cs="Times New Roman"/>
          <w:sz w:val="20"/>
          <w:szCs w:val="20"/>
        </w:rPr>
        <w:t>Intra-band CA combination with</w:t>
      </w:r>
      <w:r>
        <w:rPr>
          <w:rFonts w:ascii="Times New Roman" w:hAnsi="Times New Roman" w:cs="Times New Roman"/>
          <w:sz w:val="20"/>
          <w:szCs w:val="20"/>
        </w:rPr>
        <w:t xml:space="preserve"> channel spacing with is larger than nominal channel spacing</w:t>
      </w:r>
      <w:r w:rsidR="00A039EF">
        <w:rPr>
          <w:rFonts w:ascii="Times New Roman" w:hAnsi="Times New Roman" w:cs="Times New Roman"/>
          <w:sz w:val="20"/>
          <w:szCs w:val="20"/>
        </w:rPr>
        <w:t xml:space="preserve"> is considered Intra-band Non-Contiguous Combination.</w:t>
      </w:r>
      <w:r w:rsidR="002C4B90">
        <w:rPr>
          <w:rFonts w:ascii="Times New Roman" w:hAnsi="Times New Roman" w:cs="Times New Roman"/>
          <w:sz w:val="20"/>
          <w:szCs w:val="20"/>
        </w:rPr>
        <w:t xml:space="preserve"> Notably, there is no limit how much larger the channel spacing needs to be to be called non-contiguous; any number larger than 0 kHz suffices.</w:t>
      </w:r>
    </w:p>
    <w:p w14:paraId="7679B214" w14:textId="5DFAEE38" w:rsidR="00494356" w:rsidRPr="00FB43BF" w:rsidRDefault="002169DD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did calculate the Channel positions for all NR-U bands and looked which Contiguous Intra-band Channel combinations are possible using the current nominal channel spacing.</w:t>
      </w:r>
      <w:r w:rsidR="00CC502B">
        <w:rPr>
          <w:rFonts w:ascii="Times New Roman" w:hAnsi="Times New Roman" w:cs="Times New Roman"/>
          <w:sz w:val="20"/>
          <w:szCs w:val="20"/>
        </w:rPr>
        <w:t xml:space="preserve"> Please note that “Applicable with current spec?” column compares respective NR CA configuration existing in current TS38.101-1. If all BW combinations included in current TS38.101-1 are possible, then that column shows “Yes”. If only </w:t>
      </w:r>
      <w:r w:rsidR="001C1AD2">
        <w:rPr>
          <w:rFonts w:ascii="Times New Roman" w:hAnsi="Times New Roman" w:cs="Times New Roman"/>
          <w:sz w:val="20"/>
          <w:szCs w:val="20"/>
        </w:rPr>
        <w:t xml:space="preserve">some of the BW combinations are possible, ten this column shows “Partially”. Finally, if </w:t>
      </w:r>
      <w:r w:rsidR="002F6D8D">
        <w:rPr>
          <w:rFonts w:ascii="Times New Roman" w:hAnsi="Times New Roman" w:cs="Times New Roman"/>
          <w:sz w:val="20"/>
          <w:szCs w:val="20"/>
        </w:rPr>
        <w:t>none of the BW combinations are possible, this column shows “No”.</w:t>
      </w:r>
    </w:p>
    <w:p w14:paraId="35B19A4C" w14:textId="30DC8548" w:rsidR="00494356" w:rsidRPr="00EE48C1" w:rsidRDefault="00494356" w:rsidP="00494356">
      <w:pPr>
        <w:pStyle w:val="Caption"/>
        <w:keepNext/>
        <w:jc w:val="center"/>
        <w:rPr>
          <w:sz w:val="22"/>
          <w:szCs w:val="22"/>
        </w:rPr>
      </w:pPr>
      <w:bookmarkStart w:id="0" w:name="_Ref158805773"/>
      <w:r w:rsidRPr="00EE48C1">
        <w:rPr>
          <w:sz w:val="22"/>
          <w:szCs w:val="22"/>
        </w:rPr>
        <w:t xml:space="preserve">Table </w:t>
      </w:r>
      <w:r w:rsidRPr="00EE48C1">
        <w:rPr>
          <w:sz w:val="22"/>
          <w:szCs w:val="22"/>
        </w:rPr>
        <w:fldChar w:fldCharType="begin"/>
      </w:r>
      <w:r w:rsidRPr="00EE48C1">
        <w:rPr>
          <w:sz w:val="22"/>
          <w:szCs w:val="22"/>
        </w:rPr>
        <w:instrText xml:space="preserve"> SEQ Table \* ARABIC </w:instrText>
      </w:r>
      <w:r w:rsidRPr="00EE48C1">
        <w:rPr>
          <w:sz w:val="22"/>
          <w:szCs w:val="22"/>
        </w:rPr>
        <w:fldChar w:fldCharType="separate"/>
      </w:r>
      <w:r w:rsidR="00E775CC" w:rsidRPr="00EE48C1">
        <w:rPr>
          <w:noProof/>
          <w:sz w:val="22"/>
          <w:szCs w:val="22"/>
        </w:rPr>
        <w:t>1</w:t>
      </w:r>
      <w:r w:rsidRPr="00EE48C1">
        <w:rPr>
          <w:noProof/>
          <w:sz w:val="22"/>
          <w:szCs w:val="22"/>
        </w:rPr>
        <w:fldChar w:fldCharType="end"/>
      </w:r>
      <w:bookmarkEnd w:id="0"/>
      <w:r w:rsidRPr="00EE48C1">
        <w:rPr>
          <w:sz w:val="22"/>
          <w:szCs w:val="22"/>
        </w:rPr>
        <w:t xml:space="preserve"> Applicable Channel Bandwidth combinations using </w:t>
      </w:r>
      <w:r w:rsidR="00E775CC" w:rsidRPr="00EE48C1">
        <w:rPr>
          <w:sz w:val="22"/>
          <w:szCs w:val="22"/>
        </w:rPr>
        <w:t>N</w:t>
      </w:r>
      <w:r w:rsidRPr="00EE48C1">
        <w:rPr>
          <w:sz w:val="22"/>
          <w:szCs w:val="22"/>
        </w:rPr>
        <w:t xml:space="preserve">ominal </w:t>
      </w:r>
      <w:r w:rsidR="00E775CC" w:rsidRPr="00EE48C1">
        <w:rPr>
          <w:sz w:val="22"/>
          <w:szCs w:val="22"/>
        </w:rPr>
        <w:t>C</w:t>
      </w:r>
      <w:r w:rsidRPr="00EE48C1">
        <w:rPr>
          <w:sz w:val="22"/>
          <w:szCs w:val="22"/>
        </w:rPr>
        <w:t xml:space="preserve">hannel </w:t>
      </w:r>
      <w:r w:rsidR="00E775CC" w:rsidRPr="00EE48C1">
        <w:rPr>
          <w:sz w:val="22"/>
          <w:szCs w:val="22"/>
        </w:rPr>
        <w:t>S</w:t>
      </w:r>
      <w:r w:rsidRPr="00EE48C1">
        <w:rPr>
          <w:sz w:val="22"/>
          <w:szCs w:val="22"/>
        </w:rPr>
        <w:t>pacing</w:t>
      </w:r>
    </w:p>
    <w:p w14:paraId="299EC158" w14:textId="23A2267B" w:rsidR="00962151" w:rsidRDefault="006A6B0A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 w:rsidRPr="006A6B0A">
        <w:rPr>
          <w:noProof/>
        </w:rPr>
        <w:drawing>
          <wp:inline distT="0" distB="0" distL="0" distR="0" wp14:anchorId="1E243D19" wp14:editId="676EE05C">
            <wp:extent cx="5736590" cy="4123690"/>
            <wp:effectExtent l="0" t="0" r="0" b="0"/>
            <wp:docPr id="2133977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412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A7669" w14:textId="44DF2782" w:rsidR="00FB43BF" w:rsidRDefault="00FB43BF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convenience we constructed a</w:t>
      </w:r>
      <w:r w:rsidR="00F64CA0">
        <w:rPr>
          <w:rFonts w:ascii="Times New Roman" w:hAnsi="Times New Roman" w:cs="Times New Roman"/>
          <w:sz w:val="20"/>
          <w:szCs w:val="20"/>
        </w:rPr>
        <w:t xml:space="preserve"> respective table for TS38.101-1</w:t>
      </w:r>
    </w:p>
    <w:p w14:paraId="13A617FB" w14:textId="3672FF7C" w:rsidR="00E775CC" w:rsidRPr="00EE48C1" w:rsidRDefault="00E775CC" w:rsidP="00E775CC">
      <w:pPr>
        <w:pStyle w:val="Caption"/>
        <w:keepNext/>
        <w:jc w:val="center"/>
        <w:rPr>
          <w:sz w:val="22"/>
          <w:szCs w:val="22"/>
        </w:rPr>
      </w:pPr>
      <w:bookmarkStart w:id="1" w:name="_Ref158805784"/>
      <w:r w:rsidRPr="00EE48C1">
        <w:rPr>
          <w:sz w:val="22"/>
          <w:szCs w:val="22"/>
        </w:rPr>
        <w:t xml:space="preserve">Table </w:t>
      </w:r>
      <w:r w:rsidRPr="00EE48C1">
        <w:rPr>
          <w:sz w:val="22"/>
          <w:szCs w:val="22"/>
        </w:rPr>
        <w:fldChar w:fldCharType="begin"/>
      </w:r>
      <w:r w:rsidRPr="00EE48C1">
        <w:rPr>
          <w:sz w:val="22"/>
          <w:szCs w:val="22"/>
        </w:rPr>
        <w:instrText xml:space="preserve"> SEQ Table \* ARABIC </w:instrText>
      </w:r>
      <w:r w:rsidRPr="00EE48C1">
        <w:rPr>
          <w:sz w:val="22"/>
          <w:szCs w:val="22"/>
        </w:rPr>
        <w:fldChar w:fldCharType="separate"/>
      </w:r>
      <w:r w:rsidRPr="00EE48C1">
        <w:rPr>
          <w:noProof/>
          <w:sz w:val="22"/>
          <w:szCs w:val="22"/>
        </w:rPr>
        <w:t>2</w:t>
      </w:r>
      <w:r w:rsidRPr="00EE48C1">
        <w:rPr>
          <w:noProof/>
          <w:sz w:val="22"/>
          <w:szCs w:val="22"/>
        </w:rPr>
        <w:fldChar w:fldCharType="end"/>
      </w:r>
      <w:bookmarkEnd w:id="1"/>
      <w:r w:rsidRPr="00EE48C1">
        <w:rPr>
          <w:sz w:val="22"/>
          <w:szCs w:val="22"/>
        </w:rPr>
        <w:t xml:space="preserve"> Intra-band Contiguous CA combinations for NR-U bands</w:t>
      </w:r>
    </w:p>
    <w:p w14:paraId="2C5915C6" w14:textId="3B1D396B" w:rsidR="00F64CA0" w:rsidRDefault="00E775CC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 w:rsidRPr="00E775C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B3084C0" wp14:editId="731BF5D1">
            <wp:extent cx="5943600" cy="3320415"/>
            <wp:effectExtent l="0" t="0" r="0" b="0"/>
            <wp:docPr id="1664446264" name="Picture 1" descr="A table with different types of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446264" name="Picture 1" descr="A table with different types of objects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B8D0F" w14:textId="2B863B35" w:rsidR="00493D5C" w:rsidRPr="002A7690" w:rsidRDefault="00973FD8" w:rsidP="00493D5C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Comparing</w:t>
      </w:r>
      <w:r w:rsidR="00B40922">
        <w:rPr>
          <w:rFonts w:ascii="Times New Roman" w:hAnsi="Times New Roman" w:cs="Times New Roman"/>
          <w:sz w:val="20"/>
          <w:szCs w:val="20"/>
        </w:rPr>
        <w:t xml:space="preserve"> </w:t>
      </w:r>
      <w:r w:rsidR="00B40922">
        <w:rPr>
          <w:rFonts w:ascii="Times New Roman" w:hAnsi="Times New Roman" w:cs="Times New Roman"/>
          <w:sz w:val="20"/>
          <w:szCs w:val="20"/>
        </w:rPr>
        <w:fldChar w:fldCharType="begin"/>
      </w:r>
      <w:r w:rsidR="00B40922">
        <w:rPr>
          <w:rFonts w:ascii="Times New Roman" w:hAnsi="Times New Roman" w:cs="Times New Roman"/>
          <w:sz w:val="20"/>
          <w:szCs w:val="20"/>
        </w:rPr>
        <w:instrText xml:space="preserve"> REF _Ref158805773 \h </w:instrText>
      </w:r>
      <w:r w:rsidR="00B40922">
        <w:rPr>
          <w:rFonts w:ascii="Times New Roman" w:hAnsi="Times New Roman" w:cs="Times New Roman"/>
          <w:sz w:val="20"/>
          <w:szCs w:val="20"/>
        </w:rPr>
      </w:r>
      <w:r w:rsidR="00B40922">
        <w:rPr>
          <w:rFonts w:ascii="Times New Roman" w:hAnsi="Times New Roman" w:cs="Times New Roman"/>
          <w:sz w:val="20"/>
          <w:szCs w:val="20"/>
        </w:rPr>
        <w:fldChar w:fldCharType="separate"/>
      </w:r>
      <w:r w:rsidR="00B40922">
        <w:t xml:space="preserve">Table </w:t>
      </w:r>
      <w:r w:rsidR="00B40922">
        <w:rPr>
          <w:noProof/>
        </w:rPr>
        <w:t>1</w:t>
      </w:r>
      <w:r w:rsidR="00B4092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40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and </w:t>
      </w:r>
      <w:r w:rsidR="00B40922">
        <w:rPr>
          <w:rFonts w:ascii="Times New Roman" w:hAnsi="Times New Roman" w:cs="Times New Roman"/>
          <w:sz w:val="20"/>
          <w:szCs w:val="20"/>
        </w:rPr>
        <w:fldChar w:fldCharType="begin"/>
      </w:r>
      <w:r w:rsidR="00B40922">
        <w:rPr>
          <w:rFonts w:ascii="Times New Roman" w:hAnsi="Times New Roman" w:cs="Times New Roman"/>
          <w:sz w:val="20"/>
          <w:szCs w:val="20"/>
        </w:rPr>
        <w:instrText xml:space="preserve"> REF _Ref158805784 \h </w:instrText>
      </w:r>
      <w:r w:rsidR="00B40922">
        <w:rPr>
          <w:rFonts w:ascii="Times New Roman" w:hAnsi="Times New Roman" w:cs="Times New Roman"/>
          <w:sz w:val="20"/>
          <w:szCs w:val="20"/>
        </w:rPr>
      </w:r>
      <w:r w:rsidR="00B40922">
        <w:rPr>
          <w:rFonts w:ascii="Times New Roman" w:hAnsi="Times New Roman" w:cs="Times New Roman"/>
          <w:sz w:val="20"/>
          <w:szCs w:val="20"/>
        </w:rPr>
        <w:fldChar w:fldCharType="separate"/>
      </w:r>
      <w:r w:rsidR="00B40922">
        <w:t xml:space="preserve">Table </w:t>
      </w:r>
      <w:r w:rsidR="00B40922">
        <w:rPr>
          <w:noProof/>
        </w:rPr>
        <w:t>2</w:t>
      </w:r>
      <w:r w:rsidR="00B4092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, it is obvious </w:t>
      </w:r>
      <w:r w:rsidR="00EE48C1">
        <w:rPr>
          <w:rFonts w:ascii="Times New Roman" w:hAnsi="Times New Roman" w:cs="Times New Roman"/>
          <w:sz w:val="20"/>
          <w:szCs w:val="20"/>
        </w:rPr>
        <w:t xml:space="preserve">that </w:t>
      </w:r>
      <w:r>
        <w:rPr>
          <w:rFonts w:ascii="Times New Roman" w:hAnsi="Times New Roman" w:cs="Times New Roman"/>
          <w:sz w:val="20"/>
          <w:szCs w:val="20"/>
        </w:rPr>
        <w:t>several channel BW combinations are not</w:t>
      </w:r>
      <w:r w:rsidR="00AA7989">
        <w:rPr>
          <w:rFonts w:ascii="Times New Roman" w:hAnsi="Times New Roman" w:cs="Times New Roman"/>
          <w:sz w:val="20"/>
          <w:szCs w:val="20"/>
        </w:rPr>
        <w:t xml:space="preserve"> feasible with nominal channel spacing rules. For instance</w:t>
      </w:r>
      <w:r w:rsidR="001D1482">
        <w:rPr>
          <w:rFonts w:ascii="Times New Roman" w:hAnsi="Times New Roman" w:cs="Times New Roman"/>
          <w:sz w:val="20"/>
          <w:szCs w:val="20"/>
        </w:rPr>
        <w:t>,</w:t>
      </w:r>
      <w:r w:rsidR="009A369B">
        <w:rPr>
          <w:rFonts w:ascii="Times New Roman" w:hAnsi="Times New Roman" w:cs="Times New Roman"/>
          <w:sz w:val="20"/>
          <w:szCs w:val="20"/>
        </w:rPr>
        <w:t xml:space="preserve"> for 2CC combinations</w:t>
      </w:r>
      <w:r w:rsidR="00AA7989">
        <w:rPr>
          <w:rFonts w:ascii="Times New Roman" w:hAnsi="Times New Roman" w:cs="Times New Roman"/>
          <w:sz w:val="20"/>
          <w:szCs w:val="20"/>
        </w:rPr>
        <w:t xml:space="preserve"> </w:t>
      </w:r>
      <w:r w:rsidR="001D58F9">
        <w:rPr>
          <w:rFonts w:ascii="Times New Roman" w:hAnsi="Times New Roman" w:cs="Times New Roman"/>
          <w:sz w:val="20"/>
          <w:szCs w:val="20"/>
        </w:rPr>
        <w:t xml:space="preserve">20-40, </w:t>
      </w:r>
      <w:r w:rsidR="008F592C">
        <w:rPr>
          <w:rFonts w:ascii="Times New Roman" w:hAnsi="Times New Roman" w:cs="Times New Roman"/>
          <w:sz w:val="20"/>
          <w:szCs w:val="20"/>
        </w:rPr>
        <w:t xml:space="preserve">20-80, </w:t>
      </w:r>
      <w:r w:rsidR="00AF35AD">
        <w:rPr>
          <w:rFonts w:ascii="Times New Roman" w:hAnsi="Times New Roman" w:cs="Times New Roman"/>
          <w:sz w:val="20"/>
          <w:szCs w:val="20"/>
        </w:rPr>
        <w:t>40-</w:t>
      </w:r>
      <w:r w:rsidR="008F592C">
        <w:rPr>
          <w:rFonts w:ascii="Times New Roman" w:hAnsi="Times New Roman" w:cs="Times New Roman"/>
          <w:sz w:val="20"/>
          <w:szCs w:val="20"/>
        </w:rPr>
        <w:t>6</w:t>
      </w:r>
      <w:r w:rsidR="00D90FB5">
        <w:rPr>
          <w:rFonts w:ascii="Times New Roman" w:hAnsi="Times New Roman" w:cs="Times New Roman"/>
          <w:sz w:val="20"/>
          <w:szCs w:val="20"/>
        </w:rPr>
        <w:t>0</w:t>
      </w:r>
      <w:r w:rsidR="00AF35AD">
        <w:rPr>
          <w:rFonts w:ascii="Times New Roman" w:hAnsi="Times New Roman" w:cs="Times New Roman"/>
          <w:sz w:val="20"/>
          <w:szCs w:val="20"/>
        </w:rPr>
        <w:t xml:space="preserve">, </w:t>
      </w:r>
      <w:r w:rsidR="001D58F9">
        <w:rPr>
          <w:rFonts w:ascii="Times New Roman" w:hAnsi="Times New Roman" w:cs="Times New Roman"/>
          <w:sz w:val="20"/>
          <w:szCs w:val="20"/>
        </w:rPr>
        <w:t>40-</w:t>
      </w:r>
      <w:r w:rsidR="008F592C">
        <w:rPr>
          <w:rFonts w:ascii="Times New Roman" w:hAnsi="Times New Roman" w:cs="Times New Roman"/>
          <w:sz w:val="20"/>
          <w:szCs w:val="20"/>
        </w:rPr>
        <w:t>8</w:t>
      </w:r>
      <w:r w:rsidR="001D58F9">
        <w:rPr>
          <w:rFonts w:ascii="Times New Roman" w:hAnsi="Times New Roman" w:cs="Times New Roman"/>
          <w:sz w:val="20"/>
          <w:szCs w:val="20"/>
        </w:rPr>
        <w:t>0</w:t>
      </w:r>
      <w:r w:rsidR="008F592C">
        <w:rPr>
          <w:rFonts w:ascii="Times New Roman" w:hAnsi="Times New Roman" w:cs="Times New Roman"/>
          <w:sz w:val="20"/>
          <w:szCs w:val="20"/>
        </w:rPr>
        <w:t xml:space="preserve"> </w:t>
      </w:r>
      <w:r w:rsidR="000F3A0B">
        <w:rPr>
          <w:rFonts w:ascii="Times New Roman" w:hAnsi="Times New Roman" w:cs="Times New Roman"/>
          <w:sz w:val="20"/>
          <w:szCs w:val="20"/>
        </w:rPr>
        <w:t>channel BW combinations are not feasible</w:t>
      </w:r>
      <w:r w:rsidR="00C107B8">
        <w:rPr>
          <w:rFonts w:ascii="Times New Roman" w:hAnsi="Times New Roman" w:cs="Times New Roman"/>
          <w:sz w:val="20"/>
          <w:szCs w:val="20"/>
        </w:rPr>
        <w:t xml:space="preserve"> for n46</w:t>
      </w:r>
      <w:r w:rsidR="00874B95">
        <w:rPr>
          <w:rFonts w:ascii="Times New Roman" w:hAnsi="Times New Roman" w:cs="Times New Roman"/>
          <w:sz w:val="20"/>
          <w:szCs w:val="20"/>
        </w:rPr>
        <w:t>, n96, and n102</w:t>
      </w:r>
      <w:r w:rsidR="00E07A8F">
        <w:rPr>
          <w:rFonts w:ascii="Times New Roman" w:hAnsi="Times New Roman" w:cs="Times New Roman"/>
          <w:sz w:val="20"/>
          <w:szCs w:val="20"/>
        </w:rPr>
        <w:t xml:space="preserve"> as per current n</w:t>
      </w:r>
      <w:r w:rsidR="002F6D8D">
        <w:rPr>
          <w:rFonts w:ascii="Times New Roman" w:hAnsi="Times New Roman" w:cs="Times New Roman"/>
          <w:sz w:val="20"/>
          <w:szCs w:val="20"/>
        </w:rPr>
        <w:t>o</w:t>
      </w:r>
      <w:r w:rsidR="00E07A8F">
        <w:rPr>
          <w:rFonts w:ascii="Times New Roman" w:hAnsi="Times New Roman" w:cs="Times New Roman"/>
          <w:sz w:val="20"/>
          <w:szCs w:val="20"/>
        </w:rPr>
        <w:t xml:space="preserve">minal channel </w:t>
      </w:r>
      <w:proofErr w:type="gramStart"/>
      <w:r w:rsidR="00E07A8F">
        <w:rPr>
          <w:rFonts w:ascii="Times New Roman" w:hAnsi="Times New Roman" w:cs="Times New Roman"/>
          <w:sz w:val="20"/>
          <w:szCs w:val="20"/>
        </w:rPr>
        <w:t>spacing</w:t>
      </w:r>
      <w:proofErr w:type="gramEnd"/>
    </w:p>
    <w:p w14:paraId="3B388BEA" w14:textId="7457FBC3" w:rsidR="004A2CE5" w:rsidRDefault="005971C2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 resolve this issue,</w:t>
      </w:r>
      <w:r w:rsidR="006F7B2F">
        <w:rPr>
          <w:rFonts w:ascii="Times New Roman" w:hAnsi="Times New Roman" w:cs="Times New Roman"/>
          <w:sz w:val="20"/>
          <w:szCs w:val="20"/>
        </w:rPr>
        <w:t xml:space="preserve"> we envision</w:t>
      </w:r>
      <w:r w:rsidR="00774189">
        <w:rPr>
          <w:rFonts w:ascii="Times New Roman" w:hAnsi="Times New Roman" w:cs="Times New Roman"/>
          <w:sz w:val="20"/>
          <w:szCs w:val="20"/>
        </w:rPr>
        <w:t xml:space="preserve"> three alternatives</w:t>
      </w:r>
      <w:r w:rsidR="006F7B2F">
        <w:rPr>
          <w:rFonts w:ascii="Times New Roman" w:hAnsi="Times New Roman" w:cs="Times New Roman"/>
          <w:sz w:val="20"/>
          <w:szCs w:val="20"/>
        </w:rPr>
        <w:t>:</w:t>
      </w:r>
      <w:r w:rsidR="0077418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4F9EE6" w14:textId="2B5D7339" w:rsidR="004A2CE5" w:rsidRPr="00962DA2" w:rsidRDefault="004A2CE5" w:rsidP="00962DA2">
      <w:pPr>
        <w:pStyle w:val="ListParagraph"/>
        <w:numPr>
          <w:ilvl w:val="0"/>
          <w:numId w:val="10"/>
        </w:numPr>
        <w:ind w:right="288"/>
        <w:rPr>
          <w:rFonts w:ascii="Times New Roman" w:hAnsi="Times New Roman" w:cs="Times New Roman"/>
          <w:sz w:val="20"/>
          <w:szCs w:val="20"/>
        </w:rPr>
      </w:pPr>
      <w:r w:rsidRPr="00962DA2">
        <w:rPr>
          <w:rFonts w:ascii="Times New Roman" w:hAnsi="Times New Roman" w:cs="Times New Roman"/>
          <w:sz w:val="20"/>
          <w:szCs w:val="20"/>
        </w:rPr>
        <w:t>T</w:t>
      </w:r>
      <w:r w:rsidR="00774189" w:rsidRPr="00962DA2">
        <w:rPr>
          <w:rFonts w:ascii="Times New Roman" w:hAnsi="Times New Roman" w:cs="Times New Roman"/>
          <w:sz w:val="20"/>
          <w:szCs w:val="20"/>
        </w:rPr>
        <w:t>o</w:t>
      </w:r>
      <w:r w:rsidR="00563BF9" w:rsidRPr="00962DA2">
        <w:rPr>
          <w:rFonts w:ascii="Times New Roman" w:hAnsi="Times New Roman" w:cs="Times New Roman"/>
          <w:sz w:val="20"/>
          <w:szCs w:val="20"/>
        </w:rPr>
        <w:t xml:space="preserve"> modify </w:t>
      </w:r>
      <w:r w:rsidR="00A64F11">
        <w:rPr>
          <w:rFonts w:ascii="Times New Roman" w:hAnsi="Times New Roman" w:cs="Times New Roman"/>
          <w:sz w:val="20"/>
          <w:szCs w:val="20"/>
        </w:rPr>
        <w:t>n</w:t>
      </w:r>
      <w:r w:rsidR="00563BF9" w:rsidRPr="00962DA2">
        <w:rPr>
          <w:rFonts w:ascii="Times New Roman" w:hAnsi="Times New Roman" w:cs="Times New Roman"/>
          <w:sz w:val="20"/>
          <w:szCs w:val="20"/>
        </w:rPr>
        <w:t xml:space="preserve">ominal </w:t>
      </w:r>
      <w:r w:rsidR="00A64F11">
        <w:rPr>
          <w:rFonts w:ascii="Times New Roman" w:hAnsi="Times New Roman" w:cs="Times New Roman"/>
          <w:sz w:val="20"/>
          <w:szCs w:val="20"/>
        </w:rPr>
        <w:t>c</w:t>
      </w:r>
      <w:r w:rsidR="00563BF9" w:rsidRPr="00962DA2">
        <w:rPr>
          <w:rFonts w:ascii="Times New Roman" w:hAnsi="Times New Roman" w:cs="Times New Roman"/>
          <w:sz w:val="20"/>
          <w:szCs w:val="20"/>
        </w:rPr>
        <w:t xml:space="preserve">hannel </w:t>
      </w:r>
      <w:r w:rsidR="00A64F11">
        <w:rPr>
          <w:rFonts w:ascii="Times New Roman" w:hAnsi="Times New Roman" w:cs="Times New Roman"/>
          <w:sz w:val="20"/>
          <w:szCs w:val="20"/>
        </w:rPr>
        <w:t>s</w:t>
      </w:r>
      <w:r w:rsidR="00563BF9" w:rsidRPr="00962DA2">
        <w:rPr>
          <w:rFonts w:ascii="Times New Roman" w:hAnsi="Times New Roman" w:cs="Times New Roman"/>
          <w:sz w:val="20"/>
          <w:szCs w:val="20"/>
        </w:rPr>
        <w:t>pacing to align with specified NR-U NR-ARFCN’s to allow using all currently specified</w:t>
      </w:r>
      <w:r w:rsidR="00360068" w:rsidRPr="00962DA2">
        <w:rPr>
          <w:rFonts w:ascii="Times New Roman" w:hAnsi="Times New Roman" w:cs="Times New Roman"/>
          <w:sz w:val="20"/>
          <w:szCs w:val="20"/>
        </w:rPr>
        <w:t xml:space="preserve"> Intra-band contiguous CA </w:t>
      </w:r>
      <w:proofErr w:type="gramStart"/>
      <w:r w:rsidR="00360068" w:rsidRPr="00962DA2">
        <w:rPr>
          <w:rFonts w:ascii="Times New Roman" w:hAnsi="Times New Roman" w:cs="Times New Roman"/>
          <w:sz w:val="20"/>
          <w:szCs w:val="20"/>
        </w:rPr>
        <w:t>combinations</w:t>
      </w:r>
      <w:proofErr w:type="gramEnd"/>
    </w:p>
    <w:p w14:paraId="1FF58637" w14:textId="17D1DF79" w:rsidR="004A2CE5" w:rsidRPr="00962DA2" w:rsidRDefault="004A2CE5" w:rsidP="00962DA2">
      <w:pPr>
        <w:pStyle w:val="ListParagraph"/>
        <w:numPr>
          <w:ilvl w:val="0"/>
          <w:numId w:val="10"/>
        </w:numPr>
        <w:ind w:right="288"/>
        <w:rPr>
          <w:rFonts w:ascii="Times New Roman" w:hAnsi="Times New Roman" w:cs="Times New Roman"/>
          <w:sz w:val="20"/>
          <w:szCs w:val="20"/>
        </w:rPr>
      </w:pPr>
      <w:r w:rsidRPr="00962DA2">
        <w:rPr>
          <w:rFonts w:ascii="Times New Roman" w:hAnsi="Times New Roman" w:cs="Times New Roman"/>
          <w:sz w:val="20"/>
          <w:szCs w:val="20"/>
        </w:rPr>
        <w:t>T</w:t>
      </w:r>
      <w:r w:rsidR="00CD4DFE" w:rsidRPr="00962DA2">
        <w:rPr>
          <w:rFonts w:ascii="Times New Roman" w:hAnsi="Times New Roman" w:cs="Times New Roman"/>
          <w:sz w:val="20"/>
          <w:szCs w:val="20"/>
        </w:rPr>
        <w:t>o modify the allowed NR-U NR-ARFCN’s in a way that they would allow using all currently specified Intra-band contiguous CA combinations</w:t>
      </w:r>
      <w:r w:rsidRPr="00962DA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24DB9EC" w14:textId="16AE3101" w:rsidR="00D21E11" w:rsidRPr="00962DA2" w:rsidRDefault="004A2CE5" w:rsidP="00962DA2">
      <w:pPr>
        <w:pStyle w:val="ListParagraph"/>
        <w:numPr>
          <w:ilvl w:val="0"/>
          <w:numId w:val="10"/>
        </w:numPr>
        <w:ind w:right="288"/>
        <w:rPr>
          <w:rFonts w:ascii="Times New Roman" w:hAnsi="Times New Roman" w:cs="Times New Roman"/>
          <w:sz w:val="20"/>
          <w:szCs w:val="20"/>
        </w:rPr>
      </w:pPr>
      <w:r w:rsidRPr="00962DA2">
        <w:rPr>
          <w:rFonts w:ascii="Times New Roman" w:hAnsi="Times New Roman" w:cs="Times New Roman"/>
          <w:sz w:val="20"/>
          <w:szCs w:val="20"/>
        </w:rPr>
        <w:t xml:space="preserve">To modify the </w:t>
      </w:r>
      <w:r w:rsidR="006F7B2F" w:rsidRPr="00962DA2">
        <w:rPr>
          <w:rFonts w:ascii="Times New Roman" w:hAnsi="Times New Roman" w:cs="Times New Roman"/>
          <w:sz w:val="20"/>
          <w:szCs w:val="20"/>
        </w:rPr>
        <w:t xml:space="preserve">specified </w:t>
      </w:r>
      <w:r w:rsidR="00B566F1">
        <w:rPr>
          <w:rFonts w:ascii="Times New Roman" w:hAnsi="Times New Roman" w:cs="Times New Roman"/>
          <w:sz w:val="20"/>
          <w:szCs w:val="20"/>
        </w:rPr>
        <w:t xml:space="preserve">Intra-band contiguous </w:t>
      </w:r>
      <w:r w:rsidR="006F7B2F" w:rsidRPr="00962DA2">
        <w:rPr>
          <w:rFonts w:ascii="Times New Roman" w:hAnsi="Times New Roman" w:cs="Times New Roman"/>
          <w:sz w:val="20"/>
          <w:szCs w:val="20"/>
        </w:rPr>
        <w:t xml:space="preserve">CA combinations by removing the unfeasible ones and by adding new Intra-band Non-contiguous CA combinations to allow using specified NR-U NR-ARFCN’s and to keep compliance with nominal channel </w:t>
      </w:r>
      <w:proofErr w:type="gramStart"/>
      <w:r w:rsidR="006F7B2F" w:rsidRPr="00962DA2">
        <w:rPr>
          <w:rFonts w:ascii="Times New Roman" w:hAnsi="Times New Roman" w:cs="Times New Roman"/>
          <w:sz w:val="20"/>
          <w:szCs w:val="20"/>
        </w:rPr>
        <w:t>spacing</w:t>
      </w:r>
      <w:proofErr w:type="gramEnd"/>
    </w:p>
    <w:p w14:paraId="18DC826E" w14:textId="77777777" w:rsidR="00B00BD1" w:rsidRDefault="000B64E8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None of the options</w:t>
      </w:r>
      <w:r w:rsidR="00971802">
        <w:rPr>
          <w:rFonts w:ascii="Times New Roman" w:hAnsi="Times New Roman" w:cs="Times New Roman"/>
          <w:sz w:val="20"/>
          <w:szCs w:val="20"/>
        </w:rPr>
        <w:t xml:space="preserve"> is superior to others in our view. </w:t>
      </w:r>
    </w:p>
    <w:p w14:paraId="4F2A4C28" w14:textId="1BA17226" w:rsidR="006F7B2F" w:rsidRDefault="00D4497F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Modifying </w:t>
      </w:r>
      <w:r w:rsidR="00525B7F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ominal </w:t>
      </w:r>
      <w:r w:rsidR="00525B7F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 xml:space="preserve">hannel </w:t>
      </w:r>
      <w:r w:rsidR="00525B7F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pacing might have unknown impacts</w:t>
      </w:r>
      <w:r w:rsidR="00B05D81">
        <w:rPr>
          <w:rFonts w:ascii="Times New Roman" w:hAnsi="Times New Roman" w:cs="Times New Roman"/>
          <w:sz w:val="20"/>
          <w:szCs w:val="20"/>
        </w:rPr>
        <w:t xml:space="preserve"> to chipset operation, and </w:t>
      </w:r>
      <w:r w:rsidR="00551BA7">
        <w:rPr>
          <w:rFonts w:ascii="Times New Roman" w:hAnsi="Times New Roman" w:cs="Times New Roman"/>
          <w:sz w:val="20"/>
          <w:szCs w:val="20"/>
        </w:rPr>
        <w:t>in addition</w:t>
      </w:r>
      <w:r w:rsidR="00B05D81">
        <w:rPr>
          <w:rFonts w:ascii="Times New Roman" w:hAnsi="Times New Roman" w:cs="Times New Roman"/>
          <w:sz w:val="20"/>
          <w:szCs w:val="20"/>
        </w:rPr>
        <w:t xml:space="preserve"> it would have potential backwards compatibility issue.</w:t>
      </w:r>
    </w:p>
    <w:p w14:paraId="377222F9" w14:textId="77777777" w:rsidR="00B00BD1" w:rsidRDefault="00551BA7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NR-ARFCN’s were specified with </w:t>
      </w:r>
      <w:r w:rsidR="00866B8F">
        <w:rPr>
          <w:rFonts w:ascii="Times New Roman" w:hAnsi="Times New Roman" w:cs="Times New Roman"/>
          <w:sz w:val="20"/>
          <w:szCs w:val="20"/>
        </w:rPr>
        <w:t xml:space="preserve">great </w:t>
      </w:r>
      <w:r w:rsidR="008C1E0D">
        <w:rPr>
          <w:rFonts w:ascii="Times New Roman" w:hAnsi="Times New Roman" w:cs="Times New Roman"/>
          <w:sz w:val="20"/>
          <w:szCs w:val="20"/>
        </w:rPr>
        <w:t xml:space="preserve">attention </w:t>
      </w:r>
      <w:r w:rsidR="00EF21CE">
        <w:rPr>
          <w:rFonts w:ascii="Times New Roman" w:hAnsi="Times New Roman" w:cs="Times New Roman"/>
          <w:sz w:val="20"/>
          <w:szCs w:val="20"/>
        </w:rPr>
        <w:t xml:space="preserve">at the time, so changing those </w:t>
      </w:r>
      <w:r w:rsidR="00140217">
        <w:rPr>
          <w:rFonts w:ascii="Times New Roman" w:hAnsi="Times New Roman" w:cs="Times New Roman"/>
          <w:sz w:val="20"/>
          <w:szCs w:val="20"/>
        </w:rPr>
        <w:t xml:space="preserve">should not be done with light grounds. Backwards compatibility issues </w:t>
      </w:r>
      <w:r w:rsidR="00B00BD1">
        <w:rPr>
          <w:rFonts w:ascii="Times New Roman" w:hAnsi="Times New Roman" w:cs="Times New Roman"/>
          <w:sz w:val="20"/>
          <w:szCs w:val="20"/>
        </w:rPr>
        <w:t>could emerge in this alternative as well.</w:t>
      </w:r>
    </w:p>
    <w:p w14:paraId="7A7B875B" w14:textId="7F6FE121" w:rsidR="00551BA7" w:rsidRDefault="009166C1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Modifying specified</w:t>
      </w:r>
      <w:r w:rsidR="00B566F1">
        <w:rPr>
          <w:rFonts w:ascii="Times New Roman" w:hAnsi="Times New Roman" w:cs="Times New Roman"/>
          <w:sz w:val="20"/>
          <w:szCs w:val="20"/>
        </w:rPr>
        <w:t xml:space="preserve"> Intra-band </w:t>
      </w:r>
      <w:r w:rsidR="00676E19">
        <w:rPr>
          <w:rFonts w:ascii="Times New Roman" w:hAnsi="Times New Roman" w:cs="Times New Roman"/>
          <w:sz w:val="20"/>
          <w:szCs w:val="20"/>
        </w:rPr>
        <w:t>contiguous CA combinations would resolve the nominal channel spacing issue</w:t>
      </w:r>
      <w:r w:rsidR="00A50E3B">
        <w:rPr>
          <w:rFonts w:ascii="Times New Roman" w:hAnsi="Times New Roman" w:cs="Times New Roman"/>
          <w:sz w:val="20"/>
          <w:szCs w:val="20"/>
        </w:rPr>
        <w:t xml:space="preserve">, but it would create several new kind of combinations; </w:t>
      </w:r>
      <w:r w:rsidR="00134ED0">
        <w:rPr>
          <w:rFonts w:ascii="Times New Roman" w:hAnsi="Times New Roman" w:cs="Times New Roman"/>
          <w:sz w:val="20"/>
          <w:szCs w:val="20"/>
        </w:rPr>
        <w:t xml:space="preserve">just to give a few examples </w:t>
      </w:r>
      <w:proofErr w:type="spellStart"/>
      <w:r w:rsidR="00A50E3B">
        <w:rPr>
          <w:rFonts w:ascii="Times New Roman" w:hAnsi="Times New Roman" w:cs="Times New Roman"/>
          <w:sz w:val="20"/>
          <w:szCs w:val="20"/>
        </w:rPr>
        <w:t>e.g</w:t>
      </w:r>
      <w:proofErr w:type="spellEnd"/>
      <w:r w:rsidR="00A50E3B">
        <w:rPr>
          <w:rFonts w:ascii="Times New Roman" w:hAnsi="Times New Roman" w:cs="Times New Roman"/>
          <w:sz w:val="20"/>
          <w:szCs w:val="20"/>
        </w:rPr>
        <w:t xml:space="preserve"> </w:t>
      </w:r>
      <w:r w:rsidR="004A370F">
        <w:rPr>
          <w:rFonts w:ascii="Times New Roman" w:hAnsi="Times New Roman" w:cs="Times New Roman"/>
          <w:sz w:val="20"/>
          <w:szCs w:val="20"/>
        </w:rPr>
        <w:t xml:space="preserve">CA_n46N with 20+20+20+20 </w:t>
      </w:r>
      <w:r w:rsidR="00694E01">
        <w:rPr>
          <w:rFonts w:ascii="Times New Roman" w:hAnsi="Times New Roman" w:cs="Times New Roman"/>
          <w:sz w:val="20"/>
          <w:szCs w:val="20"/>
        </w:rPr>
        <w:t>c</w:t>
      </w:r>
      <w:r w:rsidR="004A370F">
        <w:rPr>
          <w:rFonts w:ascii="Times New Roman" w:hAnsi="Times New Roman" w:cs="Times New Roman"/>
          <w:sz w:val="20"/>
          <w:szCs w:val="20"/>
        </w:rPr>
        <w:t xml:space="preserve">ould translate </w:t>
      </w:r>
      <w:r w:rsidR="00134ED0">
        <w:rPr>
          <w:rFonts w:ascii="Times New Roman" w:hAnsi="Times New Roman" w:cs="Times New Roman"/>
          <w:sz w:val="20"/>
          <w:szCs w:val="20"/>
        </w:rPr>
        <w:t>to CA_n46(B-B)</w:t>
      </w:r>
      <w:r w:rsidR="00135D9C">
        <w:rPr>
          <w:rFonts w:ascii="Times New Roman" w:hAnsi="Times New Roman" w:cs="Times New Roman"/>
          <w:sz w:val="20"/>
          <w:szCs w:val="20"/>
        </w:rPr>
        <w:t xml:space="preserve"> or to CA_n46</w:t>
      </w:r>
      <w:r w:rsidR="005D6815">
        <w:rPr>
          <w:rFonts w:ascii="Times New Roman" w:hAnsi="Times New Roman" w:cs="Times New Roman"/>
          <w:sz w:val="20"/>
          <w:szCs w:val="20"/>
        </w:rPr>
        <w:t>(A-M)</w:t>
      </w:r>
      <w:r w:rsidR="00134ED0">
        <w:rPr>
          <w:rFonts w:ascii="Times New Roman" w:hAnsi="Times New Roman" w:cs="Times New Roman"/>
          <w:sz w:val="20"/>
          <w:szCs w:val="20"/>
        </w:rPr>
        <w:t xml:space="preserve">, </w:t>
      </w:r>
      <w:r w:rsidR="00A50E3B">
        <w:rPr>
          <w:rFonts w:ascii="Times New Roman" w:hAnsi="Times New Roman" w:cs="Times New Roman"/>
          <w:sz w:val="20"/>
          <w:szCs w:val="20"/>
        </w:rPr>
        <w:t xml:space="preserve">CA_n46O with </w:t>
      </w:r>
      <w:r w:rsidR="004B3F1E">
        <w:rPr>
          <w:rFonts w:ascii="Times New Roman" w:hAnsi="Times New Roman" w:cs="Times New Roman"/>
          <w:sz w:val="20"/>
          <w:szCs w:val="20"/>
        </w:rPr>
        <w:t xml:space="preserve">20+20+20+20+20 </w:t>
      </w:r>
      <w:r w:rsidR="00694E01">
        <w:rPr>
          <w:rFonts w:ascii="Times New Roman" w:hAnsi="Times New Roman" w:cs="Times New Roman"/>
          <w:sz w:val="20"/>
          <w:szCs w:val="20"/>
        </w:rPr>
        <w:t>c</w:t>
      </w:r>
      <w:r w:rsidR="004B3F1E">
        <w:rPr>
          <w:rFonts w:ascii="Times New Roman" w:hAnsi="Times New Roman" w:cs="Times New Roman"/>
          <w:sz w:val="20"/>
          <w:szCs w:val="20"/>
        </w:rPr>
        <w:t>ould translate to CA_</w:t>
      </w:r>
      <w:r w:rsidR="00AB0876">
        <w:rPr>
          <w:rFonts w:ascii="Times New Roman" w:hAnsi="Times New Roman" w:cs="Times New Roman"/>
          <w:sz w:val="20"/>
          <w:szCs w:val="20"/>
        </w:rPr>
        <w:t>n</w:t>
      </w:r>
      <w:r w:rsidR="00407B9A">
        <w:rPr>
          <w:rFonts w:ascii="Times New Roman" w:hAnsi="Times New Roman" w:cs="Times New Roman"/>
          <w:sz w:val="20"/>
          <w:szCs w:val="20"/>
        </w:rPr>
        <w:t>46(B-M) and CA_n</w:t>
      </w:r>
      <w:r w:rsidR="00241515">
        <w:rPr>
          <w:rFonts w:ascii="Times New Roman" w:hAnsi="Times New Roman" w:cs="Times New Roman"/>
          <w:sz w:val="20"/>
          <w:szCs w:val="20"/>
        </w:rPr>
        <w:t xml:space="preserve">46O with 60+40+40+40+40 </w:t>
      </w:r>
      <w:r w:rsidR="00694E01">
        <w:rPr>
          <w:rFonts w:ascii="Times New Roman" w:hAnsi="Times New Roman" w:cs="Times New Roman"/>
          <w:sz w:val="20"/>
          <w:szCs w:val="20"/>
        </w:rPr>
        <w:t>c</w:t>
      </w:r>
      <w:r w:rsidR="00241515">
        <w:rPr>
          <w:rFonts w:ascii="Times New Roman" w:hAnsi="Times New Roman" w:cs="Times New Roman"/>
          <w:sz w:val="20"/>
          <w:szCs w:val="20"/>
        </w:rPr>
        <w:t xml:space="preserve">ould </w:t>
      </w:r>
      <w:r w:rsidR="00694E01">
        <w:rPr>
          <w:rFonts w:ascii="Times New Roman" w:hAnsi="Times New Roman" w:cs="Times New Roman"/>
          <w:sz w:val="20"/>
          <w:szCs w:val="20"/>
        </w:rPr>
        <w:t>t</w:t>
      </w:r>
      <w:r w:rsidR="00241515">
        <w:rPr>
          <w:rFonts w:ascii="Times New Roman" w:hAnsi="Times New Roman" w:cs="Times New Roman"/>
          <w:sz w:val="20"/>
          <w:szCs w:val="20"/>
        </w:rPr>
        <w:t>ranslate to CA_n46(</w:t>
      </w:r>
      <w:r w:rsidR="00EC332A">
        <w:rPr>
          <w:rFonts w:ascii="Times New Roman" w:hAnsi="Times New Roman" w:cs="Times New Roman"/>
          <w:sz w:val="20"/>
          <w:szCs w:val="20"/>
        </w:rPr>
        <w:t>A</w:t>
      </w:r>
      <w:r w:rsidR="00506802">
        <w:rPr>
          <w:rFonts w:ascii="Times New Roman" w:hAnsi="Times New Roman" w:cs="Times New Roman"/>
          <w:sz w:val="20"/>
          <w:szCs w:val="20"/>
        </w:rPr>
        <w:t>-B-B</w:t>
      </w:r>
      <w:r w:rsidR="00EC332A">
        <w:rPr>
          <w:rFonts w:ascii="Times New Roman" w:hAnsi="Times New Roman" w:cs="Times New Roman"/>
          <w:sz w:val="20"/>
          <w:szCs w:val="20"/>
        </w:rPr>
        <w:t>)</w:t>
      </w:r>
      <w:r w:rsidR="00134ED0">
        <w:rPr>
          <w:rFonts w:ascii="Times New Roman" w:hAnsi="Times New Roman" w:cs="Times New Roman"/>
          <w:sz w:val="20"/>
          <w:szCs w:val="20"/>
        </w:rPr>
        <w:t xml:space="preserve"> and so on.</w:t>
      </w:r>
      <w:r w:rsidR="00B00BD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303DC2" w14:textId="5BD66239" w:rsidR="0003442E" w:rsidRPr="002A7690" w:rsidRDefault="00A55855" w:rsidP="002A7690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This matter should be discussed in RAN4 among the interested companies.</w:t>
      </w:r>
      <w:r w:rsidR="00AB5D88">
        <w:rPr>
          <w:rFonts w:ascii="Times New Roman" w:hAnsi="Times New Roman" w:cs="Times New Roman"/>
          <w:sz w:val="20"/>
          <w:szCs w:val="20"/>
        </w:rPr>
        <w:t xml:space="preserve"> Initially, we expect final decisions would not be made during </w:t>
      </w:r>
      <w:proofErr w:type="gramStart"/>
      <w:r w:rsidR="00AB5D88">
        <w:rPr>
          <w:rFonts w:ascii="Times New Roman" w:hAnsi="Times New Roman" w:cs="Times New Roman"/>
          <w:sz w:val="20"/>
          <w:szCs w:val="20"/>
        </w:rPr>
        <w:t>Athens</w:t>
      </w:r>
      <w:proofErr w:type="gramEnd"/>
      <w:r w:rsidR="00AB5D88">
        <w:rPr>
          <w:rFonts w:ascii="Times New Roman" w:hAnsi="Times New Roman" w:cs="Times New Roman"/>
          <w:sz w:val="20"/>
          <w:szCs w:val="20"/>
        </w:rPr>
        <w:t xml:space="preserve"> meeting but during </w:t>
      </w:r>
      <w:r w:rsidR="00F95DC4">
        <w:rPr>
          <w:rFonts w:ascii="Times New Roman" w:hAnsi="Times New Roman" w:cs="Times New Roman"/>
          <w:sz w:val="20"/>
          <w:szCs w:val="20"/>
        </w:rPr>
        <w:t>April/May instead.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FE29565" w14:textId="24726850" w:rsidR="00B82AB0" w:rsidRDefault="00F95DC4" w:rsidP="00EA708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how to address the existing discrepancy </w:t>
      </w:r>
      <w:r w:rsidR="00F820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between Nominal Channel Spacing and specified NR-U Intra-band contiguous </w:t>
      </w:r>
      <w:r w:rsidR="00FE53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 band combinations were provided in this contribution.</w:t>
      </w:r>
    </w:p>
    <w:p w14:paraId="39DC1A8A" w14:textId="759FD91F" w:rsidR="00FE53B1" w:rsidRPr="00206CA4" w:rsidRDefault="00FE53B1" w:rsidP="00EA708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get interested companies</w:t>
      </w:r>
      <w:r w:rsidR="00C412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’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comments,</w:t>
      </w:r>
      <w:r w:rsidR="00AF41F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discussions </w:t>
      </w:r>
      <w:r w:rsidR="00C412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AF41F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houl</w:t>
      </w:r>
      <w:r w:rsidR="00C412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</w:t>
      </w:r>
      <w:r w:rsidR="00AF41F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 carried out in RAN4 among interested companies with decisions expected </w:t>
      </w:r>
      <w:r w:rsidR="00C412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during April/May 2024 timeframe.</w:t>
      </w: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75A5FBF5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 xml:space="preserve">[1] </w:t>
      </w:r>
      <w:r w:rsidR="00D83935">
        <w:rPr>
          <w:rFonts w:ascii="Times New Roman" w:hAnsi="Times New Roman" w:cs="Times New Roman"/>
          <w:sz w:val="20"/>
          <w:szCs w:val="20"/>
        </w:rPr>
        <w:t>R4-2321</w:t>
      </w:r>
      <w:r w:rsidR="009B0EB1">
        <w:rPr>
          <w:rFonts w:ascii="Times New Roman" w:hAnsi="Times New Roman" w:cs="Times New Roman"/>
          <w:sz w:val="20"/>
          <w:szCs w:val="20"/>
        </w:rPr>
        <w:t>677, “</w:t>
      </w:r>
      <w:r w:rsidR="009B0EB1" w:rsidRPr="009B0EB1">
        <w:rPr>
          <w:rFonts w:ascii="Times New Roman" w:hAnsi="Times New Roman" w:cs="Times New Roman"/>
          <w:sz w:val="20"/>
          <w:szCs w:val="20"/>
        </w:rPr>
        <w:t>On nominal channel spacing for NR-U</w:t>
      </w:r>
      <w:r w:rsidR="009B0EB1">
        <w:rPr>
          <w:rFonts w:ascii="Times New Roman" w:hAnsi="Times New Roman" w:cs="Times New Roman"/>
          <w:sz w:val="20"/>
          <w:szCs w:val="20"/>
        </w:rPr>
        <w:t>”, Skyworks Solutions Inc.</w:t>
      </w:r>
    </w:p>
    <w:p w14:paraId="6164E960" w14:textId="072AED21" w:rsidR="00FD1958" w:rsidRDefault="00FD1958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 w:rsidR="00B449DE">
        <w:rPr>
          <w:rFonts w:ascii="Times New Roman" w:hAnsi="Times New Roman" w:cs="Times New Roman"/>
          <w:sz w:val="20"/>
          <w:szCs w:val="20"/>
        </w:rPr>
        <w:t xml:space="preserve"> R4-23219</w:t>
      </w:r>
      <w:r w:rsidR="00FC2A58">
        <w:rPr>
          <w:rFonts w:ascii="Times New Roman" w:hAnsi="Times New Roman" w:cs="Times New Roman"/>
          <w:sz w:val="20"/>
          <w:szCs w:val="20"/>
        </w:rPr>
        <w:t>2</w:t>
      </w:r>
      <w:r w:rsidR="00B449DE">
        <w:rPr>
          <w:rFonts w:ascii="Times New Roman" w:hAnsi="Times New Roman" w:cs="Times New Roman"/>
          <w:sz w:val="20"/>
          <w:szCs w:val="20"/>
        </w:rPr>
        <w:t>8, “</w:t>
      </w:r>
      <w:r w:rsidR="00B449DE" w:rsidRPr="00B449DE">
        <w:rPr>
          <w:rFonts w:ascii="Times New Roman" w:hAnsi="Times New Roman" w:cs="Times New Roman"/>
          <w:sz w:val="20"/>
          <w:szCs w:val="20"/>
        </w:rPr>
        <w:t>WF on nominal channel spacing for NR-U</w:t>
      </w:r>
      <w:r w:rsidR="00B449DE">
        <w:rPr>
          <w:rFonts w:ascii="Times New Roman" w:hAnsi="Times New Roman" w:cs="Times New Roman"/>
          <w:sz w:val="20"/>
          <w:szCs w:val="20"/>
        </w:rPr>
        <w:t>”, Skyworks Solutions inc.</w:t>
      </w:r>
    </w:p>
    <w:p w14:paraId="4909C9E9" w14:textId="77777777" w:rsidR="00AB204F" w:rsidRPr="00206CA4" w:rsidRDefault="00AB204F" w:rsidP="00AB204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793D207" w14:textId="682FB4E3" w:rsidR="00AB204F" w:rsidRDefault="00AB204F" w:rsidP="00AB204F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Appendix</w:t>
      </w:r>
    </w:p>
    <w:p w14:paraId="5EE0D7B8" w14:textId="2C08A8A3" w:rsidR="00EB30E8" w:rsidRPr="005513CD" w:rsidRDefault="00EB30E8" w:rsidP="006B1CAD">
      <w:pPr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B07"/>
    <w:multiLevelType w:val="hybridMultilevel"/>
    <w:tmpl w:val="3508ED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7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8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3"/>
  </w:num>
  <w:num w:numId="2" w16cid:durableId="403166">
    <w:abstractNumId w:val="5"/>
  </w:num>
  <w:num w:numId="3" w16cid:durableId="1369914351">
    <w:abstractNumId w:val="8"/>
  </w:num>
  <w:num w:numId="4" w16cid:durableId="972949259">
    <w:abstractNumId w:val="2"/>
  </w:num>
  <w:num w:numId="5" w16cid:durableId="608388262">
    <w:abstractNumId w:val="6"/>
  </w:num>
  <w:num w:numId="6" w16cid:durableId="442846795">
    <w:abstractNumId w:val="4"/>
  </w:num>
  <w:num w:numId="7" w16cid:durableId="24331905">
    <w:abstractNumId w:val="7"/>
  </w:num>
  <w:num w:numId="8" w16cid:durableId="1274435150">
    <w:abstractNumId w:val="1"/>
  </w:num>
  <w:num w:numId="9" w16cid:durableId="71046761">
    <w:abstractNumId w:val="9"/>
  </w:num>
  <w:num w:numId="10" w16cid:durableId="2143381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442E"/>
    <w:rsid w:val="0004112E"/>
    <w:rsid w:val="00051D0F"/>
    <w:rsid w:val="000709C0"/>
    <w:rsid w:val="00074D03"/>
    <w:rsid w:val="00097450"/>
    <w:rsid w:val="00097F22"/>
    <w:rsid w:val="000A6928"/>
    <w:rsid w:val="000B64E8"/>
    <w:rsid w:val="000D1150"/>
    <w:rsid w:val="000D157E"/>
    <w:rsid w:val="000D3161"/>
    <w:rsid w:val="000F3A0B"/>
    <w:rsid w:val="00112FA4"/>
    <w:rsid w:val="001139B0"/>
    <w:rsid w:val="00126F73"/>
    <w:rsid w:val="00134894"/>
    <w:rsid w:val="00134ED0"/>
    <w:rsid w:val="00135D9C"/>
    <w:rsid w:val="00140217"/>
    <w:rsid w:val="0014215B"/>
    <w:rsid w:val="00145C17"/>
    <w:rsid w:val="001664FC"/>
    <w:rsid w:val="00167B56"/>
    <w:rsid w:val="001824A1"/>
    <w:rsid w:val="00184BEA"/>
    <w:rsid w:val="001A09D7"/>
    <w:rsid w:val="001A38C6"/>
    <w:rsid w:val="001C1AD2"/>
    <w:rsid w:val="001D00C1"/>
    <w:rsid w:val="001D0610"/>
    <w:rsid w:val="001D1482"/>
    <w:rsid w:val="001D58F9"/>
    <w:rsid w:val="001D6BA2"/>
    <w:rsid w:val="001E4991"/>
    <w:rsid w:val="001E5F7E"/>
    <w:rsid w:val="00200A53"/>
    <w:rsid w:val="00206CA4"/>
    <w:rsid w:val="0021026D"/>
    <w:rsid w:val="002169DD"/>
    <w:rsid w:val="002219D4"/>
    <w:rsid w:val="00222E80"/>
    <w:rsid w:val="00230A42"/>
    <w:rsid w:val="00231284"/>
    <w:rsid w:val="00233199"/>
    <w:rsid w:val="00241515"/>
    <w:rsid w:val="0025440D"/>
    <w:rsid w:val="00260B98"/>
    <w:rsid w:val="00272C20"/>
    <w:rsid w:val="00272E8F"/>
    <w:rsid w:val="0028432A"/>
    <w:rsid w:val="002A02CD"/>
    <w:rsid w:val="002A7690"/>
    <w:rsid w:val="002B2BD2"/>
    <w:rsid w:val="002B5439"/>
    <w:rsid w:val="002B61E1"/>
    <w:rsid w:val="002C3E8B"/>
    <w:rsid w:val="002C44DD"/>
    <w:rsid w:val="002C4B90"/>
    <w:rsid w:val="002D33D3"/>
    <w:rsid w:val="002E57F7"/>
    <w:rsid w:val="002E7AAD"/>
    <w:rsid w:val="002F6D8D"/>
    <w:rsid w:val="00321BF7"/>
    <w:rsid w:val="0032751A"/>
    <w:rsid w:val="00347462"/>
    <w:rsid w:val="003550D9"/>
    <w:rsid w:val="00360068"/>
    <w:rsid w:val="00361D49"/>
    <w:rsid w:val="0036375E"/>
    <w:rsid w:val="003A004F"/>
    <w:rsid w:val="003A1390"/>
    <w:rsid w:val="003A3F92"/>
    <w:rsid w:val="003B339D"/>
    <w:rsid w:val="003D5E12"/>
    <w:rsid w:val="003F04DC"/>
    <w:rsid w:val="003F5E62"/>
    <w:rsid w:val="003F717D"/>
    <w:rsid w:val="00407B9A"/>
    <w:rsid w:val="004151B4"/>
    <w:rsid w:val="00421462"/>
    <w:rsid w:val="00433C38"/>
    <w:rsid w:val="00436F02"/>
    <w:rsid w:val="00490253"/>
    <w:rsid w:val="00491926"/>
    <w:rsid w:val="00493D5C"/>
    <w:rsid w:val="00494356"/>
    <w:rsid w:val="004A2CE5"/>
    <w:rsid w:val="004A370F"/>
    <w:rsid w:val="004A429A"/>
    <w:rsid w:val="004A5E5D"/>
    <w:rsid w:val="004A6558"/>
    <w:rsid w:val="004B3F1E"/>
    <w:rsid w:val="00503BD2"/>
    <w:rsid w:val="005061E1"/>
    <w:rsid w:val="00506802"/>
    <w:rsid w:val="005069BF"/>
    <w:rsid w:val="005165C1"/>
    <w:rsid w:val="00525B7F"/>
    <w:rsid w:val="00533009"/>
    <w:rsid w:val="005513CD"/>
    <w:rsid w:val="00551BA7"/>
    <w:rsid w:val="00563BF9"/>
    <w:rsid w:val="00581ABA"/>
    <w:rsid w:val="005971C2"/>
    <w:rsid w:val="005A3681"/>
    <w:rsid w:val="005C38A6"/>
    <w:rsid w:val="005C458A"/>
    <w:rsid w:val="005D3EB5"/>
    <w:rsid w:val="005D6815"/>
    <w:rsid w:val="005F1BDD"/>
    <w:rsid w:val="0060095E"/>
    <w:rsid w:val="00603743"/>
    <w:rsid w:val="0061524F"/>
    <w:rsid w:val="00615BDE"/>
    <w:rsid w:val="00617747"/>
    <w:rsid w:val="00644C15"/>
    <w:rsid w:val="0064703B"/>
    <w:rsid w:val="006477BF"/>
    <w:rsid w:val="00662492"/>
    <w:rsid w:val="00674A40"/>
    <w:rsid w:val="00676E19"/>
    <w:rsid w:val="00686DC7"/>
    <w:rsid w:val="0069147B"/>
    <w:rsid w:val="006914CF"/>
    <w:rsid w:val="00694E01"/>
    <w:rsid w:val="006A6B0A"/>
    <w:rsid w:val="006B1CAD"/>
    <w:rsid w:val="006B293C"/>
    <w:rsid w:val="006C0D81"/>
    <w:rsid w:val="006C2F9C"/>
    <w:rsid w:val="006C50C5"/>
    <w:rsid w:val="006C7103"/>
    <w:rsid w:val="006D16AC"/>
    <w:rsid w:val="006F7386"/>
    <w:rsid w:val="006F7B2F"/>
    <w:rsid w:val="00717C63"/>
    <w:rsid w:val="007268D0"/>
    <w:rsid w:val="00737650"/>
    <w:rsid w:val="007471D9"/>
    <w:rsid w:val="00755E8B"/>
    <w:rsid w:val="00761AED"/>
    <w:rsid w:val="00771EA5"/>
    <w:rsid w:val="00774189"/>
    <w:rsid w:val="00782ED2"/>
    <w:rsid w:val="00784098"/>
    <w:rsid w:val="0079792B"/>
    <w:rsid w:val="007A5D7A"/>
    <w:rsid w:val="007B0406"/>
    <w:rsid w:val="007B55CD"/>
    <w:rsid w:val="007D65B4"/>
    <w:rsid w:val="007D7103"/>
    <w:rsid w:val="007E0687"/>
    <w:rsid w:val="007F1B1D"/>
    <w:rsid w:val="007F54C5"/>
    <w:rsid w:val="0081004C"/>
    <w:rsid w:val="0082387D"/>
    <w:rsid w:val="00826E74"/>
    <w:rsid w:val="008565A2"/>
    <w:rsid w:val="00866B8F"/>
    <w:rsid w:val="00867230"/>
    <w:rsid w:val="00874B95"/>
    <w:rsid w:val="008905B1"/>
    <w:rsid w:val="008A054D"/>
    <w:rsid w:val="008A75BD"/>
    <w:rsid w:val="008B0C20"/>
    <w:rsid w:val="008B696A"/>
    <w:rsid w:val="008C1E0D"/>
    <w:rsid w:val="008D0DED"/>
    <w:rsid w:val="008D53E5"/>
    <w:rsid w:val="008F085B"/>
    <w:rsid w:val="008F592C"/>
    <w:rsid w:val="0090772A"/>
    <w:rsid w:val="009166C1"/>
    <w:rsid w:val="00927CA5"/>
    <w:rsid w:val="00962151"/>
    <w:rsid w:val="00962DA2"/>
    <w:rsid w:val="0096518D"/>
    <w:rsid w:val="009702F2"/>
    <w:rsid w:val="00971802"/>
    <w:rsid w:val="00973FD8"/>
    <w:rsid w:val="00980A4B"/>
    <w:rsid w:val="009871C1"/>
    <w:rsid w:val="009A369B"/>
    <w:rsid w:val="009B0EB1"/>
    <w:rsid w:val="009B5598"/>
    <w:rsid w:val="009D2E61"/>
    <w:rsid w:val="009D73D8"/>
    <w:rsid w:val="009D7809"/>
    <w:rsid w:val="009E2764"/>
    <w:rsid w:val="00A0120C"/>
    <w:rsid w:val="00A039EF"/>
    <w:rsid w:val="00A16627"/>
    <w:rsid w:val="00A267DD"/>
    <w:rsid w:val="00A33537"/>
    <w:rsid w:val="00A41476"/>
    <w:rsid w:val="00A50E3B"/>
    <w:rsid w:val="00A54986"/>
    <w:rsid w:val="00A55855"/>
    <w:rsid w:val="00A64F11"/>
    <w:rsid w:val="00A85CE5"/>
    <w:rsid w:val="00AA765D"/>
    <w:rsid w:val="00AA7989"/>
    <w:rsid w:val="00AB0876"/>
    <w:rsid w:val="00AB1C98"/>
    <w:rsid w:val="00AB204F"/>
    <w:rsid w:val="00AB5D88"/>
    <w:rsid w:val="00AD7F02"/>
    <w:rsid w:val="00AF35AD"/>
    <w:rsid w:val="00AF41FC"/>
    <w:rsid w:val="00B00BD1"/>
    <w:rsid w:val="00B05D81"/>
    <w:rsid w:val="00B11F38"/>
    <w:rsid w:val="00B179B3"/>
    <w:rsid w:val="00B2197F"/>
    <w:rsid w:val="00B27651"/>
    <w:rsid w:val="00B40922"/>
    <w:rsid w:val="00B43ED8"/>
    <w:rsid w:val="00B449DE"/>
    <w:rsid w:val="00B460E5"/>
    <w:rsid w:val="00B46339"/>
    <w:rsid w:val="00B56233"/>
    <w:rsid w:val="00B566F1"/>
    <w:rsid w:val="00B65E5E"/>
    <w:rsid w:val="00B71374"/>
    <w:rsid w:val="00B82AB0"/>
    <w:rsid w:val="00B875FB"/>
    <w:rsid w:val="00B9534E"/>
    <w:rsid w:val="00B95EFD"/>
    <w:rsid w:val="00B97AD4"/>
    <w:rsid w:val="00BA2B72"/>
    <w:rsid w:val="00BA42C2"/>
    <w:rsid w:val="00BB65CC"/>
    <w:rsid w:val="00BD077E"/>
    <w:rsid w:val="00BD1F34"/>
    <w:rsid w:val="00BE23DB"/>
    <w:rsid w:val="00C107B8"/>
    <w:rsid w:val="00C1629E"/>
    <w:rsid w:val="00C216EC"/>
    <w:rsid w:val="00C32AB2"/>
    <w:rsid w:val="00C33871"/>
    <w:rsid w:val="00C34D7A"/>
    <w:rsid w:val="00C35957"/>
    <w:rsid w:val="00C412D3"/>
    <w:rsid w:val="00C44B08"/>
    <w:rsid w:val="00C532D6"/>
    <w:rsid w:val="00C616D2"/>
    <w:rsid w:val="00C823F3"/>
    <w:rsid w:val="00C87623"/>
    <w:rsid w:val="00C87CC3"/>
    <w:rsid w:val="00CA124E"/>
    <w:rsid w:val="00CB0220"/>
    <w:rsid w:val="00CB465C"/>
    <w:rsid w:val="00CC502B"/>
    <w:rsid w:val="00CD4DFE"/>
    <w:rsid w:val="00CD70EC"/>
    <w:rsid w:val="00CD75B4"/>
    <w:rsid w:val="00CE09D5"/>
    <w:rsid w:val="00CF0825"/>
    <w:rsid w:val="00CF2885"/>
    <w:rsid w:val="00CF7D7B"/>
    <w:rsid w:val="00D02A94"/>
    <w:rsid w:val="00D05670"/>
    <w:rsid w:val="00D07474"/>
    <w:rsid w:val="00D15874"/>
    <w:rsid w:val="00D16962"/>
    <w:rsid w:val="00D21E11"/>
    <w:rsid w:val="00D23DE5"/>
    <w:rsid w:val="00D24213"/>
    <w:rsid w:val="00D2786B"/>
    <w:rsid w:val="00D4497F"/>
    <w:rsid w:val="00D47C6F"/>
    <w:rsid w:val="00D51C9A"/>
    <w:rsid w:val="00D7717E"/>
    <w:rsid w:val="00D83935"/>
    <w:rsid w:val="00D85C78"/>
    <w:rsid w:val="00D90FB5"/>
    <w:rsid w:val="00D92562"/>
    <w:rsid w:val="00DA4608"/>
    <w:rsid w:val="00DB331A"/>
    <w:rsid w:val="00DB7128"/>
    <w:rsid w:val="00DE0302"/>
    <w:rsid w:val="00DF258B"/>
    <w:rsid w:val="00DF4EE8"/>
    <w:rsid w:val="00DF7489"/>
    <w:rsid w:val="00E07A8F"/>
    <w:rsid w:val="00E108F5"/>
    <w:rsid w:val="00E12399"/>
    <w:rsid w:val="00E52446"/>
    <w:rsid w:val="00E6121D"/>
    <w:rsid w:val="00E732EA"/>
    <w:rsid w:val="00E75B72"/>
    <w:rsid w:val="00E76D23"/>
    <w:rsid w:val="00E775CC"/>
    <w:rsid w:val="00E960FA"/>
    <w:rsid w:val="00E96729"/>
    <w:rsid w:val="00E97B1C"/>
    <w:rsid w:val="00EA2766"/>
    <w:rsid w:val="00EA64DB"/>
    <w:rsid w:val="00EA7084"/>
    <w:rsid w:val="00EB30E8"/>
    <w:rsid w:val="00EC332A"/>
    <w:rsid w:val="00ED507D"/>
    <w:rsid w:val="00ED597F"/>
    <w:rsid w:val="00EE48C1"/>
    <w:rsid w:val="00EF21CE"/>
    <w:rsid w:val="00F20453"/>
    <w:rsid w:val="00F22FDF"/>
    <w:rsid w:val="00F4445E"/>
    <w:rsid w:val="00F50BE9"/>
    <w:rsid w:val="00F5773D"/>
    <w:rsid w:val="00F64CA0"/>
    <w:rsid w:val="00F658CD"/>
    <w:rsid w:val="00F7491F"/>
    <w:rsid w:val="00F82003"/>
    <w:rsid w:val="00F836B8"/>
    <w:rsid w:val="00F95DC4"/>
    <w:rsid w:val="00FB43BF"/>
    <w:rsid w:val="00FC2A58"/>
    <w:rsid w:val="00FC3E00"/>
    <w:rsid w:val="00FC495B"/>
    <w:rsid w:val="00FD02BC"/>
    <w:rsid w:val="00FD1958"/>
    <w:rsid w:val="00FD7644"/>
    <w:rsid w:val="00FE53B1"/>
    <w:rsid w:val="00FE624E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708</Words>
  <Characters>4039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2024-02-16T11:24:00Z</dcterms:created>
  <dcterms:modified xsi:type="dcterms:W3CDTF">2024-02-16T11:24:00Z</dcterms:modified>
</cp:coreProperties>
</file>