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B207" w14:textId="74A1378F" w:rsidR="001958AD" w:rsidRDefault="00595B52" w:rsidP="002C5575">
      <w:pPr>
        <w:pStyle w:val="Header"/>
        <w:tabs>
          <w:tab w:val="right" w:pos="9638"/>
        </w:tabs>
        <w:rPr>
          <w:rFonts w:cs="Arial"/>
          <w:b w:val="0"/>
          <w:bCs/>
          <w:sz w:val="24"/>
        </w:rPr>
      </w:pPr>
      <w:r w:rsidRPr="00684CA1">
        <w:rPr>
          <w:rFonts w:cs="Arial"/>
          <w:b w:val="0"/>
          <w:bCs/>
          <w:sz w:val="24"/>
        </w:rPr>
        <w:t>TSG</w:t>
      </w:r>
      <w:r w:rsidR="008A30B4">
        <w:rPr>
          <w:rFonts w:cs="Arial"/>
          <w:b w:val="0"/>
          <w:bCs/>
          <w:sz w:val="24"/>
        </w:rPr>
        <w:t xml:space="preserve"> </w:t>
      </w:r>
      <w:r w:rsidR="00B47DAF" w:rsidRPr="006E6480">
        <w:rPr>
          <w:rFonts w:cs="Arial"/>
          <w:b w:val="0"/>
          <w:bCs/>
          <w:sz w:val="24"/>
        </w:rPr>
        <w:t>RAN</w:t>
      </w:r>
      <w:r w:rsidRPr="00684CA1">
        <w:rPr>
          <w:rFonts w:cs="Arial"/>
          <w:b w:val="0"/>
          <w:bCs/>
          <w:sz w:val="24"/>
        </w:rPr>
        <w:t xml:space="preserve"> Meeting</w:t>
      </w:r>
      <w:r w:rsidR="000A4E67">
        <w:rPr>
          <w:rFonts w:cs="Arial"/>
          <w:b w:val="0"/>
          <w:bCs/>
          <w:sz w:val="24"/>
        </w:rPr>
        <w:t xml:space="preserve"> </w:t>
      </w:r>
      <w:r w:rsidR="00B066D2">
        <w:rPr>
          <w:rFonts w:cs="Arial"/>
          <w:b w:val="0"/>
          <w:bCs/>
          <w:sz w:val="24"/>
        </w:rPr>
        <w:t>#</w:t>
      </w:r>
      <w:r w:rsidR="008A30B4">
        <w:rPr>
          <w:rFonts w:cs="Arial"/>
          <w:b w:val="0"/>
          <w:bCs/>
          <w:sz w:val="24"/>
        </w:rPr>
        <w:t>102</w:t>
      </w:r>
      <w:r w:rsidRPr="00684CA1">
        <w:rPr>
          <w:rFonts w:cs="Arial"/>
          <w:b w:val="0"/>
          <w:bCs/>
          <w:sz w:val="24"/>
        </w:rPr>
        <w:tab/>
      </w:r>
      <w:r w:rsidR="006E6480" w:rsidRPr="006E6480">
        <w:rPr>
          <w:rFonts w:cs="Arial"/>
          <w:b w:val="0"/>
          <w:bCs/>
          <w:sz w:val="24"/>
        </w:rPr>
        <w:t>RP</w:t>
      </w:r>
      <w:r w:rsidR="000A4E67" w:rsidRPr="006E6480">
        <w:rPr>
          <w:rFonts w:cs="Arial"/>
          <w:b w:val="0"/>
          <w:bCs/>
          <w:sz w:val="24"/>
        </w:rPr>
        <w:t>-</w:t>
      </w:r>
      <w:r w:rsidR="003453DD">
        <w:rPr>
          <w:rFonts w:cs="Arial"/>
          <w:b w:val="0"/>
          <w:bCs/>
          <w:sz w:val="24"/>
        </w:rPr>
        <w:t>23</w:t>
      </w:r>
      <w:r w:rsidR="00520A9C" w:rsidRPr="006E6480">
        <w:rPr>
          <w:rFonts w:cs="Arial"/>
          <w:b w:val="0"/>
          <w:bCs/>
          <w:sz w:val="24"/>
          <w:highlight w:val="yellow"/>
        </w:rPr>
        <w:t>abcd</w:t>
      </w:r>
    </w:p>
    <w:p w14:paraId="524591CE" w14:textId="5A1B732F" w:rsidR="00595B52" w:rsidRPr="00DA709D" w:rsidRDefault="008A30B4" w:rsidP="002C5575">
      <w:pPr>
        <w:pStyle w:val="Header"/>
        <w:tabs>
          <w:tab w:val="right" w:pos="9638"/>
        </w:tabs>
        <w:rPr>
          <w:rFonts w:cs="Arial"/>
          <w:b w:val="0"/>
          <w:bCs/>
          <w:sz w:val="24"/>
        </w:rPr>
      </w:pPr>
      <w:r>
        <w:rPr>
          <w:rFonts w:cs="Arial"/>
          <w:b w:val="0"/>
          <w:bCs/>
          <w:sz w:val="24"/>
        </w:rPr>
        <w:t>11</w:t>
      </w:r>
      <w:r w:rsidR="00B066D2" w:rsidRPr="00B066D2">
        <w:rPr>
          <w:rFonts w:cs="Arial"/>
          <w:b w:val="0"/>
          <w:bCs/>
          <w:sz w:val="24"/>
        </w:rPr>
        <w:t xml:space="preserve"> - </w:t>
      </w:r>
      <w:r>
        <w:rPr>
          <w:rFonts w:cs="Arial"/>
          <w:b w:val="0"/>
          <w:bCs/>
          <w:sz w:val="24"/>
        </w:rPr>
        <w:t>15</w:t>
      </w:r>
      <w:r w:rsidR="002C5575" w:rsidRPr="00B066D2">
        <w:rPr>
          <w:rFonts w:cs="Arial"/>
          <w:b w:val="0"/>
          <w:bCs/>
          <w:sz w:val="24"/>
        </w:rPr>
        <w:t xml:space="preserve"> </w:t>
      </w:r>
      <w:r>
        <w:rPr>
          <w:rFonts w:cs="Arial"/>
          <w:b w:val="0"/>
          <w:bCs/>
          <w:sz w:val="24"/>
        </w:rPr>
        <w:t>December</w:t>
      </w:r>
      <w:r w:rsidR="006E6480">
        <w:rPr>
          <w:rFonts w:cs="Arial"/>
          <w:b w:val="0"/>
          <w:bCs/>
          <w:sz w:val="24"/>
        </w:rPr>
        <w:t>.</w:t>
      </w:r>
      <w:r w:rsidR="00B066D2" w:rsidRPr="00B066D2">
        <w:rPr>
          <w:rFonts w:cs="Arial"/>
          <w:b w:val="0"/>
          <w:bCs/>
          <w:sz w:val="24"/>
        </w:rPr>
        <w:t xml:space="preserve"> </w:t>
      </w:r>
      <w:r>
        <w:rPr>
          <w:rFonts w:cs="Arial"/>
          <w:b w:val="0"/>
          <w:bCs/>
          <w:sz w:val="24"/>
        </w:rPr>
        <w:t>2023</w:t>
      </w:r>
      <w:r w:rsidR="00595B52" w:rsidRPr="00684CA1">
        <w:rPr>
          <w:rFonts w:cs="Arial"/>
          <w:b w:val="0"/>
          <w:bCs/>
          <w:sz w:val="24"/>
        </w:rPr>
        <w:t xml:space="preserve">, </w:t>
      </w:r>
      <w:r>
        <w:rPr>
          <w:rFonts w:cs="Arial"/>
          <w:b w:val="0"/>
          <w:bCs/>
          <w:sz w:val="24"/>
        </w:rPr>
        <w:t>Edinburgh</w:t>
      </w:r>
      <w:r w:rsidR="006E6480">
        <w:rPr>
          <w:rFonts w:cs="Arial"/>
          <w:b w:val="0"/>
          <w:bCs/>
          <w:sz w:val="24"/>
        </w:rPr>
        <w:t xml:space="preserve">, </w:t>
      </w:r>
      <w:r>
        <w:rPr>
          <w:rFonts w:cs="Arial"/>
          <w:b w:val="0"/>
          <w:bCs/>
          <w:sz w:val="24"/>
        </w:rPr>
        <w:t>Scotland</w:t>
      </w:r>
    </w:p>
    <w:p w14:paraId="51F76ED1" w14:textId="77777777" w:rsidR="00595B52" w:rsidRPr="00684CA1" w:rsidRDefault="00595B52" w:rsidP="00595B52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5FF5FC14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  <w:r w:rsidR="003453DD">
        <w:rPr>
          <w:rFonts w:ascii="Arial" w:hAnsi="Arial" w:cs="Arial"/>
          <w:b/>
          <w:bCs/>
        </w:rPr>
        <w:t>AT&amp;T</w:t>
      </w:r>
    </w:p>
    <w:p w14:paraId="21C5915E" w14:textId="5A87B736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 w:rsidR="006B0CDF">
        <w:rPr>
          <w:rFonts w:ascii="Arial" w:hAnsi="Arial" w:cs="Arial"/>
          <w:b/>
          <w:bCs/>
        </w:rPr>
        <w:t>18</w:t>
      </w:r>
      <w:r w:rsidR="00520A9C" w:rsidRPr="00684CA1">
        <w:rPr>
          <w:rFonts w:ascii="Arial" w:hAnsi="Arial" w:cs="Arial"/>
          <w:b/>
          <w:bCs/>
        </w:rPr>
        <w:t xml:space="preserve"> </w:t>
      </w:r>
      <w:r w:rsidRPr="00684CA1">
        <w:rPr>
          <w:rFonts w:ascii="Arial" w:hAnsi="Arial" w:cs="Arial"/>
          <w:b/>
          <w:bCs/>
        </w:rPr>
        <w:t>Work Item Exception</w:t>
      </w:r>
      <w:r w:rsidR="00363594"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r w:rsidR="003453DD" w:rsidRPr="003453DD">
        <w:rPr>
          <w:rFonts w:ascii="Arial" w:hAnsi="Arial" w:cs="Arial"/>
          <w:b/>
          <w:bCs/>
        </w:rPr>
        <w:t>High Power UE (Power Class 2) for LTE FDD Band 14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173F3E55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 w:rsidR="003453DD">
        <w:rPr>
          <w:rFonts w:ascii="Arial" w:hAnsi="Arial"/>
          <w:b/>
        </w:rPr>
        <w:t>10.3.4</w:t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61EE3BBC" w:rsidR="003F268E" w:rsidRPr="000A4E67" w:rsidRDefault="008A76FD" w:rsidP="00DA709D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proofErr w:type="gramStart"/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proofErr w:type="gramEnd"/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DA709D">
        <w:rPr>
          <w:sz w:val="24"/>
          <w:szCs w:val="24"/>
        </w:rPr>
        <w:tab/>
      </w:r>
      <w:r w:rsidR="003453DD" w:rsidRPr="003453DD">
        <w:rPr>
          <w:sz w:val="24"/>
          <w:szCs w:val="24"/>
        </w:rPr>
        <w:t>High Power UE (Power Class 2) for LTE FDD Band 14</w:t>
      </w:r>
    </w:p>
    <w:p w14:paraId="3C946738" w14:textId="4BA9B41C" w:rsidR="00B078D6" w:rsidRPr="000A4E67" w:rsidRDefault="00E13CB2" w:rsidP="00DA709D">
      <w:pPr>
        <w:pStyle w:val="Heading2"/>
        <w:tabs>
          <w:tab w:val="left" w:pos="2268"/>
        </w:tabs>
        <w:rPr>
          <w:sz w:val="24"/>
          <w:szCs w:val="24"/>
        </w:rPr>
      </w:pPr>
      <w:proofErr w:type="gramStart"/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>cronym  :</w:t>
      </w:r>
      <w:proofErr w:type="gramEnd"/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3453DD" w:rsidRPr="003453DD">
        <w:rPr>
          <w:sz w:val="24"/>
          <w:szCs w:val="24"/>
        </w:rPr>
        <w:t>HPUE_LTE_FDD_</w:t>
      </w:r>
      <w:r w:rsidR="003453DD">
        <w:rPr>
          <w:sz w:val="24"/>
          <w:szCs w:val="24"/>
        </w:rPr>
        <w:t>B14</w:t>
      </w:r>
    </w:p>
    <w:p w14:paraId="2448A9DC" w14:textId="296621BC" w:rsidR="00B078D6" w:rsidRPr="000A4E67" w:rsidRDefault="00B47DAF" w:rsidP="00DA709D">
      <w:pPr>
        <w:pStyle w:val="Heading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Unique </w:t>
      </w:r>
      <w:proofErr w:type="gramStart"/>
      <w:r>
        <w:rPr>
          <w:sz w:val="24"/>
          <w:szCs w:val="24"/>
        </w:rPr>
        <w:t>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proofErr w:type="gramEnd"/>
      <w:r w:rsidR="0075141A" w:rsidRPr="000A4E67">
        <w:rPr>
          <w:sz w:val="24"/>
          <w:szCs w:val="24"/>
        </w:rPr>
        <w:tab/>
      </w:r>
      <w:r w:rsidR="003453DD" w:rsidRPr="003453DD">
        <w:rPr>
          <w:sz w:val="24"/>
          <w:szCs w:val="24"/>
        </w:rPr>
        <w:t>1010054</w:t>
      </w:r>
    </w:p>
    <w:p w14:paraId="12A92096" w14:textId="6E32B780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3453DD">
        <w:rPr>
          <w:b/>
          <w:sz w:val="32"/>
          <w:szCs w:val="32"/>
        </w:rPr>
        <w:t>18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1254"/>
        <w:gridCol w:w="830"/>
        <w:gridCol w:w="1250"/>
        <w:gridCol w:w="1248"/>
        <w:gridCol w:w="1490"/>
      </w:tblGrid>
      <w:tr w:rsidR="00E72B61" w:rsidRPr="00684CA1" w14:paraId="5CBFE977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77777777" w:rsidR="00E72B61" w:rsidRPr="00684CA1" w:rsidRDefault="00E72B61" w:rsidP="00B066D2">
            <w:pPr>
              <w:spacing w:after="0"/>
              <w:rPr>
                <w:b/>
                <w:lang w:eastAsia="zh-CN"/>
              </w:rPr>
            </w:pPr>
          </w:p>
        </w:tc>
      </w:tr>
      <w:tr w:rsidR="00DA709D" w:rsidRPr="00684CA1" w14:paraId="779436BA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Pr="00684CA1" w:rsidRDefault="00187B47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BCDE91D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0574F3C7" w14:textId="70B1649D" w:rsidR="00187B47" w:rsidRPr="00DA709D" w:rsidRDefault="006B0CDF" w:rsidP="00B066D2">
            <w:pPr>
              <w:spacing w:after="0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n</w:t>
            </w:r>
            <w:r>
              <w:rPr>
                <w:b/>
                <w:sz w:val="24"/>
                <w:szCs w:val="24"/>
                <w:lang w:eastAsia="zh-CN"/>
              </w:rPr>
              <w:t>o</w:t>
            </w:r>
          </w:p>
        </w:tc>
        <w:tc>
          <w:tcPr>
            <w:tcW w:w="407" w:type="pct"/>
            <w:shd w:val="clear" w:color="auto" w:fill="FFFF99"/>
            <w:vAlign w:val="center"/>
          </w:tcPr>
          <w:p w14:paraId="72B8BE88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34724BD0" w14:textId="761F2B3C" w:rsidR="00187B47" w:rsidRPr="00DA709D" w:rsidRDefault="006B0CDF" w:rsidP="00B066D2">
            <w:pPr>
              <w:spacing w:after="0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y</w:t>
            </w:r>
            <w:r>
              <w:rPr>
                <w:b/>
                <w:sz w:val="24"/>
                <w:szCs w:val="24"/>
                <w:lang w:eastAsia="zh-CN"/>
              </w:rPr>
              <w:t>es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037E9CED" w14:textId="509133AB" w:rsidR="00187B47" w:rsidRPr="00DA709D" w:rsidRDefault="003453DD" w:rsidP="00B066D2">
            <w:pPr>
              <w:spacing w:after="0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87B47" w:rsidRPr="00DA709D">
              <w:rPr>
                <w:b/>
                <w:sz w:val="24"/>
                <w:szCs w:val="24"/>
              </w:rPr>
              <w:t>N:</w:t>
            </w:r>
          </w:p>
          <w:p w14:paraId="3FD28B29" w14:textId="15141CB8" w:rsidR="00187B47" w:rsidRPr="00DA709D" w:rsidRDefault="006B0CDF" w:rsidP="00B066D2">
            <w:pPr>
              <w:spacing w:after="0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n</w:t>
            </w:r>
            <w:r>
              <w:rPr>
                <w:b/>
                <w:sz w:val="24"/>
                <w:szCs w:val="24"/>
                <w:lang w:eastAsia="zh-CN"/>
              </w:rPr>
              <w:t>o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04276D2E" w14:textId="3C04CBEE" w:rsidR="00CE1F4D" w:rsidRPr="00DA709D" w:rsidRDefault="006B0CDF" w:rsidP="00B066D2">
            <w:pPr>
              <w:spacing w:after="0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n</w:t>
            </w:r>
            <w:r>
              <w:rPr>
                <w:b/>
                <w:sz w:val="24"/>
                <w:szCs w:val="24"/>
                <w:lang w:eastAsia="zh-CN"/>
              </w:rPr>
              <w:t>o</w:t>
            </w:r>
          </w:p>
        </w:tc>
      </w:tr>
      <w:tr w:rsidR="00E72B61" w:rsidRPr="00684CA1" w14:paraId="311EE08B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32592FEB" w:rsidR="00E72B61" w:rsidRPr="00684CA1" w:rsidRDefault="006B0CDF" w:rsidP="00B066D2">
            <w:pPr>
              <w:spacing w:after="0"/>
            </w:pPr>
            <w:r>
              <w:t>3GPP RAN#103 (March 2024</w:t>
            </w:r>
            <w:r w:rsidRPr="002043A3">
              <w:t>)</w:t>
            </w:r>
          </w:p>
        </w:tc>
      </w:tr>
      <w:tr w:rsidR="00E72B61" w:rsidRPr="00684CA1" w14:paraId="2332615D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1DC1584" w14:textId="23715AFB" w:rsidR="00E72B61" w:rsidRPr="00684CA1" w:rsidRDefault="006B0CDF" w:rsidP="00B066D2">
            <w:pPr>
              <w:pStyle w:val="Index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one</w:t>
            </w:r>
          </w:p>
        </w:tc>
      </w:tr>
      <w:tr w:rsidR="00E72B61" w:rsidRPr="00684CA1" w14:paraId="0B8E5E30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B8086" w14:textId="5F7006F3" w:rsidR="003453DD" w:rsidRPr="00684CA1" w:rsidRDefault="003453DD" w:rsidP="003453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36.101, 36.307</w:t>
            </w:r>
          </w:p>
        </w:tc>
      </w:tr>
      <w:tr w:rsidR="00E72B61" w:rsidRPr="00684CA1" w14:paraId="5AF00011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42C884CB" w14:textId="77777777" w:rsidR="003453DD" w:rsidRPr="003453DD" w:rsidRDefault="003453DD" w:rsidP="003453DD">
            <w:pPr>
              <w:pStyle w:val="Index1"/>
              <w:rPr>
                <w:bCs/>
                <w:lang w:eastAsia="zh-CN"/>
              </w:rPr>
            </w:pPr>
            <w:r w:rsidRPr="003453DD">
              <w:rPr>
                <w:bCs/>
                <w:lang w:eastAsia="zh-CN"/>
              </w:rPr>
              <w:t>Core Part:</w:t>
            </w:r>
          </w:p>
          <w:p w14:paraId="219B3C23" w14:textId="168A7F0D" w:rsidR="003453DD" w:rsidRPr="003453DD" w:rsidRDefault="003453DD" w:rsidP="003453DD">
            <w:pPr>
              <w:pStyle w:val="Index1"/>
              <w:rPr>
                <w:bCs/>
                <w:lang w:eastAsia="zh-CN"/>
              </w:rPr>
            </w:pPr>
            <w:r w:rsidRPr="003453DD">
              <w:rPr>
                <w:bCs/>
                <w:lang w:eastAsia="zh-CN"/>
              </w:rPr>
              <w:t>1)</w:t>
            </w:r>
            <w:r>
              <w:rPr>
                <w:bCs/>
                <w:lang w:eastAsia="zh-CN"/>
              </w:rPr>
              <w:t xml:space="preserve"> </w:t>
            </w:r>
            <w:r w:rsidRPr="003453DD">
              <w:rPr>
                <w:bCs/>
                <w:lang w:eastAsia="zh-CN"/>
              </w:rPr>
              <w:t>Specify the band specific RF requirements for power class 2 LTE Band 14 including</w:t>
            </w:r>
            <w:r>
              <w:rPr>
                <w:bCs/>
                <w:lang w:eastAsia="zh-CN"/>
              </w:rPr>
              <w:t>:</w:t>
            </w:r>
          </w:p>
          <w:p w14:paraId="5B5EBCC4" w14:textId="502F53D4" w:rsidR="003453DD" w:rsidRPr="003453DD" w:rsidRDefault="003453DD" w:rsidP="003453DD">
            <w:pPr>
              <w:pStyle w:val="Index1"/>
              <w:rPr>
                <w:bCs/>
                <w:lang w:eastAsia="zh-CN"/>
              </w:rPr>
            </w:pPr>
            <w:r w:rsidRPr="003453DD">
              <w:rPr>
                <w:bCs/>
                <w:lang w:eastAsia="zh-CN"/>
              </w:rPr>
              <w:t>a)</w:t>
            </w:r>
            <w:r>
              <w:rPr>
                <w:bCs/>
                <w:lang w:eastAsia="zh-CN"/>
              </w:rPr>
              <w:t xml:space="preserve"> </w:t>
            </w:r>
            <w:r w:rsidRPr="003453DD">
              <w:rPr>
                <w:bCs/>
                <w:lang w:eastAsia="zh-CN"/>
              </w:rPr>
              <w:t>UE maximum output power tolerance</w:t>
            </w:r>
          </w:p>
          <w:p w14:paraId="5C7C91EE" w14:textId="6B7FDD27" w:rsidR="003453DD" w:rsidRPr="003453DD" w:rsidRDefault="003453DD" w:rsidP="003453DD">
            <w:pPr>
              <w:pStyle w:val="Index1"/>
              <w:rPr>
                <w:bCs/>
                <w:lang w:eastAsia="zh-CN"/>
              </w:rPr>
            </w:pPr>
            <w:r w:rsidRPr="003453DD">
              <w:rPr>
                <w:bCs/>
                <w:lang w:eastAsia="zh-CN"/>
              </w:rPr>
              <w:t>b)</w:t>
            </w:r>
            <w:r>
              <w:rPr>
                <w:bCs/>
                <w:lang w:eastAsia="zh-CN"/>
              </w:rPr>
              <w:t xml:space="preserve"> </w:t>
            </w:r>
            <w:r w:rsidRPr="003453DD">
              <w:rPr>
                <w:bCs/>
                <w:lang w:eastAsia="zh-CN"/>
              </w:rPr>
              <w:t>A-MPR requirements if needed</w:t>
            </w:r>
          </w:p>
          <w:p w14:paraId="31F7326D" w14:textId="5BEE738A" w:rsidR="003453DD" w:rsidRPr="003453DD" w:rsidRDefault="003453DD" w:rsidP="003453DD">
            <w:pPr>
              <w:pStyle w:val="Index1"/>
              <w:rPr>
                <w:bCs/>
                <w:lang w:eastAsia="zh-CN"/>
              </w:rPr>
            </w:pPr>
            <w:r w:rsidRPr="003453DD">
              <w:rPr>
                <w:bCs/>
                <w:lang w:eastAsia="zh-CN"/>
              </w:rPr>
              <w:t>c)</w:t>
            </w:r>
            <w:r>
              <w:rPr>
                <w:bCs/>
                <w:lang w:eastAsia="zh-CN"/>
              </w:rPr>
              <w:t xml:space="preserve"> </w:t>
            </w:r>
            <w:r w:rsidRPr="003453DD">
              <w:rPr>
                <w:bCs/>
                <w:lang w:eastAsia="zh-CN"/>
              </w:rPr>
              <w:t>PC2 sensitivity degradation requirements by leveraging RSD agreements for NR Band n14 at RAN4#109 in R4-2321715.</w:t>
            </w:r>
          </w:p>
          <w:p w14:paraId="735646B4" w14:textId="01CE569F" w:rsidR="003453DD" w:rsidRPr="003453DD" w:rsidRDefault="003453DD" w:rsidP="003453DD">
            <w:pPr>
              <w:pStyle w:val="Index1"/>
              <w:rPr>
                <w:bCs/>
                <w:lang w:eastAsia="zh-CN"/>
              </w:rPr>
            </w:pPr>
            <w:r w:rsidRPr="003453DD">
              <w:rPr>
                <w:bCs/>
                <w:lang w:eastAsia="zh-CN"/>
              </w:rPr>
              <w:t>2)</w:t>
            </w:r>
            <w:r>
              <w:rPr>
                <w:bCs/>
                <w:lang w:eastAsia="zh-CN"/>
              </w:rPr>
              <w:t xml:space="preserve"> F</w:t>
            </w:r>
            <w:r w:rsidRPr="003453DD">
              <w:rPr>
                <w:bCs/>
                <w:lang w:eastAsia="zh-CN"/>
              </w:rPr>
              <w:t>inalize TR 36.770.</w:t>
            </w:r>
          </w:p>
          <w:p w14:paraId="4FE34FB1" w14:textId="77777777" w:rsidR="003453DD" w:rsidRPr="003453DD" w:rsidRDefault="003453DD" w:rsidP="003453DD">
            <w:pPr>
              <w:pStyle w:val="Index1"/>
              <w:rPr>
                <w:bCs/>
                <w:lang w:eastAsia="zh-CN"/>
              </w:rPr>
            </w:pPr>
          </w:p>
          <w:p w14:paraId="5E750D25" w14:textId="77777777" w:rsidR="003453DD" w:rsidRPr="003453DD" w:rsidRDefault="003453DD" w:rsidP="003453DD">
            <w:pPr>
              <w:pStyle w:val="Index1"/>
              <w:rPr>
                <w:bCs/>
                <w:lang w:eastAsia="zh-CN"/>
              </w:rPr>
            </w:pPr>
            <w:r w:rsidRPr="003453DD">
              <w:rPr>
                <w:bCs/>
                <w:lang w:eastAsia="zh-CN"/>
              </w:rPr>
              <w:t>Performance Part:</w:t>
            </w:r>
          </w:p>
          <w:p w14:paraId="36865823" w14:textId="377A43C7" w:rsidR="006B0CDF" w:rsidRPr="00684CA1" w:rsidRDefault="003453DD" w:rsidP="003453DD">
            <w:pPr>
              <w:pStyle w:val="Index1"/>
              <w:rPr>
                <w:bCs/>
              </w:rPr>
            </w:pPr>
            <w:r w:rsidRPr="003453DD">
              <w:rPr>
                <w:bCs/>
                <w:lang w:eastAsia="zh-CN"/>
              </w:rPr>
              <w:t>1)</w:t>
            </w:r>
            <w:r>
              <w:rPr>
                <w:bCs/>
                <w:lang w:eastAsia="zh-CN"/>
              </w:rPr>
              <w:t xml:space="preserve"> </w:t>
            </w:r>
            <w:r w:rsidRPr="003453DD">
              <w:rPr>
                <w:bCs/>
                <w:lang w:eastAsia="zh-CN"/>
              </w:rPr>
              <w:t xml:space="preserve">Finalize TS 36.307 CR based on endorsed Draft CR in </w:t>
            </w:r>
            <w:r>
              <w:rPr>
                <w:bCs/>
                <w:lang w:eastAsia="zh-CN"/>
              </w:rPr>
              <w:t>R4</w:t>
            </w:r>
            <w:r w:rsidRPr="003453DD">
              <w:rPr>
                <w:bCs/>
                <w:lang w:eastAsia="zh-CN"/>
              </w:rPr>
              <w:t>-2319031.</w:t>
            </w:r>
          </w:p>
        </w:tc>
      </w:tr>
      <w:tr w:rsidR="00E72B61" w:rsidRPr="00684CA1" w14:paraId="214191C4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2C6470FB" w:rsidR="00E72B61" w:rsidRPr="00684CA1" w:rsidRDefault="00E72B61" w:rsidP="00520A9C">
            <w:pPr>
              <w:spacing w:after="0"/>
              <w:rPr>
                <w:b/>
              </w:rPr>
            </w:pPr>
            <w:r w:rsidRPr="00684CA1">
              <w:rPr>
                <w:b/>
              </w:rPr>
              <w:t>Consequen</w:t>
            </w:r>
            <w:r w:rsidR="00663FF2" w:rsidRPr="00684CA1">
              <w:rPr>
                <w:b/>
              </w:rPr>
              <w:t xml:space="preserve">ces if not included in Release </w:t>
            </w:r>
            <w:r w:rsidR="000441A4">
              <w:rPr>
                <w:b/>
              </w:rPr>
              <w:t>18</w:t>
            </w:r>
            <w:r w:rsidRPr="00684CA1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3F9626B" w14:textId="1D068BAC" w:rsidR="00E72B61" w:rsidRPr="00684CA1" w:rsidRDefault="000441A4" w:rsidP="00B066D2">
            <w:pPr>
              <w:spacing w:after="0"/>
            </w:pPr>
            <w:r>
              <w:rPr>
                <w:lang w:eastAsia="zh-CN"/>
              </w:rPr>
              <w:t xml:space="preserve">LTE Band 14 PC2 support would not be specified </w:t>
            </w:r>
            <w:r w:rsidR="006B0CDF">
              <w:rPr>
                <w:lang w:eastAsia="zh-CN"/>
              </w:rPr>
              <w:t>in Release 18</w:t>
            </w:r>
            <w:r w:rsidR="006B0CDF" w:rsidRPr="002043A3">
              <w:rPr>
                <w:lang w:eastAsia="zh-CN"/>
              </w:rPr>
              <w:t>.</w:t>
            </w:r>
            <w:r>
              <w:rPr>
                <w:lang w:eastAsia="zh-CN"/>
              </w:rPr>
              <w:t xml:space="preserve"> Product development for LTE Band 14 PC2 would be jeopardized since the LTE </w:t>
            </w:r>
            <w:r w:rsidRPr="000441A4">
              <w:rPr>
                <w:lang w:eastAsia="zh-CN"/>
              </w:rPr>
              <w:t>specification</w:t>
            </w:r>
            <w:r>
              <w:rPr>
                <w:lang w:eastAsia="zh-CN"/>
              </w:rPr>
              <w:t xml:space="preserve"> would be delayed when compared to the NR Band n14 PC2 specification.</w:t>
            </w:r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16A8E449" w14:textId="328237CC" w:rsidR="00E72B61" w:rsidRPr="00684CA1" w:rsidRDefault="006B0CDF" w:rsidP="00E72B61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WI exception requests to extend the </w:t>
      </w:r>
      <w:r w:rsidR="000441A4">
        <w:rPr>
          <w:lang w:eastAsia="zh-CN"/>
        </w:rPr>
        <w:t>completion</w:t>
      </w:r>
      <w:r>
        <w:rPr>
          <w:lang w:eastAsia="zh-CN"/>
        </w:rPr>
        <w:t xml:space="preserve"> date of </w:t>
      </w:r>
      <w:r w:rsidR="000441A4" w:rsidRPr="000441A4">
        <w:rPr>
          <w:lang w:eastAsia="zh-CN"/>
        </w:rPr>
        <w:t>HPUE_LTE_FDD_B14</w:t>
      </w:r>
      <w:r w:rsidR="000441A4">
        <w:rPr>
          <w:lang w:eastAsia="zh-CN"/>
        </w:rPr>
        <w:t xml:space="preserve"> </w:t>
      </w:r>
      <w:r>
        <w:rPr>
          <w:lang w:eastAsia="zh-CN"/>
        </w:rPr>
        <w:t>WI to March 2024.</w:t>
      </w:r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D1535DD" w14:textId="0EC1C298" w:rsidR="00E72B61" w:rsidRPr="00684CA1" w:rsidRDefault="006B0CDF" w:rsidP="00E72B61">
      <w:p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N</w:t>
      </w:r>
      <w:r>
        <w:rPr>
          <w:sz w:val="18"/>
          <w:szCs w:val="18"/>
          <w:lang w:eastAsia="zh-CN"/>
        </w:rPr>
        <w:t>one.</w:t>
      </w:r>
    </w:p>
    <w:sectPr w:rsidR="00E72B61" w:rsidRPr="00684CA1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D9621" w14:textId="77777777" w:rsidR="0037367F" w:rsidRDefault="0037367F">
      <w:r>
        <w:separator/>
      </w:r>
    </w:p>
  </w:endnote>
  <w:endnote w:type="continuationSeparator" w:id="0">
    <w:p w14:paraId="238DADF7" w14:textId="77777777" w:rsidR="0037367F" w:rsidRDefault="0037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4AFD3" w14:textId="77777777" w:rsidR="0037367F" w:rsidRDefault="0037367F">
      <w:r>
        <w:separator/>
      </w:r>
    </w:p>
  </w:footnote>
  <w:footnote w:type="continuationSeparator" w:id="0">
    <w:p w14:paraId="60B50CE3" w14:textId="77777777" w:rsidR="0037367F" w:rsidRDefault="00373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3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8053605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6708034">
    <w:abstractNumId w:val="3"/>
  </w:num>
  <w:num w:numId="3" w16cid:durableId="182666884">
    <w:abstractNumId w:val="2"/>
  </w:num>
  <w:num w:numId="4" w16cid:durableId="850604933">
    <w:abstractNumId w:val="1"/>
  </w:num>
  <w:num w:numId="5" w16cid:durableId="1600680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6EF7"/>
    <w:rsid w:val="000205C5"/>
    <w:rsid w:val="000441A4"/>
    <w:rsid w:val="00052BF8"/>
    <w:rsid w:val="00057116"/>
    <w:rsid w:val="00074015"/>
    <w:rsid w:val="000A4E67"/>
    <w:rsid w:val="000B0A2F"/>
    <w:rsid w:val="000B61FD"/>
    <w:rsid w:val="000E55AD"/>
    <w:rsid w:val="000F7795"/>
    <w:rsid w:val="001000A1"/>
    <w:rsid w:val="001357D9"/>
    <w:rsid w:val="00187B47"/>
    <w:rsid w:val="001958AD"/>
    <w:rsid w:val="001C5C86"/>
    <w:rsid w:val="002000C2"/>
    <w:rsid w:val="002018D8"/>
    <w:rsid w:val="00220888"/>
    <w:rsid w:val="00223AB7"/>
    <w:rsid w:val="0025646D"/>
    <w:rsid w:val="002676EC"/>
    <w:rsid w:val="002C5575"/>
    <w:rsid w:val="002E7A9E"/>
    <w:rsid w:val="003205AD"/>
    <w:rsid w:val="003225E2"/>
    <w:rsid w:val="00335FB2"/>
    <w:rsid w:val="00344158"/>
    <w:rsid w:val="003453DD"/>
    <w:rsid w:val="00363594"/>
    <w:rsid w:val="0037367F"/>
    <w:rsid w:val="003A1EB0"/>
    <w:rsid w:val="003C6DA6"/>
    <w:rsid w:val="003F268E"/>
    <w:rsid w:val="003F54E5"/>
    <w:rsid w:val="0043745F"/>
    <w:rsid w:val="0044029F"/>
    <w:rsid w:val="0048267C"/>
    <w:rsid w:val="004876B9"/>
    <w:rsid w:val="00493A79"/>
    <w:rsid w:val="004A6A60"/>
    <w:rsid w:val="00520A9C"/>
    <w:rsid w:val="005340C8"/>
    <w:rsid w:val="005573BB"/>
    <w:rsid w:val="00557B2E"/>
    <w:rsid w:val="00561267"/>
    <w:rsid w:val="005878A0"/>
    <w:rsid w:val="00590087"/>
    <w:rsid w:val="00595B52"/>
    <w:rsid w:val="005C1802"/>
    <w:rsid w:val="005C4F58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B0CDF"/>
    <w:rsid w:val="006E6480"/>
    <w:rsid w:val="00716FE1"/>
    <w:rsid w:val="0075141A"/>
    <w:rsid w:val="0075252A"/>
    <w:rsid w:val="00764B84"/>
    <w:rsid w:val="007726F7"/>
    <w:rsid w:val="0078034D"/>
    <w:rsid w:val="00790BCC"/>
    <w:rsid w:val="007955CD"/>
    <w:rsid w:val="007974F5"/>
    <w:rsid w:val="007B0F49"/>
    <w:rsid w:val="007C7E14"/>
    <w:rsid w:val="007F7421"/>
    <w:rsid w:val="00833504"/>
    <w:rsid w:val="0088222A"/>
    <w:rsid w:val="008A30B4"/>
    <w:rsid w:val="008A76FD"/>
    <w:rsid w:val="008C537F"/>
    <w:rsid w:val="008D658B"/>
    <w:rsid w:val="009437A2"/>
    <w:rsid w:val="00945471"/>
    <w:rsid w:val="00985B73"/>
    <w:rsid w:val="009A3BC4"/>
    <w:rsid w:val="00A10539"/>
    <w:rsid w:val="00A3082C"/>
    <w:rsid w:val="00A36378"/>
    <w:rsid w:val="00A70E1E"/>
    <w:rsid w:val="00B03C01"/>
    <w:rsid w:val="00B066D2"/>
    <w:rsid w:val="00B078D6"/>
    <w:rsid w:val="00B3015C"/>
    <w:rsid w:val="00B47DAF"/>
    <w:rsid w:val="00BA4095"/>
    <w:rsid w:val="00BC642A"/>
    <w:rsid w:val="00C43D1E"/>
    <w:rsid w:val="00C51766"/>
    <w:rsid w:val="00C57C50"/>
    <w:rsid w:val="00C715CA"/>
    <w:rsid w:val="00C83490"/>
    <w:rsid w:val="00C94020"/>
    <w:rsid w:val="00CE1F4D"/>
    <w:rsid w:val="00D77416"/>
    <w:rsid w:val="00D9295E"/>
    <w:rsid w:val="00DA709D"/>
    <w:rsid w:val="00DA74F3"/>
    <w:rsid w:val="00E00C03"/>
    <w:rsid w:val="00E033E0"/>
    <w:rsid w:val="00E13CB2"/>
    <w:rsid w:val="00E72B61"/>
    <w:rsid w:val="00E90B85"/>
    <w:rsid w:val="00EC7EB2"/>
    <w:rsid w:val="00F40B2F"/>
    <w:rsid w:val="00F4338D"/>
    <w:rsid w:val="00F440D3"/>
    <w:rsid w:val="00F921F1"/>
    <w:rsid w:val="00FC0804"/>
    <w:rsid w:val="00FC3B6D"/>
    <w:rsid w:val="00FD3A4E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FE1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716FE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716FE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716FE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16FE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16FE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16FE1"/>
    <w:pPr>
      <w:outlineLvl w:val="5"/>
    </w:pPr>
  </w:style>
  <w:style w:type="paragraph" w:styleId="Heading7">
    <w:name w:val="heading 7"/>
    <w:basedOn w:val="H6"/>
    <w:next w:val="Normal"/>
    <w:qFormat/>
    <w:rsid w:val="00716FE1"/>
    <w:pPr>
      <w:outlineLvl w:val="6"/>
    </w:pPr>
  </w:style>
  <w:style w:type="paragraph" w:styleId="Heading8">
    <w:name w:val="heading 8"/>
    <w:basedOn w:val="Heading1"/>
    <w:next w:val="Normal"/>
    <w:qFormat/>
    <w:rsid w:val="00716FE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16FE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716FE1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716FE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16FE1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716FE1"/>
    <w:pPr>
      <w:spacing w:before="180"/>
      <w:ind w:left="2693" w:hanging="2693"/>
    </w:pPr>
    <w:rPr>
      <w:b/>
    </w:rPr>
  </w:style>
  <w:style w:type="paragraph" w:styleId="TOC1">
    <w:name w:val="toc 1"/>
    <w:semiHidden/>
    <w:rsid w:val="00716FE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16FE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716FE1"/>
    <w:pPr>
      <w:ind w:left="1701" w:hanging="1701"/>
    </w:pPr>
  </w:style>
  <w:style w:type="paragraph" w:styleId="TOC4">
    <w:name w:val="toc 4"/>
    <w:basedOn w:val="TOC3"/>
    <w:semiHidden/>
    <w:rsid w:val="00716FE1"/>
    <w:pPr>
      <w:ind w:left="1418" w:hanging="1418"/>
    </w:pPr>
  </w:style>
  <w:style w:type="paragraph" w:styleId="TOC3">
    <w:name w:val="toc 3"/>
    <w:basedOn w:val="TOC2"/>
    <w:semiHidden/>
    <w:rsid w:val="00716FE1"/>
    <w:pPr>
      <w:ind w:left="1134" w:hanging="1134"/>
    </w:pPr>
  </w:style>
  <w:style w:type="paragraph" w:styleId="TOC2">
    <w:name w:val="toc 2"/>
    <w:basedOn w:val="TOC1"/>
    <w:semiHidden/>
    <w:rsid w:val="00716FE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16FE1"/>
    <w:pPr>
      <w:ind w:left="284"/>
    </w:pPr>
  </w:style>
  <w:style w:type="paragraph" w:styleId="Index1">
    <w:name w:val="index 1"/>
    <w:basedOn w:val="Normal"/>
    <w:semiHidden/>
    <w:rsid w:val="00716FE1"/>
    <w:pPr>
      <w:keepLines/>
      <w:spacing w:after="0"/>
    </w:pPr>
  </w:style>
  <w:style w:type="paragraph" w:customStyle="1" w:styleId="ZH">
    <w:name w:val="ZH"/>
    <w:rsid w:val="00716FE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716FE1"/>
    <w:pPr>
      <w:outlineLvl w:val="9"/>
    </w:pPr>
  </w:style>
  <w:style w:type="paragraph" w:styleId="ListNumber2">
    <w:name w:val="List Number 2"/>
    <w:basedOn w:val="ListNumber"/>
    <w:rsid w:val="00716FE1"/>
    <w:pPr>
      <w:ind w:left="851"/>
    </w:pPr>
  </w:style>
  <w:style w:type="character" w:styleId="FootnoteReference">
    <w:name w:val="footnote reference"/>
    <w:basedOn w:val="DefaultParagraphFont"/>
    <w:semiHidden/>
    <w:rsid w:val="00716FE1"/>
    <w:rPr>
      <w:b/>
      <w:position w:val="6"/>
      <w:sz w:val="16"/>
    </w:rPr>
  </w:style>
  <w:style w:type="paragraph" w:styleId="FootnoteText">
    <w:name w:val="footnote text"/>
    <w:basedOn w:val="Normal"/>
    <w:semiHidden/>
    <w:rsid w:val="00716FE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16FE1"/>
    <w:pPr>
      <w:jc w:val="center"/>
    </w:pPr>
  </w:style>
  <w:style w:type="paragraph" w:customStyle="1" w:styleId="TF">
    <w:name w:val="TF"/>
    <w:basedOn w:val="TH"/>
    <w:rsid w:val="00716FE1"/>
    <w:pPr>
      <w:keepNext w:val="0"/>
      <w:spacing w:before="0" w:after="240"/>
    </w:pPr>
  </w:style>
  <w:style w:type="paragraph" w:customStyle="1" w:styleId="NO">
    <w:name w:val="NO"/>
    <w:basedOn w:val="Normal"/>
    <w:rsid w:val="00716FE1"/>
    <w:pPr>
      <w:keepLines/>
      <w:ind w:left="1135" w:hanging="851"/>
    </w:pPr>
  </w:style>
  <w:style w:type="paragraph" w:styleId="TOC9">
    <w:name w:val="toc 9"/>
    <w:basedOn w:val="TOC8"/>
    <w:semiHidden/>
    <w:rsid w:val="00716FE1"/>
    <w:pPr>
      <w:ind w:left="1418" w:hanging="1418"/>
    </w:pPr>
  </w:style>
  <w:style w:type="paragraph" w:customStyle="1" w:styleId="EX">
    <w:name w:val="EX"/>
    <w:basedOn w:val="Normal"/>
    <w:rsid w:val="00716FE1"/>
    <w:pPr>
      <w:keepLines/>
      <w:ind w:left="1702" w:hanging="1418"/>
    </w:pPr>
  </w:style>
  <w:style w:type="paragraph" w:customStyle="1" w:styleId="FP">
    <w:name w:val="FP"/>
    <w:basedOn w:val="Normal"/>
    <w:rsid w:val="00716FE1"/>
    <w:pPr>
      <w:spacing w:after="0"/>
    </w:pPr>
  </w:style>
  <w:style w:type="paragraph" w:customStyle="1" w:styleId="LD">
    <w:name w:val="LD"/>
    <w:rsid w:val="00716FE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16FE1"/>
    <w:pPr>
      <w:spacing w:after="0"/>
    </w:pPr>
  </w:style>
  <w:style w:type="paragraph" w:customStyle="1" w:styleId="EW">
    <w:name w:val="EW"/>
    <w:basedOn w:val="EX"/>
    <w:rsid w:val="00716FE1"/>
    <w:pPr>
      <w:spacing w:after="0"/>
    </w:pPr>
  </w:style>
  <w:style w:type="paragraph" w:styleId="TOC6">
    <w:name w:val="toc 6"/>
    <w:basedOn w:val="TOC5"/>
    <w:next w:val="Normal"/>
    <w:semiHidden/>
    <w:rsid w:val="00716FE1"/>
    <w:pPr>
      <w:ind w:left="1985" w:hanging="1985"/>
    </w:pPr>
  </w:style>
  <w:style w:type="paragraph" w:styleId="TOC7">
    <w:name w:val="toc 7"/>
    <w:basedOn w:val="TOC6"/>
    <w:next w:val="Normal"/>
    <w:semiHidden/>
    <w:rsid w:val="00716FE1"/>
    <w:pPr>
      <w:ind w:left="2268" w:hanging="2268"/>
    </w:pPr>
  </w:style>
  <w:style w:type="paragraph" w:styleId="ListBullet2">
    <w:name w:val="List Bullet 2"/>
    <w:basedOn w:val="ListBullet"/>
    <w:rsid w:val="00716FE1"/>
    <w:pPr>
      <w:ind w:left="851"/>
    </w:pPr>
  </w:style>
  <w:style w:type="paragraph" w:styleId="ListBullet3">
    <w:name w:val="List Bullet 3"/>
    <w:basedOn w:val="ListBullet2"/>
    <w:rsid w:val="00716FE1"/>
    <w:pPr>
      <w:ind w:left="1135"/>
    </w:pPr>
  </w:style>
  <w:style w:type="paragraph" w:styleId="ListNumber">
    <w:name w:val="List Number"/>
    <w:basedOn w:val="List"/>
    <w:rsid w:val="00716FE1"/>
  </w:style>
  <w:style w:type="paragraph" w:customStyle="1" w:styleId="EQ">
    <w:name w:val="EQ"/>
    <w:basedOn w:val="Normal"/>
    <w:next w:val="Normal"/>
    <w:rsid w:val="00716FE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16FE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16FE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16FE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16FE1"/>
    <w:pPr>
      <w:jc w:val="right"/>
    </w:pPr>
  </w:style>
  <w:style w:type="paragraph" w:customStyle="1" w:styleId="H6">
    <w:name w:val="H6"/>
    <w:basedOn w:val="Heading5"/>
    <w:next w:val="Normal"/>
    <w:rsid w:val="00716FE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16FE1"/>
    <w:pPr>
      <w:ind w:left="851" w:hanging="851"/>
    </w:pPr>
  </w:style>
  <w:style w:type="paragraph" w:customStyle="1" w:styleId="ZA">
    <w:name w:val="ZA"/>
    <w:rsid w:val="00716FE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16FE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16FE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16FE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16FE1"/>
    <w:pPr>
      <w:framePr w:wrap="notBeside" w:y="16161"/>
    </w:pPr>
  </w:style>
  <w:style w:type="character" w:customStyle="1" w:styleId="ZGSM">
    <w:name w:val="ZGSM"/>
    <w:rsid w:val="00716FE1"/>
  </w:style>
  <w:style w:type="paragraph" w:styleId="List2">
    <w:name w:val="List 2"/>
    <w:basedOn w:val="List"/>
    <w:rsid w:val="00716FE1"/>
    <w:pPr>
      <w:ind w:left="851"/>
    </w:pPr>
  </w:style>
  <w:style w:type="paragraph" w:customStyle="1" w:styleId="ZG">
    <w:name w:val="ZG"/>
    <w:rsid w:val="00716FE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716FE1"/>
    <w:pPr>
      <w:ind w:left="1135"/>
    </w:pPr>
  </w:style>
  <w:style w:type="paragraph" w:styleId="List4">
    <w:name w:val="List 4"/>
    <w:basedOn w:val="List3"/>
    <w:rsid w:val="00716FE1"/>
    <w:pPr>
      <w:ind w:left="1418"/>
    </w:pPr>
  </w:style>
  <w:style w:type="paragraph" w:styleId="List5">
    <w:name w:val="List 5"/>
    <w:basedOn w:val="List4"/>
    <w:rsid w:val="00716FE1"/>
    <w:pPr>
      <w:ind w:left="1702"/>
    </w:pPr>
  </w:style>
  <w:style w:type="paragraph" w:customStyle="1" w:styleId="EditorsNote">
    <w:name w:val="Editor's Note"/>
    <w:basedOn w:val="NO"/>
    <w:rsid w:val="00716FE1"/>
    <w:rPr>
      <w:color w:val="FF0000"/>
    </w:rPr>
  </w:style>
  <w:style w:type="paragraph" w:styleId="List">
    <w:name w:val="List"/>
    <w:basedOn w:val="Normal"/>
    <w:rsid w:val="00716FE1"/>
    <w:pPr>
      <w:ind w:left="568" w:hanging="284"/>
    </w:pPr>
  </w:style>
  <w:style w:type="paragraph" w:styleId="ListBullet">
    <w:name w:val="List Bullet"/>
    <w:basedOn w:val="List"/>
    <w:rsid w:val="00716FE1"/>
  </w:style>
  <w:style w:type="paragraph" w:styleId="ListBullet4">
    <w:name w:val="List Bullet 4"/>
    <w:basedOn w:val="ListBullet3"/>
    <w:rsid w:val="00716FE1"/>
    <w:pPr>
      <w:ind w:left="1418"/>
    </w:pPr>
  </w:style>
  <w:style w:type="paragraph" w:styleId="ListBullet5">
    <w:name w:val="List Bullet 5"/>
    <w:basedOn w:val="ListBullet4"/>
    <w:rsid w:val="00716FE1"/>
    <w:pPr>
      <w:ind w:left="1702"/>
    </w:pPr>
  </w:style>
  <w:style w:type="paragraph" w:customStyle="1" w:styleId="B1">
    <w:name w:val="B1"/>
    <w:basedOn w:val="List"/>
    <w:rsid w:val="00716FE1"/>
  </w:style>
  <w:style w:type="paragraph" w:customStyle="1" w:styleId="B2">
    <w:name w:val="B2"/>
    <w:basedOn w:val="List2"/>
    <w:rsid w:val="00716FE1"/>
  </w:style>
  <w:style w:type="paragraph" w:customStyle="1" w:styleId="B3">
    <w:name w:val="B3"/>
    <w:basedOn w:val="List3"/>
    <w:rsid w:val="00716FE1"/>
  </w:style>
  <w:style w:type="paragraph" w:customStyle="1" w:styleId="B4">
    <w:name w:val="B4"/>
    <w:basedOn w:val="List4"/>
    <w:rsid w:val="00716FE1"/>
  </w:style>
  <w:style w:type="paragraph" w:customStyle="1" w:styleId="B5">
    <w:name w:val="B5"/>
    <w:basedOn w:val="List5"/>
    <w:rsid w:val="00716FE1"/>
  </w:style>
  <w:style w:type="paragraph" w:styleId="Footer">
    <w:name w:val="footer"/>
    <w:basedOn w:val="Header"/>
    <w:rsid w:val="00716FE1"/>
    <w:pPr>
      <w:jc w:val="center"/>
    </w:pPr>
    <w:rPr>
      <w:i/>
    </w:rPr>
  </w:style>
  <w:style w:type="paragraph" w:customStyle="1" w:styleId="ZTD">
    <w:name w:val="ZTD"/>
    <w:basedOn w:val="ZB"/>
    <w:rsid w:val="00716FE1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BORSATO, RONALD</cp:lastModifiedBy>
  <cp:revision>3</cp:revision>
  <cp:lastPrinted>2009-10-12T14:10:00Z</cp:lastPrinted>
  <dcterms:created xsi:type="dcterms:W3CDTF">2023-11-28T13:17:00Z</dcterms:created>
  <dcterms:modified xsi:type="dcterms:W3CDTF">2023-11-28T13:23:00Z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(2)O9j9kGFc9Jp+c/NAlhlxshj7f0FhQ27QHpkYh390HRSKAdY/+LZMbVtUFn1QI9LR6VDOpJrv
4Aqef9onfU+cDu5gudIYRV6SLqhvvtiFwZudIU37i4wxxyt5GBrBBAazjF76PWSSqxPRwn5V
gkHE4dSm7sTI/vkn9JOkPwF1YZUE7ZlNy9kqpYdCzLsKcCphtgBUrK9L8kcVBSRAUejLQxaS
lAPu2hajwRrKWYeudf</vt:lpwstr>
  </property>
  <property fmtid="{D5CDD505-2E9C-101B-9397-08002B2CF9AE}" pid="4" name="_2015_ms_pID_7253431">
    <vt:lpwstr>YqNDfLLSHVcOXdQj4JeyxfX2hGXBK920LbaDMc+OAbtLZtpvpOR6Z0
9B4/5K8f1Fwyi6GXCISyY5f7K9RBjlhlb3A+KuPZgdXNqMWmkrjaaZJy1Yt1+aeA530lP+fV
S70Cb2z9Qo6edU1qEsNaxI3JnzOfaVfAOtVDsZH7+8nsGwnbh9AVdcsR6HJI2vNyoLlh+Dwc
sTTg7dcBTbLPR1s3</vt:lpwstr>
  </property>
</Properties>
</file>