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87722" w14:textId="77777777" w:rsidR="007E2DA4" w:rsidRDefault="00D610A8">
      <w:pPr>
        <w:pBdr>
          <w:top w:val="nil"/>
          <w:left w:val="nil"/>
          <w:bottom w:val="nil"/>
          <w:right w:val="nil"/>
          <w:between w:val="nil"/>
        </w:pBdr>
        <w:tabs>
          <w:tab w:val="right" w:pos="8931"/>
          <w:tab w:val="right" w:pos="13892"/>
          <w:tab w:val="right" w:pos="9356"/>
        </w:tabs>
        <w:spacing w:before="0" w:after="200" w:line="276" w:lineRule="auto"/>
        <w:jc w:val="center"/>
        <w:rPr>
          <w:rFonts w:eastAsia="Arial"/>
          <w:color w:val="000000"/>
          <w:sz w:val="20"/>
          <w:szCs w:val="20"/>
        </w:rPr>
      </w:pPr>
      <w:bookmarkStart w:id="0" w:name="_heading=h.gjdgxs" w:colFirst="0" w:colLast="0"/>
      <w:bookmarkEnd w:id="0"/>
      <w:r>
        <w:rPr>
          <w:rFonts w:eastAsia="Arial"/>
          <w:noProof/>
          <w:color w:val="000000"/>
          <w:sz w:val="20"/>
          <w:szCs w:val="20"/>
        </w:rPr>
        <w:drawing>
          <wp:inline distT="0" distB="0" distL="0" distR="0" wp14:anchorId="56EF6E3C" wp14:editId="3A64E251">
            <wp:extent cx="2384829" cy="1126889"/>
            <wp:effectExtent l="0" t="0" r="0" b="0"/>
            <wp:docPr id="5" name="image1.jpg" descr="A picture containing text, clip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text, clipart&#10;&#10;Description automatically generated"/>
                    <pic:cNvPicPr preferRelativeResize="0"/>
                  </pic:nvPicPr>
                  <pic:blipFill>
                    <a:blip r:embed="rId8"/>
                    <a:srcRect/>
                    <a:stretch>
                      <a:fillRect/>
                    </a:stretch>
                  </pic:blipFill>
                  <pic:spPr>
                    <a:xfrm>
                      <a:off x="0" y="0"/>
                      <a:ext cx="2384829" cy="1126889"/>
                    </a:xfrm>
                    <a:prstGeom prst="rect">
                      <a:avLst/>
                    </a:prstGeom>
                    <a:ln/>
                  </pic:spPr>
                </pic:pic>
              </a:graphicData>
            </a:graphic>
          </wp:inline>
        </w:drawing>
      </w:r>
    </w:p>
    <w:p w14:paraId="26CF4758" w14:textId="77777777" w:rsidR="007E2DA4" w:rsidRDefault="00D610A8">
      <w:pPr>
        <w:pStyle w:val="Title"/>
        <w:jc w:val="center"/>
      </w:pPr>
      <w:r>
        <w:t>Liaison Statement</w:t>
      </w:r>
    </w:p>
    <w:p w14:paraId="78F0B556" w14:textId="77777777" w:rsidR="007E2DA4" w:rsidRDefault="007E2DA4">
      <w:pPr>
        <w:pBdr>
          <w:top w:val="nil"/>
          <w:left w:val="nil"/>
          <w:bottom w:val="nil"/>
          <w:right w:val="nil"/>
          <w:between w:val="nil"/>
        </w:pBdr>
        <w:spacing w:before="0" w:after="200" w:line="276" w:lineRule="auto"/>
        <w:jc w:val="left"/>
        <w:rPr>
          <w:rFonts w:eastAsia="Arial"/>
          <w:color w:val="000000"/>
        </w:rPr>
      </w:pPr>
    </w:p>
    <w:tbl>
      <w:tblPr>
        <w:tblStyle w:val="a"/>
        <w:tblW w:w="9716" w:type="dxa"/>
        <w:tblInd w:w="-25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337"/>
        <w:gridCol w:w="6379"/>
      </w:tblGrid>
      <w:tr w:rsidR="007E2DA4" w14:paraId="0A92463A" w14:textId="77777777">
        <w:trPr>
          <w:trHeight w:val="590"/>
          <w:tblHeader/>
        </w:trPr>
        <w:tc>
          <w:tcPr>
            <w:tcW w:w="3337" w:type="dxa"/>
            <w:shd w:val="clear" w:color="auto" w:fill="DE002B"/>
            <w:vAlign w:val="center"/>
          </w:tcPr>
          <w:p w14:paraId="45699130" w14:textId="77777777" w:rsidR="007E2DA4" w:rsidRDefault="00D610A8">
            <w:pPr>
              <w:keepNext/>
              <w:pBdr>
                <w:top w:val="nil"/>
                <w:left w:val="nil"/>
                <w:bottom w:val="nil"/>
                <w:right w:val="nil"/>
                <w:between w:val="nil"/>
              </w:pBdr>
              <w:spacing w:before="60" w:line="276" w:lineRule="auto"/>
              <w:jc w:val="left"/>
              <w:rPr>
                <w:rFonts w:eastAsia="Arial"/>
                <w:b/>
                <w:color w:val="FFFFFF"/>
              </w:rPr>
            </w:pPr>
            <w:r>
              <w:rPr>
                <w:rFonts w:eastAsia="Arial"/>
                <w:b/>
                <w:color w:val="FFFFFF"/>
              </w:rPr>
              <w:t>Liaison Statement Title:</w:t>
            </w:r>
          </w:p>
        </w:tc>
        <w:tc>
          <w:tcPr>
            <w:tcW w:w="6379" w:type="dxa"/>
            <w:vAlign w:val="center"/>
          </w:tcPr>
          <w:p w14:paraId="7DF3BC78"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sz w:val="20"/>
                <w:szCs w:val="20"/>
              </w:rPr>
              <w:t>LS announcing Study item for defining NTN-IoT test cases (GEO+LEO)</w:t>
            </w:r>
          </w:p>
        </w:tc>
      </w:tr>
    </w:tbl>
    <w:p w14:paraId="289CD1A6" w14:textId="77777777" w:rsidR="007E2DA4" w:rsidRDefault="007E2DA4">
      <w:pPr>
        <w:pBdr>
          <w:top w:val="nil"/>
          <w:left w:val="nil"/>
          <w:bottom w:val="nil"/>
          <w:right w:val="nil"/>
          <w:between w:val="nil"/>
        </w:pBdr>
        <w:spacing w:before="0" w:after="200" w:line="276" w:lineRule="auto"/>
        <w:jc w:val="left"/>
        <w:rPr>
          <w:rFonts w:eastAsia="Arial"/>
          <w:color w:val="000000"/>
        </w:rPr>
      </w:pPr>
    </w:p>
    <w:tbl>
      <w:tblPr>
        <w:tblStyle w:val="a0"/>
        <w:tblW w:w="9716" w:type="dxa"/>
        <w:tblInd w:w="-25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480"/>
        <w:gridCol w:w="3228"/>
        <w:gridCol w:w="3008"/>
      </w:tblGrid>
      <w:tr w:rsidR="007E2DA4" w14:paraId="278E421C" w14:textId="77777777">
        <w:trPr>
          <w:trHeight w:val="130"/>
          <w:tblHeader/>
        </w:trPr>
        <w:tc>
          <w:tcPr>
            <w:tcW w:w="9716" w:type="dxa"/>
            <w:gridSpan w:val="3"/>
            <w:tcBorders>
              <w:top w:val="single" w:sz="6" w:space="0" w:color="000000"/>
              <w:bottom w:val="single" w:sz="6" w:space="0" w:color="000000"/>
            </w:tcBorders>
            <w:shd w:val="clear" w:color="auto" w:fill="DE002B"/>
            <w:vAlign w:val="center"/>
          </w:tcPr>
          <w:p w14:paraId="23239816" w14:textId="77777777" w:rsidR="007E2DA4" w:rsidRDefault="00D610A8">
            <w:pPr>
              <w:keepNext/>
              <w:pBdr>
                <w:top w:val="nil"/>
                <w:left w:val="nil"/>
                <w:bottom w:val="nil"/>
                <w:right w:val="nil"/>
                <w:between w:val="nil"/>
              </w:pBdr>
              <w:spacing w:before="60" w:line="276" w:lineRule="auto"/>
              <w:jc w:val="left"/>
              <w:rPr>
                <w:rFonts w:eastAsia="Arial"/>
                <w:b/>
                <w:color w:val="FFFFFF"/>
              </w:rPr>
            </w:pPr>
            <w:r>
              <w:rPr>
                <w:rFonts w:eastAsia="Arial"/>
                <w:b/>
                <w:color w:val="FFFFFF"/>
              </w:rPr>
              <w:t>Source Meeting Information</w:t>
            </w:r>
          </w:p>
        </w:tc>
      </w:tr>
      <w:tr w:rsidR="007E2DA4" w14:paraId="3BF85611" w14:textId="77777777">
        <w:trPr>
          <w:tblHeader/>
        </w:trPr>
        <w:tc>
          <w:tcPr>
            <w:tcW w:w="3480" w:type="dxa"/>
            <w:shd w:val="clear" w:color="auto" w:fill="D9D9D9"/>
          </w:tcPr>
          <w:p w14:paraId="178AF5E7"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Meeting Number</w:t>
            </w:r>
          </w:p>
        </w:tc>
        <w:tc>
          <w:tcPr>
            <w:tcW w:w="3228" w:type="dxa"/>
            <w:shd w:val="clear" w:color="auto" w:fill="D9D9D9"/>
          </w:tcPr>
          <w:p w14:paraId="49086E91"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Meeting Date</w:t>
            </w:r>
          </w:p>
        </w:tc>
        <w:tc>
          <w:tcPr>
            <w:tcW w:w="3008" w:type="dxa"/>
            <w:shd w:val="clear" w:color="auto" w:fill="D9D9D9"/>
          </w:tcPr>
          <w:p w14:paraId="63868DBC"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Meeting Location</w:t>
            </w:r>
          </w:p>
        </w:tc>
      </w:tr>
      <w:tr w:rsidR="007E2DA4" w14:paraId="21885E30" w14:textId="77777777">
        <w:trPr>
          <w:tblHeader/>
        </w:trPr>
        <w:tc>
          <w:tcPr>
            <w:tcW w:w="3480" w:type="dxa"/>
          </w:tcPr>
          <w:p w14:paraId="410A8BD0" w14:textId="0F267B3F" w:rsidR="007E2DA4" w:rsidRDefault="001F5E70">
            <w:pPr>
              <w:pBdr>
                <w:top w:val="nil"/>
                <w:left w:val="nil"/>
                <w:bottom w:val="nil"/>
                <w:right w:val="nil"/>
                <w:between w:val="nil"/>
              </w:pBdr>
              <w:spacing w:before="40" w:after="40" w:line="276" w:lineRule="auto"/>
              <w:jc w:val="left"/>
              <w:rPr>
                <w:rFonts w:eastAsia="Arial"/>
                <w:color w:val="000000"/>
                <w:sz w:val="20"/>
                <w:szCs w:val="20"/>
              </w:rPr>
            </w:pPr>
            <w:r>
              <w:rPr>
                <w:sz w:val="20"/>
                <w:szCs w:val="20"/>
              </w:rPr>
              <w:t>TSGIoT52</w:t>
            </w:r>
          </w:p>
        </w:tc>
        <w:tc>
          <w:tcPr>
            <w:tcW w:w="3228" w:type="dxa"/>
          </w:tcPr>
          <w:p w14:paraId="4CA288E6" w14:textId="55E77620" w:rsidR="001F5E70" w:rsidRDefault="001F5E70">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18</w:t>
            </w:r>
            <w:r w:rsidRPr="001F5E70">
              <w:rPr>
                <w:rFonts w:eastAsia="Arial"/>
                <w:color w:val="000000"/>
                <w:sz w:val="20"/>
                <w:szCs w:val="20"/>
                <w:vertAlign w:val="superscript"/>
              </w:rPr>
              <w:t>th</w:t>
            </w:r>
            <w:r>
              <w:rPr>
                <w:rFonts w:eastAsia="Arial"/>
                <w:color w:val="000000"/>
                <w:sz w:val="20"/>
                <w:szCs w:val="20"/>
              </w:rPr>
              <w:t xml:space="preserve"> July 2023</w:t>
            </w:r>
          </w:p>
        </w:tc>
        <w:tc>
          <w:tcPr>
            <w:tcW w:w="3008" w:type="dxa"/>
          </w:tcPr>
          <w:p w14:paraId="126AAD55" w14:textId="7E8F8197" w:rsidR="007E2DA4" w:rsidRDefault="001F5E70">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Conference Call</w:t>
            </w:r>
          </w:p>
        </w:tc>
      </w:tr>
    </w:tbl>
    <w:p w14:paraId="079215C8" w14:textId="77777777" w:rsidR="007E2DA4" w:rsidRDefault="007E2DA4">
      <w:pPr>
        <w:pBdr>
          <w:top w:val="nil"/>
          <w:left w:val="nil"/>
          <w:bottom w:val="nil"/>
          <w:right w:val="nil"/>
          <w:between w:val="nil"/>
        </w:pBdr>
        <w:spacing w:before="0" w:after="200" w:line="276" w:lineRule="auto"/>
        <w:jc w:val="left"/>
        <w:rPr>
          <w:rFonts w:eastAsia="Arial"/>
          <w:color w:val="000000"/>
        </w:rPr>
      </w:pPr>
    </w:p>
    <w:tbl>
      <w:tblPr>
        <w:tblStyle w:val="a1"/>
        <w:tblW w:w="9716" w:type="dxa"/>
        <w:tblInd w:w="-25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480"/>
        <w:gridCol w:w="3228"/>
        <w:gridCol w:w="3008"/>
      </w:tblGrid>
      <w:tr w:rsidR="007E2DA4" w14:paraId="4605DABF" w14:textId="77777777">
        <w:trPr>
          <w:trHeight w:val="190"/>
          <w:tblHeader/>
        </w:trPr>
        <w:tc>
          <w:tcPr>
            <w:tcW w:w="9716" w:type="dxa"/>
            <w:gridSpan w:val="3"/>
            <w:tcBorders>
              <w:top w:val="single" w:sz="6" w:space="0" w:color="000000"/>
              <w:bottom w:val="single" w:sz="6" w:space="0" w:color="000000"/>
            </w:tcBorders>
            <w:shd w:val="clear" w:color="auto" w:fill="DE002B"/>
            <w:vAlign w:val="center"/>
          </w:tcPr>
          <w:p w14:paraId="0A5A51EE" w14:textId="77777777" w:rsidR="007E2DA4" w:rsidRDefault="00D610A8">
            <w:pPr>
              <w:keepNext/>
              <w:pBdr>
                <w:top w:val="nil"/>
                <w:left w:val="nil"/>
                <w:bottom w:val="nil"/>
                <w:right w:val="nil"/>
                <w:between w:val="nil"/>
              </w:pBdr>
              <w:spacing w:before="60" w:line="276" w:lineRule="auto"/>
              <w:jc w:val="left"/>
              <w:rPr>
                <w:rFonts w:eastAsia="Arial"/>
                <w:b/>
                <w:color w:val="FFFFFF"/>
              </w:rPr>
            </w:pPr>
            <w:r>
              <w:rPr>
                <w:rFonts w:eastAsia="Arial"/>
                <w:b/>
                <w:color w:val="FFFFFF"/>
              </w:rPr>
              <w:t>Document Details</w:t>
            </w:r>
          </w:p>
        </w:tc>
      </w:tr>
      <w:tr w:rsidR="007E2DA4" w14:paraId="6C470F7E" w14:textId="77777777">
        <w:trPr>
          <w:tblHeader/>
        </w:trPr>
        <w:tc>
          <w:tcPr>
            <w:tcW w:w="3480" w:type="dxa"/>
            <w:shd w:val="clear" w:color="auto" w:fill="D9D9D9"/>
          </w:tcPr>
          <w:p w14:paraId="69A5AF92"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Document Number:</w:t>
            </w:r>
          </w:p>
        </w:tc>
        <w:tc>
          <w:tcPr>
            <w:tcW w:w="3228" w:type="dxa"/>
            <w:shd w:val="clear" w:color="auto" w:fill="D9D9D9"/>
          </w:tcPr>
          <w:p w14:paraId="144D5A3F"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Creation Date:</w:t>
            </w:r>
          </w:p>
        </w:tc>
        <w:tc>
          <w:tcPr>
            <w:tcW w:w="3008" w:type="dxa"/>
            <w:shd w:val="clear" w:color="auto" w:fill="D9D9D9"/>
          </w:tcPr>
          <w:p w14:paraId="768BCD11"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Document Author:</w:t>
            </w:r>
          </w:p>
        </w:tc>
      </w:tr>
      <w:tr w:rsidR="007E2DA4" w14:paraId="01CD36E0" w14:textId="77777777">
        <w:trPr>
          <w:tblHeader/>
        </w:trPr>
        <w:tc>
          <w:tcPr>
            <w:tcW w:w="3480" w:type="dxa"/>
          </w:tcPr>
          <w:p w14:paraId="7D2A3A99" w14:textId="2D6DA3FE" w:rsidR="007E2DA4" w:rsidRDefault="001F5E70">
            <w:pPr>
              <w:pBdr>
                <w:top w:val="nil"/>
                <w:left w:val="nil"/>
                <w:bottom w:val="nil"/>
                <w:right w:val="nil"/>
                <w:between w:val="nil"/>
              </w:pBdr>
              <w:spacing w:before="40" w:after="40" w:line="276" w:lineRule="auto"/>
              <w:jc w:val="left"/>
              <w:rPr>
                <w:rFonts w:eastAsia="Arial"/>
                <w:color w:val="000000"/>
                <w:sz w:val="20"/>
                <w:szCs w:val="20"/>
              </w:rPr>
            </w:pPr>
            <w:r>
              <w:rPr>
                <w:sz w:val="20"/>
                <w:szCs w:val="20"/>
              </w:rPr>
              <w:t>TSGIoT52_006</w:t>
            </w:r>
          </w:p>
        </w:tc>
        <w:tc>
          <w:tcPr>
            <w:tcW w:w="3228" w:type="dxa"/>
          </w:tcPr>
          <w:p w14:paraId="5816FA17"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sz w:val="20"/>
                <w:szCs w:val="20"/>
              </w:rPr>
              <w:t>25th July 2023</w:t>
            </w:r>
          </w:p>
        </w:tc>
        <w:tc>
          <w:tcPr>
            <w:tcW w:w="3008" w:type="dxa"/>
          </w:tcPr>
          <w:p w14:paraId="04851D99"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sz w:val="20"/>
                <w:szCs w:val="20"/>
              </w:rPr>
              <w:t>Shahbaz Ali</w:t>
            </w:r>
          </w:p>
        </w:tc>
      </w:tr>
      <w:tr w:rsidR="007E2DA4" w14:paraId="47020257" w14:textId="77777777">
        <w:trPr>
          <w:tblHeader/>
        </w:trPr>
        <w:tc>
          <w:tcPr>
            <w:tcW w:w="3480" w:type="dxa"/>
            <w:shd w:val="clear" w:color="auto" w:fill="D9D9D9"/>
          </w:tcPr>
          <w:p w14:paraId="38BEDD02"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Originating GSMA Source:</w:t>
            </w:r>
          </w:p>
        </w:tc>
        <w:tc>
          <w:tcPr>
            <w:tcW w:w="3228" w:type="dxa"/>
            <w:shd w:val="clear" w:color="auto" w:fill="D9D9D9"/>
          </w:tcPr>
          <w:p w14:paraId="0D3160F6"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Deadline for response:</w:t>
            </w:r>
          </w:p>
        </w:tc>
        <w:tc>
          <w:tcPr>
            <w:tcW w:w="3008" w:type="dxa"/>
            <w:shd w:val="clear" w:color="auto" w:fill="D9D9D9"/>
          </w:tcPr>
          <w:p w14:paraId="3A616F92"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 xml:space="preserve">Liaison Statement Contact </w:t>
            </w:r>
          </w:p>
        </w:tc>
      </w:tr>
      <w:tr w:rsidR="007E2DA4" w14:paraId="34759B91" w14:textId="77777777">
        <w:trPr>
          <w:tblHeader/>
        </w:trPr>
        <w:tc>
          <w:tcPr>
            <w:tcW w:w="3480" w:type="dxa"/>
          </w:tcPr>
          <w:p w14:paraId="33209654"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sz w:val="20"/>
                <w:szCs w:val="20"/>
              </w:rPr>
              <w:t>TSG Internet of Things (IoT) group</w:t>
            </w:r>
          </w:p>
        </w:tc>
        <w:tc>
          <w:tcPr>
            <w:tcW w:w="3228" w:type="dxa"/>
          </w:tcPr>
          <w:p w14:paraId="0433DC60" w14:textId="600FFCED" w:rsidR="007E2DA4" w:rsidRDefault="001F5E70">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N.A</w:t>
            </w:r>
          </w:p>
        </w:tc>
        <w:tc>
          <w:tcPr>
            <w:tcW w:w="3008" w:type="dxa"/>
          </w:tcPr>
          <w:p w14:paraId="549A09C5"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gsmaliaisons@gsma.com</w:t>
            </w:r>
          </w:p>
        </w:tc>
      </w:tr>
      <w:tr w:rsidR="007E2DA4" w14:paraId="2175B9B5" w14:textId="77777777">
        <w:trPr>
          <w:tblHeader/>
        </w:trPr>
        <w:tc>
          <w:tcPr>
            <w:tcW w:w="3480" w:type="dxa"/>
            <w:shd w:val="clear" w:color="auto" w:fill="D9D9D9"/>
          </w:tcPr>
          <w:p w14:paraId="1EDDCAB7"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Security classification:</w:t>
            </w:r>
          </w:p>
        </w:tc>
        <w:tc>
          <w:tcPr>
            <w:tcW w:w="6236" w:type="dxa"/>
            <w:gridSpan w:val="2"/>
          </w:tcPr>
          <w:p w14:paraId="3DB69B6F"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Non-confidential</w:t>
            </w:r>
          </w:p>
        </w:tc>
      </w:tr>
    </w:tbl>
    <w:p w14:paraId="3C621A10" w14:textId="77777777" w:rsidR="007E2DA4" w:rsidRDefault="007E2DA4">
      <w:pPr>
        <w:pBdr>
          <w:top w:val="nil"/>
          <w:left w:val="nil"/>
          <w:bottom w:val="nil"/>
          <w:right w:val="nil"/>
          <w:between w:val="nil"/>
        </w:pBdr>
        <w:spacing w:before="0" w:after="200" w:line="276" w:lineRule="auto"/>
        <w:jc w:val="left"/>
        <w:rPr>
          <w:rFonts w:eastAsia="Arial"/>
          <w:color w:val="000000"/>
        </w:rPr>
      </w:pPr>
    </w:p>
    <w:tbl>
      <w:tblPr>
        <w:tblStyle w:val="a2"/>
        <w:tblW w:w="9716" w:type="dxa"/>
        <w:tblInd w:w="-25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480"/>
        <w:gridCol w:w="6236"/>
      </w:tblGrid>
      <w:tr w:rsidR="007E2DA4" w14:paraId="6F5C042C" w14:textId="77777777">
        <w:trPr>
          <w:trHeight w:val="214"/>
          <w:tblHeader/>
        </w:trPr>
        <w:tc>
          <w:tcPr>
            <w:tcW w:w="9716" w:type="dxa"/>
            <w:gridSpan w:val="2"/>
            <w:tcBorders>
              <w:top w:val="single" w:sz="6" w:space="0" w:color="000000"/>
              <w:bottom w:val="single" w:sz="6" w:space="0" w:color="000000"/>
            </w:tcBorders>
            <w:shd w:val="clear" w:color="auto" w:fill="DE002B"/>
            <w:vAlign w:val="center"/>
          </w:tcPr>
          <w:p w14:paraId="1A8EB254" w14:textId="77777777" w:rsidR="007E2DA4" w:rsidRDefault="00D610A8">
            <w:pPr>
              <w:keepNext/>
              <w:pBdr>
                <w:top w:val="nil"/>
                <w:left w:val="nil"/>
                <w:bottom w:val="nil"/>
                <w:right w:val="nil"/>
                <w:between w:val="nil"/>
              </w:pBdr>
              <w:spacing w:before="60" w:line="276" w:lineRule="auto"/>
              <w:jc w:val="left"/>
              <w:rPr>
                <w:rFonts w:eastAsia="Arial"/>
                <w:b/>
                <w:color w:val="FFFFFF"/>
              </w:rPr>
            </w:pPr>
            <w:r>
              <w:rPr>
                <w:rFonts w:eastAsia="Arial"/>
                <w:b/>
                <w:color w:val="FFFFFF"/>
              </w:rPr>
              <w:t>Recipients:</w:t>
            </w:r>
          </w:p>
        </w:tc>
      </w:tr>
      <w:tr w:rsidR="007E2DA4" w14:paraId="4C943E8D" w14:textId="77777777">
        <w:trPr>
          <w:tblHeader/>
        </w:trPr>
        <w:tc>
          <w:tcPr>
            <w:tcW w:w="3480" w:type="dxa"/>
            <w:shd w:val="clear" w:color="auto" w:fill="D9D9D9"/>
          </w:tcPr>
          <w:p w14:paraId="38190D03"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Internal recipients:</w:t>
            </w:r>
          </w:p>
        </w:tc>
        <w:tc>
          <w:tcPr>
            <w:tcW w:w="6236" w:type="dxa"/>
            <w:shd w:val="clear" w:color="auto" w:fill="auto"/>
          </w:tcPr>
          <w:p w14:paraId="3414FDD6" w14:textId="65955810" w:rsidR="007E2DA4" w:rsidRDefault="00D610A8">
            <w:pPr>
              <w:pBdr>
                <w:top w:val="nil"/>
                <w:left w:val="nil"/>
                <w:bottom w:val="nil"/>
                <w:right w:val="nil"/>
                <w:between w:val="nil"/>
              </w:pBdr>
              <w:spacing w:before="40" w:after="40" w:line="276" w:lineRule="auto"/>
              <w:jc w:val="left"/>
              <w:rPr>
                <w:sz w:val="20"/>
                <w:szCs w:val="20"/>
              </w:rPr>
            </w:pPr>
            <w:r>
              <w:rPr>
                <w:sz w:val="20"/>
                <w:szCs w:val="20"/>
              </w:rPr>
              <w:t>FT</w:t>
            </w:r>
            <w:r w:rsidR="00560290">
              <w:rPr>
                <w:sz w:val="20"/>
                <w:szCs w:val="20"/>
              </w:rPr>
              <w:t>D</w:t>
            </w:r>
            <w:r>
              <w:rPr>
                <w:sz w:val="20"/>
                <w:szCs w:val="20"/>
              </w:rPr>
              <w:t xml:space="preserve">G </w:t>
            </w:r>
          </w:p>
          <w:p w14:paraId="245ADB1A" w14:textId="77777777" w:rsidR="007E2DA4" w:rsidRDefault="00D610A8">
            <w:pPr>
              <w:pBdr>
                <w:top w:val="nil"/>
                <w:left w:val="nil"/>
                <w:bottom w:val="nil"/>
                <w:right w:val="nil"/>
                <w:between w:val="nil"/>
              </w:pBdr>
              <w:spacing w:before="40" w:after="40" w:line="276" w:lineRule="auto"/>
              <w:jc w:val="left"/>
              <w:rPr>
                <w:i/>
                <w:sz w:val="20"/>
                <w:szCs w:val="20"/>
              </w:rPr>
            </w:pPr>
            <w:r>
              <w:rPr>
                <w:i/>
                <w:sz w:val="20"/>
                <w:szCs w:val="20"/>
              </w:rPr>
              <w:t>GSMA IoT Program, NB-IoT Forum and LTE M Task Force</w:t>
            </w:r>
          </w:p>
        </w:tc>
      </w:tr>
      <w:tr w:rsidR="007E2DA4" w14:paraId="2699CBAE" w14:textId="77777777">
        <w:trPr>
          <w:tblHeader/>
        </w:trPr>
        <w:tc>
          <w:tcPr>
            <w:tcW w:w="3480" w:type="dxa"/>
            <w:shd w:val="clear" w:color="auto" w:fill="D9D9D9"/>
          </w:tcPr>
          <w:p w14:paraId="6E307359"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External recipients:</w:t>
            </w:r>
          </w:p>
        </w:tc>
        <w:tc>
          <w:tcPr>
            <w:tcW w:w="6236" w:type="dxa"/>
            <w:shd w:val="clear" w:color="auto" w:fill="auto"/>
          </w:tcPr>
          <w:p w14:paraId="53C60C26" w14:textId="77777777" w:rsidR="007E2DA4" w:rsidRDefault="00D610A8">
            <w:pPr>
              <w:pBdr>
                <w:top w:val="nil"/>
                <w:left w:val="nil"/>
                <w:bottom w:val="nil"/>
                <w:right w:val="nil"/>
                <w:between w:val="nil"/>
              </w:pBdr>
              <w:spacing w:before="40" w:after="40" w:line="276" w:lineRule="auto"/>
              <w:jc w:val="left"/>
              <w:rPr>
                <w:sz w:val="20"/>
                <w:szCs w:val="20"/>
              </w:rPr>
            </w:pPr>
            <w:r>
              <w:rPr>
                <w:sz w:val="20"/>
                <w:szCs w:val="20"/>
              </w:rPr>
              <w:t xml:space="preserve">GCF SG &amp; CAG, </w:t>
            </w:r>
          </w:p>
          <w:p w14:paraId="6FCD0084"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sz w:val="20"/>
                <w:szCs w:val="20"/>
              </w:rPr>
              <w:t>3GPP RAN 4, RAN5, RAN</w:t>
            </w:r>
          </w:p>
        </w:tc>
      </w:tr>
    </w:tbl>
    <w:p w14:paraId="5FA1B700" w14:textId="1DA29276" w:rsidR="001F5E70" w:rsidRDefault="001F5E70" w:rsidP="001F5E70"/>
    <w:p w14:paraId="00D9769D" w14:textId="77777777" w:rsidR="001F5E70" w:rsidRDefault="001F5E70">
      <w:r>
        <w:br w:type="page"/>
      </w:r>
    </w:p>
    <w:p w14:paraId="00D59ADC" w14:textId="77777777" w:rsidR="001F5E70" w:rsidRDefault="001F5E70" w:rsidP="001F5E70"/>
    <w:p w14:paraId="75279246" w14:textId="1E87ED27" w:rsidR="007E2DA4" w:rsidRDefault="00D610A8">
      <w:pPr>
        <w:pStyle w:val="Heading1"/>
      </w:pPr>
      <w:r>
        <w:t>Announcement/Summary</w:t>
      </w:r>
    </w:p>
    <w:p w14:paraId="0A236CE3" w14:textId="5ECE619A" w:rsidR="007E2DA4" w:rsidRPr="001F5E70" w:rsidRDefault="00D610A8" w:rsidP="00D610A8">
      <w:pPr>
        <w:spacing w:before="0" w:line="360" w:lineRule="auto"/>
      </w:pPr>
      <w:r w:rsidRPr="001F5E70">
        <w:t xml:space="preserve">GSMA TSGIoT is pleased to announce the official commencement of the study item aimed at defining the Non-Terrestrial Network (NTN) Internet of Things (IoT) </w:t>
      </w:r>
      <w:r>
        <w:t>Requirements and T</w:t>
      </w:r>
      <w:r w:rsidRPr="001F5E70">
        <w:t xml:space="preserve">est </w:t>
      </w:r>
      <w:r>
        <w:t>C</w:t>
      </w:r>
      <w:r w:rsidRPr="001F5E70">
        <w:t>ases for User Equipment (UE).</w:t>
      </w:r>
    </w:p>
    <w:p w14:paraId="0C14F1D9" w14:textId="77777777" w:rsidR="007E2DA4" w:rsidRPr="001F5E70" w:rsidRDefault="00D610A8" w:rsidP="00D610A8">
      <w:pPr>
        <w:spacing w:before="0" w:line="360" w:lineRule="auto"/>
      </w:pPr>
      <w:r w:rsidRPr="001F5E70">
        <w:t>This significant initiative represents a crucial step in advancing the development and standardization of IoT technologies, tailored explicitly to NTN scenarios. By defining comprehensive and standardized test cases for UE, we aim to ensure seamless interoperability, reliability, and optimal performance of IoT devices operating within NTN environments.</w:t>
      </w:r>
    </w:p>
    <w:p w14:paraId="1A8EB9D9" w14:textId="222634C5" w:rsidR="007E2DA4" w:rsidRPr="001F5E70" w:rsidRDefault="00D610A8" w:rsidP="00D610A8">
      <w:pPr>
        <w:spacing w:before="0" w:line="360" w:lineRule="auto"/>
      </w:pPr>
      <w:r w:rsidRPr="001F5E70">
        <w:t xml:space="preserve">We eagerly anticipate the active participation and valuable contributions from esteemed stakeholders and industry experts throughout this </w:t>
      </w:r>
      <w:r w:rsidR="001F5E70" w:rsidRPr="001F5E70">
        <w:t>endeavour</w:t>
      </w:r>
      <w:r w:rsidRPr="001F5E70">
        <w:t>. Together, we can shape the future of NTN IoT connectivity and pave the way for transformative applications in diverse sectors.</w:t>
      </w:r>
    </w:p>
    <w:p w14:paraId="038575D1" w14:textId="77777777" w:rsidR="007E2DA4" w:rsidRDefault="00D610A8">
      <w:pPr>
        <w:pStyle w:val="Heading1"/>
      </w:pPr>
      <w:bookmarkStart w:id="1" w:name="_heading=h.tyjcwt" w:colFirst="0" w:colLast="0"/>
      <w:bookmarkStart w:id="2" w:name="_heading=h.3dy6vkm" w:colFirst="0" w:colLast="0"/>
      <w:bookmarkEnd w:id="1"/>
      <w:bookmarkEnd w:id="2"/>
      <w:r>
        <w:t xml:space="preserve">Background </w:t>
      </w:r>
    </w:p>
    <w:p w14:paraId="32058654" w14:textId="77777777" w:rsidR="007E2DA4" w:rsidRDefault="007E2DA4"/>
    <w:p w14:paraId="18FF0F39" w14:textId="13E4F4E1" w:rsidR="007E2DA4" w:rsidRDefault="00D610A8">
      <w:pPr>
        <w:spacing w:before="0" w:line="360" w:lineRule="auto"/>
      </w:pPr>
      <w:r>
        <w:t>GSMA TSGIoT group has initiated a study report that aims to learn about the capability requirements of typical IoT NTN devices and test specifications and test cases. IoT NTN device" primarily pertains to NB-IoT devices equipped with NTN capabilities. The report encompasses various components and entities relevant to the industry, such as DUT, RF Modules, chipsets, MNOS, etc.</w:t>
      </w:r>
    </w:p>
    <w:p w14:paraId="0BF7B4DC" w14:textId="1ED2B135" w:rsidR="007E2DA4" w:rsidRDefault="00D610A8">
      <w:pPr>
        <w:spacing w:before="0" w:line="360" w:lineRule="auto"/>
      </w:pPr>
      <w:r>
        <w:t xml:space="preserve">3GPP RAN 5 is in the process of defining the test cases. In order to expedite the definition of Test cases and also to include the right ecosystem players which are vital for the overall equation, it is proposed that the TSG group take the lead. The primary goal is to commence the development of test case definitions within the TSG, with the intention of subsequently adopting or modifying them based on the recommendations put forth by RAN 5 upon its completion. This approach aims to expedite the test case definition process while aligning with the finalized recommendations of RAN 5. This will also help to align </w:t>
      </w:r>
      <w:r w:rsidR="001F5E70">
        <w:t>subsequent</w:t>
      </w:r>
      <w:r>
        <w:t xml:space="preserve"> steps at GCF forums like SG and CAG, to speed up the certification process and for timely commercialization of the chipsets and modules. </w:t>
      </w:r>
    </w:p>
    <w:p w14:paraId="256BEE6D" w14:textId="663C9AA0" w:rsidR="00F743AA" w:rsidRDefault="00F743AA" w:rsidP="00F743AA">
      <w:pPr>
        <w:pStyle w:val="Heading1"/>
      </w:pPr>
      <w:r>
        <w:t>Next Steps</w:t>
      </w:r>
    </w:p>
    <w:p w14:paraId="57EB9FDB" w14:textId="0825BAB0" w:rsidR="00F743AA" w:rsidRDefault="00F743AA" w:rsidP="00F743AA">
      <w:pPr>
        <w:pStyle w:val="NormalParagraph"/>
        <w:rPr>
          <w:lang w:eastAsia="en-US" w:bidi="bn-BD"/>
        </w:rPr>
      </w:pPr>
      <w:r>
        <w:rPr>
          <w:lang w:eastAsia="en-US" w:bidi="bn-BD"/>
        </w:rPr>
        <w:t xml:space="preserve">Following the completion of the Study Item, the GSMA TSGIoT will work on </w:t>
      </w:r>
      <w:r w:rsidR="0039683F">
        <w:rPr>
          <w:lang w:eastAsia="en-US" w:bidi="bn-BD"/>
        </w:rPr>
        <w:t xml:space="preserve">a new Permanent Reference Document (PRD) </w:t>
      </w:r>
      <w:r>
        <w:rPr>
          <w:lang w:eastAsia="en-US" w:bidi="bn-BD"/>
        </w:rPr>
        <w:t>defining requirements for UE</w:t>
      </w:r>
      <w:r w:rsidR="0039683F">
        <w:rPr>
          <w:lang w:eastAsia="en-US" w:bidi="bn-BD"/>
        </w:rPr>
        <w:t>s</w:t>
      </w:r>
      <w:r>
        <w:rPr>
          <w:lang w:eastAsia="en-US" w:bidi="bn-BD"/>
        </w:rPr>
        <w:t xml:space="preserve"> using NTN and then create test cases to test these requirements. The schedule for this work is to start </w:t>
      </w:r>
      <w:r w:rsidRPr="00374654">
        <w:rPr>
          <w:lang w:eastAsia="en-US" w:bidi="bn-BD"/>
        </w:rPr>
        <w:t>in Q4 2023.</w:t>
      </w:r>
    </w:p>
    <w:p w14:paraId="694C406E" w14:textId="0141C54C" w:rsidR="0039683F" w:rsidRPr="00F743AA" w:rsidRDefault="0039683F" w:rsidP="00F743AA">
      <w:pPr>
        <w:pStyle w:val="NormalParagraph"/>
        <w:rPr>
          <w:lang w:eastAsia="en-US" w:bidi="bn-BD"/>
        </w:rPr>
      </w:pPr>
      <w:r>
        <w:rPr>
          <w:lang w:eastAsia="en-US" w:bidi="bn-BD"/>
        </w:rPr>
        <w:lastRenderedPageBreak/>
        <w:t>When completed we will send you a copy of the Study Item report.</w:t>
      </w:r>
    </w:p>
    <w:p w14:paraId="2EC5D988" w14:textId="77777777" w:rsidR="00F743AA" w:rsidRDefault="00F743AA">
      <w:pPr>
        <w:spacing w:before="0" w:line="360" w:lineRule="auto"/>
      </w:pPr>
    </w:p>
    <w:p w14:paraId="51A9A26B" w14:textId="77777777" w:rsidR="007E2DA4" w:rsidRDefault="00D610A8">
      <w:pPr>
        <w:pStyle w:val="Heading1"/>
      </w:pPr>
      <w:bookmarkStart w:id="3" w:name="_heading=h.mulp4nne3fl0" w:colFirst="0" w:colLast="0"/>
      <w:bookmarkEnd w:id="3"/>
      <w:r>
        <w:t>Request for Action</w:t>
      </w:r>
    </w:p>
    <w:p w14:paraId="73C8C373" w14:textId="77777777" w:rsidR="007E2DA4" w:rsidRDefault="00D610A8">
      <w:pPr>
        <w:spacing w:line="360" w:lineRule="auto"/>
      </w:pPr>
      <w:r w:rsidRPr="001F5E70">
        <w:t xml:space="preserve">GSMA requests members of 3GPP and GCF relevant groups (RAN5, RAN4, CAG) interested in IoT NTN to join and contribute to the NTN </w:t>
      </w:r>
      <w:r>
        <w:t>IoT test cases and invite both forums to attend GSMA TSGIoT group meetings and share feedback. The objective of this is to have cross-collaboration in the industry and to avoid duplication of efforts of the same task in each forum. GSMA looks forward to the continuation of the fruitful cooperation between our organizations.</w:t>
      </w:r>
    </w:p>
    <w:p w14:paraId="275D4D7B" w14:textId="77777777" w:rsidR="007E2DA4" w:rsidRDefault="00D610A8">
      <w:pPr>
        <w:pStyle w:val="Heading1"/>
      </w:pPr>
      <w:bookmarkStart w:id="4" w:name="_heading=h.cqcm1lnvvb4r" w:colFirst="0" w:colLast="0"/>
      <w:bookmarkEnd w:id="4"/>
      <w:r>
        <w:t>Industry collaboration</w:t>
      </w:r>
    </w:p>
    <w:p w14:paraId="4172305D" w14:textId="77777777" w:rsidR="007E2DA4" w:rsidRDefault="00D610A8">
      <w:pPr>
        <w:spacing w:line="360" w:lineRule="auto"/>
      </w:pPr>
      <w:r>
        <w:t>The scope of the study includes key members of the industry ecosystem, such as producers of test equipment. Coordinated contributions are being made by pertinent stakeholders. Players include test equipment producers, MNOs/MVNOs, chipset and module producers.</w:t>
      </w:r>
    </w:p>
    <w:p w14:paraId="54B640F7" w14:textId="77777777" w:rsidR="007E2DA4" w:rsidRDefault="00D610A8">
      <w:pPr>
        <w:pStyle w:val="Heading1"/>
      </w:pPr>
      <w:bookmarkStart w:id="5" w:name="_heading=h.7cucah53i2dv" w:colFirst="0" w:colLast="0"/>
      <w:bookmarkEnd w:id="5"/>
      <w:r>
        <w:t xml:space="preserve">Contact </w:t>
      </w:r>
    </w:p>
    <w:p w14:paraId="36C774C9" w14:textId="6ED5C414" w:rsidR="007E2DA4" w:rsidRPr="00D610A8" w:rsidRDefault="00D610A8">
      <w:pPr>
        <w:pBdr>
          <w:top w:val="nil"/>
          <w:left w:val="nil"/>
          <w:bottom w:val="nil"/>
          <w:right w:val="nil"/>
          <w:between w:val="nil"/>
        </w:pBdr>
        <w:spacing w:before="0" w:after="200" w:line="360" w:lineRule="auto"/>
        <w:jc w:val="left"/>
      </w:pPr>
      <w:r w:rsidRPr="00D610A8">
        <w:t>In the case of any questions and/or feedback these can be directed to Paul Gosden Terminals Director, looking after TSG p</w:t>
      </w:r>
      <w:r w:rsidR="001F5E70" w:rsidRPr="00D610A8">
        <w:t>aul.</w:t>
      </w:r>
      <w:r w:rsidRPr="00D610A8">
        <w:t>gosden@gsma.com</w:t>
      </w:r>
    </w:p>
    <w:p w14:paraId="27DE0C5B" w14:textId="77777777" w:rsidR="007E2DA4" w:rsidRDefault="00D610A8">
      <w:pPr>
        <w:pStyle w:val="Heading1"/>
      </w:pPr>
      <w:bookmarkStart w:id="6" w:name="_heading=h.ui120cs05ids" w:colFirst="0" w:colLast="0"/>
      <w:bookmarkEnd w:id="6"/>
      <w:r>
        <w:t>Next Meetings</w:t>
      </w:r>
    </w:p>
    <w:p w14:paraId="0C8CD4DB" w14:textId="73717A81" w:rsidR="007E2DA4" w:rsidRPr="00D610A8" w:rsidRDefault="00D610A8">
      <w:pPr>
        <w:spacing w:before="0" w:after="200" w:line="276" w:lineRule="auto"/>
        <w:jc w:val="left"/>
        <w:rPr>
          <w:iCs/>
        </w:rPr>
      </w:pPr>
      <w:r w:rsidRPr="00D610A8">
        <w:rPr>
          <w:iCs/>
        </w:rPr>
        <w:t xml:space="preserve">GSMA TSG#53 </w:t>
      </w:r>
      <w:r>
        <w:rPr>
          <w:iCs/>
        </w:rPr>
        <w:t xml:space="preserve">Plenary </w:t>
      </w:r>
      <w:r w:rsidRPr="00D610A8">
        <w:rPr>
          <w:iCs/>
        </w:rPr>
        <w:t xml:space="preserve">Meeting    </w:t>
      </w:r>
      <w:r>
        <w:rPr>
          <w:iCs/>
        </w:rPr>
        <w:tab/>
      </w:r>
      <w:r w:rsidRPr="00D610A8">
        <w:rPr>
          <w:iCs/>
        </w:rPr>
        <w:t>5</w:t>
      </w:r>
      <w:r w:rsidRPr="00D610A8">
        <w:rPr>
          <w:iCs/>
          <w:vertAlign w:val="superscript"/>
        </w:rPr>
        <w:t>th</w:t>
      </w:r>
      <w:r w:rsidRPr="00D610A8">
        <w:rPr>
          <w:iCs/>
        </w:rPr>
        <w:t xml:space="preserve"> to 7</w:t>
      </w:r>
      <w:r w:rsidRPr="00D610A8">
        <w:rPr>
          <w:iCs/>
          <w:vertAlign w:val="superscript"/>
        </w:rPr>
        <w:t>th</w:t>
      </w:r>
      <w:r w:rsidRPr="00D610A8">
        <w:rPr>
          <w:iCs/>
        </w:rPr>
        <w:t xml:space="preserve"> September 2023   </w:t>
      </w:r>
      <w:r w:rsidRPr="00D610A8">
        <w:rPr>
          <w:iCs/>
        </w:rPr>
        <w:tab/>
        <w:t>Bogota, Colombia</w:t>
      </w:r>
    </w:p>
    <w:p w14:paraId="11CE8837" w14:textId="3BB149C4" w:rsidR="007E2DA4" w:rsidRDefault="00D610A8">
      <w:pPr>
        <w:spacing w:before="0" w:after="200" w:line="276" w:lineRule="auto"/>
      </w:pPr>
      <w:r>
        <w:t>GSMA TSGIoT#53 Meeting</w:t>
      </w:r>
      <w:r>
        <w:tab/>
      </w:r>
      <w:r>
        <w:tab/>
        <w:t>12</w:t>
      </w:r>
      <w:r>
        <w:rPr>
          <w:vertAlign w:val="superscript"/>
        </w:rPr>
        <w:t>th</w:t>
      </w:r>
      <w:r>
        <w:t xml:space="preserve"> September 2023          </w:t>
      </w:r>
      <w:r>
        <w:tab/>
        <w:t>Conference Call</w:t>
      </w:r>
    </w:p>
    <w:p w14:paraId="3B4C515D" w14:textId="2E834742" w:rsidR="007E2DA4" w:rsidRDefault="00D610A8">
      <w:pPr>
        <w:spacing w:before="0" w:after="200" w:line="276" w:lineRule="auto"/>
      </w:pPr>
      <w:r>
        <w:t>GSMA TSGIoT#54 Meeting</w:t>
      </w:r>
      <w:r>
        <w:tab/>
      </w:r>
      <w:r>
        <w:tab/>
        <w:t>10</w:t>
      </w:r>
      <w:r w:rsidRPr="00D610A8">
        <w:rPr>
          <w:vertAlign w:val="superscript"/>
        </w:rPr>
        <w:t>th</w:t>
      </w:r>
      <w:r>
        <w:t xml:space="preserve"> October 2023          </w:t>
      </w:r>
      <w:r>
        <w:tab/>
        <w:t>Conference Call</w:t>
      </w:r>
    </w:p>
    <w:p w14:paraId="79DA3D24" w14:textId="77777777" w:rsidR="007E2DA4" w:rsidRDefault="007E2DA4"/>
    <w:p w14:paraId="44687E8C" w14:textId="77777777" w:rsidR="007E2DA4" w:rsidRDefault="007E2DA4">
      <w:pPr>
        <w:keepNext/>
        <w:keepLines/>
        <w:pBdr>
          <w:top w:val="nil"/>
          <w:left w:val="nil"/>
          <w:bottom w:val="nil"/>
          <w:right w:val="nil"/>
          <w:between w:val="nil"/>
        </w:pBdr>
        <w:spacing w:before="360" w:after="60" w:line="276" w:lineRule="auto"/>
        <w:jc w:val="left"/>
        <w:rPr>
          <w:rFonts w:eastAsia="Arial"/>
          <w:b/>
          <w:color w:val="000000"/>
          <w:sz w:val="28"/>
          <w:szCs w:val="28"/>
        </w:rPr>
      </w:pPr>
    </w:p>
    <w:p w14:paraId="77CB8D0F" w14:textId="77777777" w:rsidR="007E2DA4" w:rsidRDefault="007E2DA4">
      <w:pPr>
        <w:pBdr>
          <w:top w:val="nil"/>
          <w:left w:val="nil"/>
          <w:bottom w:val="nil"/>
          <w:right w:val="nil"/>
          <w:between w:val="nil"/>
        </w:pBdr>
        <w:spacing w:before="0" w:after="200" w:line="276" w:lineRule="auto"/>
        <w:jc w:val="left"/>
        <w:rPr>
          <w:rFonts w:ascii="Arial Bold" w:eastAsia="Arial Bold" w:hAnsi="Arial Bold" w:cs="Arial Bold"/>
          <w:color w:val="000000"/>
        </w:rPr>
      </w:pPr>
    </w:p>
    <w:sectPr w:rsidR="007E2DA4">
      <w:headerReference w:type="even" r:id="rId9"/>
      <w:headerReference w:type="default" r:id="rId10"/>
      <w:footerReference w:type="default" r:id="rId11"/>
      <w:headerReference w:type="first" r:id="rId12"/>
      <w:pgSz w:w="11906" w:h="16838"/>
      <w:pgMar w:top="1440" w:right="1440" w:bottom="1440" w:left="1440"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F2189" w14:textId="77777777" w:rsidR="007615DC" w:rsidRDefault="007615DC">
      <w:pPr>
        <w:spacing w:before="0"/>
      </w:pPr>
      <w:r>
        <w:separator/>
      </w:r>
    </w:p>
  </w:endnote>
  <w:endnote w:type="continuationSeparator" w:id="0">
    <w:p w14:paraId="2CE05465" w14:textId="77777777" w:rsidR="007615DC" w:rsidRDefault="007615D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1590" w14:textId="4C6BE94C" w:rsidR="007E2DA4" w:rsidRDefault="00D610A8">
    <w:pPr>
      <w:pBdr>
        <w:top w:val="nil"/>
        <w:left w:val="nil"/>
        <w:bottom w:val="nil"/>
        <w:right w:val="nil"/>
        <w:between w:val="nil"/>
      </w:pBdr>
      <w:tabs>
        <w:tab w:val="right" w:pos="8930"/>
        <w:tab w:val="right" w:pos="13892"/>
      </w:tabs>
      <w:spacing w:before="0" w:after="200" w:line="276" w:lineRule="auto"/>
      <w:jc w:val="left"/>
      <w:rPr>
        <w:rFonts w:eastAsia="Arial"/>
        <w:i/>
        <w:color w:val="000000"/>
        <w:sz w:val="20"/>
        <w:szCs w:val="20"/>
      </w:rPr>
    </w:pPr>
    <w:r>
      <w:rPr>
        <w:rFonts w:eastAsia="Arial"/>
        <w:color w:val="000000"/>
        <w:sz w:val="20"/>
        <w:szCs w:val="20"/>
      </w:rPr>
      <w:tab/>
      <w:t xml:space="preserve">Page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30638A">
      <w:rPr>
        <w:rFonts w:eastAsia="Arial"/>
        <w:noProof/>
        <w:color w:val="000000"/>
        <w:sz w:val="20"/>
        <w:szCs w:val="20"/>
      </w:rPr>
      <w:t>2</w:t>
    </w:r>
    <w:r>
      <w:rPr>
        <w:rFonts w:eastAsia="Arial"/>
        <w:color w:val="000000"/>
        <w:sz w:val="20"/>
        <w:szCs w:val="20"/>
      </w:rPr>
      <w:fldChar w:fldCharType="end"/>
    </w:r>
    <w:r>
      <w:rPr>
        <w:rFonts w:eastAsia="Arial"/>
        <w:color w:val="000000"/>
        <w:sz w:val="20"/>
        <w:szCs w:val="20"/>
      </w:rPr>
      <w:t xml:space="preserve"> of </w:t>
    </w:r>
    <w:r>
      <w:rPr>
        <w:rFonts w:eastAsia="Arial"/>
        <w:color w:val="000000"/>
        <w:sz w:val="20"/>
        <w:szCs w:val="20"/>
      </w:rPr>
      <w:fldChar w:fldCharType="begin"/>
    </w:r>
    <w:r>
      <w:rPr>
        <w:rFonts w:eastAsia="Arial"/>
        <w:color w:val="000000"/>
        <w:sz w:val="20"/>
        <w:szCs w:val="20"/>
      </w:rPr>
      <w:instrText>NUMPAGES</w:instrText>
    </w:r>
    <w:r>
      <w:rPr>
        <w:rFonts w:eastAsia="Arial"/>
        <w:color w:val="000000"/>
        <w:sz w:val="20"/>
        <w:szCs w:val="20"/>
      </w:rPr>
      <w:fldChar w:fldCharType="separate"/>
    </w:r>
    <w:r w:rsidR="0030638A">
      <w:rPr>
        <w:rFonts w:eastAsia="Arial"/>
        <w:noProof/>
        <w:color w:val="000000"/>
        <w:sz w:val="20"/>
        <w:szCs w:val="20"/>
      </w:rPr>
      <w:t>3</w:t>
    </w:r>
    <w:r>
      <w:rPr>
        <w:rFonts w:eastAsia="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1AA8D" w14:textId="77777777" w:rsidR="007615DC" w:rsidRDefault="007615DC">
      <w:pPr>
        <w:spacing w:before="0"/>
      </w:pPr>
      <w:r>
        <w:separator/>
      </w:r>
    </w:p>
  </w:footnote>
  <w:footnote w:type="continuationSeparator" w:id="0">
    <w:p w14:paraId="5065D1F1" w14:textId="77777777" w:rsidR="007615DC" w:rsidRDefault="007615D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F87B" w14:textId="77777777" w:rsidR="007E2DA4" w:rsidRDefault="007E2DA4">
    <w:pPr>
      <w:pBdr>
        <w:top w:val="nil"/>
        <w:left w:val="nil"/>
        <w:bottom w:val="nil"/>
        <w:right w:val="nil"/>
        <w:between w:val="nil"/>
      </w:pBdr>
      <w:spacing w:before="0" w:after="200" w:line="276" w:lineRule="auto"/>
      <w:jc w:val="left"/>
      <w:rPr>
        <w:rFonts w:eastAsia="Arial"/>
        <w:color w:val="000000"/>
      </w:rPr>
    </w:pPr>
  </w:p>
  <w:p w14:paraId="60515163" w14:textId="77777777" w:rsidR="007E2DA4" w:rsidRDefault="007E2DA4">
    <w:pPr>
      <w:pBdr>
        <w:top w:val="nil"/>
        <w:left w:val="nil"/>
        <w:bottom w:val="nil"/>
        <w:right w:val="nil"/>
        <w:between w:val="nil"/>
      </w:pBdr>
      <w:spacing w:before="0" w:after="200" w:line="276" w:lineRule="auto"/>
      <w:jc w:val="left"/>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6B62C" w14:textId="77777777" w:rsidR="007E2DA4" w:rsidRDefault="00D610A8">
    <w:pPr>
      <w:pBdr>
        <w:top w:val="nil"/>
        <w:left w:val="nil"/>
        <w:bottom w:val="nil"/>
        <w:right w:val="nil"/>
        <w:between w:val="nil"/>
      </w:pBdr>
      <w:tabs>
        <w:tab w:val="right" w:pos="8931"/>
        <w:tab w:val="right" w:pos="13892"/>
      </w:tabs>
      <w:spacing w:before="0" w:after="200" w:line="276" w:lineRule="auto"/>
      <w:jc w:val="left"/>
      <w:rPr>
        <w:rFonts w:eastAsia="Arial"/>
        <w:color w:val="000000"/>
        <w:sz w:val="20"/>
        <w:szCs w:val="20"/>
      </w:rPr>
    </w:pPr>
    <w:r>
      <w:rPr>
        <w:rFonts w:eastAsia="Arial"/>
        <w:color w:val="000000"/>
        <w:sz w:val="20"/>
        <w:szCs w:val="20"/>
      </w:rPr>
      <w:t>GSMA</w:t>
    </w:r>
    <w:r>
      <w:rPr>
        <w:rFonts w:eastAsia="Arial"/>
        <w:color w:val="000000"/>
        <w:sz w:val="20"/>
        <w:szCs w:val="20"/>
      </w:rP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1EC0D" w14:textId="0492472D" w:rsidR="00A0792D" w:rsidRPr="00A9694B" w:rsidRDefault="00A0792D" w:rsidP="00A0792D">
    <w:pPr>
      <w:widowControl w:val="0"/>
      <w:tabs>
        <w:tab w:val="right" w:pos="9630"/>
        <w:tab w:val="right" w:pos="13323"/>
      </w:tabs>
      <w:overflowPunct w:val="0"/>
      <w:autoSpaceDE w:val="0"/>
      <w:autoSpaceDN w:val="0"/>
      <w:adjustRightInd w:val="0"/>
      <w:textAlignment w:val="baseline"/>
      <w:rPr>
        <w:rFonts w:eastAsia="Times New Roman"/>
        <w:b/>
        <w:noProof/>
        <w:sz w:val="24"/>
        <w:szCs w:val="24"/>
        <w:lang w:eastAsia="ja-JP"/>
      </w:rPr>
    </w:pPr>
    <w:r w:rsidRPr="00A9694B">
      <w:rPr>
        <w:rFonts w:eastAsia="Times New Roman"/>
        <w:b/>
        <w:noProof/>
        <w:sz w:val="24"/>
        <w:szCs w:val="24"/>
        <w:lang w:eastAsia="en-GB"/>
      </w:rPr>
      <w:t>3GPP TSG-RAN WG4 Meeting #108</w:t>
    </w:r>
    <w:r w:rsidRPr="00A9694B">
      <w:rPr>
        <w:rFonts w:eastAsia="Times New Roman"/>
        <w:b/>
        <w:noProof/>
        <w:sz w:val="24"/>
        <w:szCs w:val="24"/>
        <w:lang w:eastAsia="en-GB"/>
      </w:rPr>
      <w:tab/>
    </w:r>
    <w:r w:rsidR="00356BC0" w:rsidRPr="00356BC0">
      <w:rPr>
        <w:rFonts w:eastAsia="Times New Roman"/>
        <w:b/>
        <w:noProof/>
        <w:color w:val="000000"/>
        <w:sz w:val="24"/>
        <w:szCs w:val="24"/>
        <w:lang w:eastAsia="en-GB"/>
      </w:rPr>
      <w:t>R4-2311261</w:t>
    </w:r>
  </w:p>
  <w:p w14:paraId="3B499680" w14:textId="77777777" w:rsidR="00A0792D" w:rsidRPr="00A9694B" w:rsidRDefault="00A0792D" w:rsidP="00A0792D">
    <w:pPr>
      <w:pStyle w:val="Header"/>
      <w:tabs>
        <w:tab w:val="right" w:pos="7088"/>
        <w:tab w:val="right" w:pos="9781"/>
      </w:tabs>
      <w:rPr>
        <w:b/>
        <w:bCs/>
        <w:sz w:val="24"/>
        <w:szCs w:val="24"/>
      </w:rPr>
    </w:pPr>
    <w:r w:rsidRPr="00A9694B">
      <w:rPr>
        <w:rFonts w:eastAsia="Times New Roman"/>
        <w:b/>
        <w:bCs/>
        <w:sz w:val="24"/>
        <w:szCs w:val="24"/>
      </w:rPr>
      <w:t>Toulouse, France, 21 – 25 August 2023</w:t>
    </w:r>
  </w:p>
  <w:p w14:paraId="25CACF6B" w14:textId="77777777" w:rsidR="00A0792D" w:rsidRDefault="00A0792D">
    <w:pPr>
      <w:pBdr>
        <w:top w:val="nil"/>
        <w:left w:val="nil"/>
        <w:bottom w:val="nil"/>
        <w:right w:val="nil"/>
        <w:between w:val="nil"/>
      </w:pBdr>
      <w:tabs>
        <w:tab w:val="right" w:pos="8931"/>
        <w:tab w:val="right" w:pos="13892"/>
      </w:tabs>
      <w:spacing w:before="0" w:after="200" w:line="276" w:lineRule="auto"/>
      <w:jc w:val="right"/>
      <w:rPr>
        <w:rFonts w:eastAsia="Arial"/>
        <w:color w:val="000000"/>
        <w:sz w:val="20"/>
        <w:szCs w:val="20"/>
      </w:rPr>
    </w:pPr>
  </w:p>
  <w:p w14:paraId="0170B623" w14:textId="21D28F29" w:rsidR="007E2DA4" w:rsidRDefault="00D610A8">
    <w:pPr>
      <w:pBdr>
        <w:top w:val="nil"/>
        <w:left w:val="nil"/>
        <w:bottom w:val="nil"/>
        <w:right w:val="nil"/>
        <w:between w:val="nil"/>
      </w:pBdr>
      <w:tabs>
        <w:tab w:val="right" w:pos="8931"/>
        <w:tab w:val="right" w:pos="13892"/>
      </w:tabs>
      <w:spacing w:before="0" w:after="200" w:line="276" w:lineRule="auto"/>
      <w:jc w:val="right"/>
      <w:rPr>
        <w:rFonts w:eastAsia="Arial"/>
        <w:color w:val="000000"/>
        <w:sz w:val="20"/>
        <w:szCs w:val="20"/>
      </w:rPr>
    </w:pPr>
    <w:r>
      <w:rPr>
        <w:rFonts w:eastAsia="Arial"/>
        <w:color w:val="000000"/>
        <w:sz w:val="20"/>
        <w:szCs w:val="20"/>
      </w:rP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505C5"/>
    <w:multiLevelType w:val="multilevel"/>
    <w:tmpl w:val="290044A2"/>
    <w:lvl w:ilvl="0">
      <w:start w:val="1"/>
      <w:numFmt w:val="decimal"/>
      <w:pStyle w:val="ListBullet1"/>
      <w:lvlText w:val="%1."/>
      <w:lvlJc w:val="left"/>
      <w:pPr>
        <w:tabs>
          <w:tab w:val="num" w:pos="720"/>
        </w:tabs>
        <w:ind w:left="720" w:hanging="720"/>
      </w:pPr>
    </w:lvl>
    <w:lvl w:ilvl="1">
      <w:start w:val="1"/>
      <w:numFmt w:val="decimal"/>
      <w:pStyle w:val="ListBullet2"/>
      <w:lvlText w:val="%2."/>
      <w:lvlJc w:val="left"/>
      <w:pPr>
        <w:tabs>
          <w:tab w:val="num" w:pos="1440"/>
        </w:tabs>
        <w:ind w:left="1440" w:hanging="720"/>
      </w:pPr>
    </w:lvl>
    <w:lvl w:ilvl="2">
      <w:start w:val="1"/>
      <w:numFmt w:val="decimal"/>
      <w:pStyle w:val="ListBullet3"/>
      <w:lvlText w:val="%3."/>
      <w:lvlJc w:val="left"/>
      <w:pPr>
        <w:tabs>
          <w:tab w:val="num" w:pos="2160"/>
        </w:tabs>
        <w:ind w:left="2160" w:hanging="720"/>
      </w:pPr>
    </w:lvl>
    <w:lvl w:ilvl="3">
      <w:start w:val="1"/>
      <w:numFmt w:val="decimal"/>
      <w:pStyle w:val="ListBulletsub"/>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6F17377"/>
    <w:multiLevelType w:val="multilevel"/>
    <w:tmpl w:val="B772FDFE"/>
    <w:lvl w:ilvl="0">
      <w:start w:val="1"/>
      <w:numFmt w:val="decimal"/>
      <w:pStyle w:val="Heading1"/>
      <w:lvlText w:val="%1"/>
      <w:lvlJc w:val="left"/>
      <w:pPr>
        <w:ind w:left="431" w:hanging="431"/>
      </w:pPr>
      <w:rPr>
        <w:b/>
        <w:i w:val="0"/>
        <w:color w:val="000000"/>
        <w:sz w:val="28"/>
        <w:szCs w:val="28"/>
      </w:rPr>
    </w:lvl>
    <w:lvl w:ilvl="1">
      <w:start w:val="1"/>
      <w:numFmt w:val="decimal"/>
      <w:pStyle w:val="Heading2"/>
      <w:lvlText w:val="%1.%2"/>
      <w:lvlJc w:val="left"/>
      <w:pPr>
        <w:ind w:left="624" w:hanging="624"/>
      </w:pPr>
      <w:rPr>
        <w:b/>
        <w:i w:val="0"/>
        <w:color w:val="000000"/>
        <w:sz w:val="24"/>
        <w:szCs w:val="24"/>
      </w:rPr>
    </w:lvl>
    <w:lvl w:ilvl="2">
      <w:start w:val="1"/>
      <w:numFmt w:val="decimal"/>
      <w:pStyle w:val="Heading3"/>
      <w:lvlText w:val="%1.%2.%3"/>
      <w:lvlJc w:val="left"/>
      <w:pPr>
        <w:ind w:left="851" w:hanging="851"/>
      </w:pPr>
      <w:rPr>
        <w:b/>
        <w:i w:val="0"/>
        <w:color w:val="000000"/>
        <w:sz w:val="22"/>
        <w:szCs w:val="22"/>
      </w:rPr>
    </w:lvl>
    <w:lvl w:ilvl="3">
      <w:start w:val="1"/>
      <w:numFmt w:val="decimal"/>
      <w:pStyle w:val="Heading4"/>
      <w:lvlText w:val="%1.%2.%3.%4"/>
      <w:lvlJc w:val="left"/>
      <w:pPr>
        <w:ind w:left="1077" w:hanging="1077"/>
      </w:pPr>
      <w:rPr>
        <w:rFonts w:ascii="Arial Bold" w:eastAsia="Arial Bold" w:hAnsi="Arial Bold" w:cs="Arial Bold"/>
        <w:b/>
        <w:i w:val="0"/>
        <w:color w:val="000000"/>
        <w:sz w:val="22"/>
        <w:szCs w:val="22"/>
      </w:rPr>
    </w:lvl>
    <w:lvl w:ilvl="4">
      <w:start w:val="1"/>
      <w:numFmt w:val="decimal"/>
      <w:pStyle w:val="Heading5"/>
      <w:lvlText w:val="%1.%2.%3.%4.%5"/>
      <w:lvlJc w:val="left"/>
      <w:pPr>
        <w:ind w:left="1304" w:hanging="1304"/>
      </w:pPr>
      <w:rPr>
        <w:b/>
        <w:i w:val="0"/>
        <w:smallCaps w:val="0"/>
        <w:strike w:val="0"/>
        <w:color w:val="000000"/>
        <w:u w:val="none"/>
        <w:vertAlign w:val="baseline"/>
      </w:rPr>
    </w:lvl>
    <w:lvl w:ilvl="5">
      <w:start w:val="1"/>
      <w:numFmt w:val="decimal"/>
      <w:pStyle w:val="Heading6"/>
      <w:lvlText w:val="%1.%2.%3.%4.%5.%6"/>
      <w:lvlJc w:val="left"/>
      <w:pPr>
        <w:ind w:left="1531" w:hanging="1531"/>
      </w:pPr>
      <w:rPr>
        <w:b/>
        <w:i w:val="0"/>
      </w:r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rPr>
        <w:b w:val="0"/>
        <w:i w:val="0"/>
        <w:smallCaps w:val="0"/>
        <w:strike w:val="0"/>
        <w:color w:val="000000"/>
        <w:u w:val="none"/>
        <w:vertAlign w:val="baseline"/>
      </w:rPr>
    </w:lvl>
    <w:lvl w:ilvl="8">
      <w:start w:val="1"/>
      <w:numFmt w:val="decimal"/>
      <w:pStyle w:val="Heading9"/>
      <w:lvlText w:val="%1.%2.%3.%4.%5.%6.%7.%8.%9"/>
      <w:lvlJc w:val="left"/>
      <w:pPr>
        <w:ind w:left="1531" w:hanging="1531"/>
      </w:pPr>
      <w:rPr>
        <w:b w:val="0"/>
        <w:i w:val="0"/>
        <w:smallCaps w:val="0"/>
        <w:strike w:val="0"/>
        <w:color w:val="000000"/>
        <w:u w:val="none"/>
        <w:vertAlign w:val="baseline"/>
      </w:rPr>
    </w:lvl>
  </w:abstractNum>
  <w:num w:numId="1" w16cid:durableId="868449435">
    <w:abstractNumId w:val="1"/>
  </w:num>
  <w:num w:numId="2" w16cid:durableId="758407681">
    <w:abstractNumId w:val="0"/>
  </w:num>
  <w:num w:numId="3" w16cid:durableId="4507080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5255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35136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30264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54418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84108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0568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4336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46539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86491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2047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DA4"/>
    <w:rsid w:val="001F5E70"/>
    <w:rsid w:val="0030638A"/>
    <w:rsid w:val="00356BC0"/>
    <w:rsid w:val="00374654"/>
    <w:rsid w:val="0039683F"/>
    <w:rsid w:val="00560290"/>
    <w:rsid w:val="005A69FB"/>
    <w:rsid w:val="007615DC"/>
    <w:rsid w:val="007E2DA4"/>
    <w:rsid w:val="00A0792D"/>
    <w:rsid w:val="00D610A8"/>
    <w:rsid w:val="00F15C1A"/>
    <w:rsid w:val="00F74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6A4C5"/>
  <w15:docId w15:val="{F03BCD04-1E5F-43B9-95CD-04211184F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before="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293"/>
    <w:rPr>
      <w:rFonts w:eastAsia="SimSun"/>
      <w:lang w:eastAsia="zh-CN" w:bidi="bn-BD"/>
    </w:rPr>
  </w:style>
  <w:style w:type="paragraph" w:styleId="Heading1">
    <w:name w:val="heading 1"/>
    <w:next w:val="NormalParagraph"/>
    <w:link w:val="Heading1Char"/>
    <w:uiPriority w:val="9"/>
    <w:qFormat/>
    <w:rsid w:val="000F6B8B"/>
    <w:pPr>
      <w:keepNext/>
      <w:keepLines/>
      <w:numPr>
        <w:numId w:val="1"/>
      </w:numPr>
      <w:spacing w:before="360" w:after="60" w:line="276" w:lineRule="auto"/>
      <w:outlineLvl w:val="0"/>
    </w:pPr>
    <w:rPr>
      <w:rFonts w:eastAsia="Times New Roman"/>
      <w:b/>
      <w:bCs/>
      <w:sz w:val="28"/>
      <w:szCs w:val="32"/>
      <w:lang w:eastAsia="en-US" w:bidi="bn-BD"/>
    </w:rPr>
  </w:style>
  <w:style w:type="paragraph" w:styleId="Heading2">
    <w:name w:val="heading 2"/>
    <w:basedOn w:val="Heading1"/>
    <w:next w:val="NormalParagraph"/>
    <w:link w:val="Heading2Char"/>
    <w:uiPriority w:val="9"/>
    <w:semiHidden/>
    <w:unhideWhenUsed/>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
    <w:semiHidden/>
    <w:unhideWhenUsed/>
    <w:qFormat/>
    <w:rsid w:val="00585714"/>
    <w:pPr>
      <w:numPr>
        <w:ilvl w:val="2"/>
      </w:numPr>
      <w:outlineLvl w:val="2"/>
    </w:pPr>
    <w:rPr>
      <w:szCs w:val="26"/>
    </w:rPr>
  </w:style>
  <w:style w:type="paragraph" w:styleId="Heading4">
    <w:name w:val="heading 4"/>
    <w:basedOn w:val="Heading3"/>
    <w:next w:val="NormalParagraph"/>
    <w:link w:val="Heading4Char"/>
    <w:uiPriority w:val="9"/>
    <w:semiHidden/>
    <w:unhideWhenUsed/>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
    <w:semiHidden/>
    <w:unhideWhenUsed/>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
    <w:semiHidden/>
    <w:unhideWhenUsed/>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i/>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D64D8"/>
    <w:pPr>
      <w:spacing w:after="60"/>
      <w:jc w:val="right"/>
    </w:pPr>
    <w:rPr>
      <w:b/>
      <w:bCs/>
      <w:kern w:val="28"/>
      <w:sz w:val="32"/>
      <w:szCs w:val="32"/>
    </w:rPr>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Paragraph"/>
    <w:link w:val="HeaderChar"/>
    <w:qFormat/>
    <w:rsid w:val="00A95E1E"/>
    <w:pPr>
      <w:tabs>
        <w:tab w:val="right" w:pos="8931"/>
        <w:tab w:val="right" w:pos="13892"/>
      </w:tabs>
      <w:contextualSpacing/>
    </w:pPr>
    <w:rPr>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A1013"/>
    <w:rPr>
      <w:rFonts w:ascii="Arial" w:eastAsia="SimSun" w:hAnsi="Arial"/>
      <w:szCs w:val="22"/>
    </w:rPr>
  </w:style>
  <w:style w:type="paragraph" w:customStyle="1" w:styleId="ListBullet1">
    <w:name w:val="List Bullet 1"/>
    <w:basedOn w:val="NormalParagraph"/>
    <w:uiPriority w:val="2"/>
    <w:qFormat/>
    <w:rsid w:val="00FB337E"/>
    <w:pPr>
      <w:numPr>
        <w:numId w:val="2"/>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tabs>
        <w:tab w:val="num" w:pos="720"/>
        <w:tab w:val="left" w:pos="1009"/>
      </w:tabs>
      <w:ind w:left="720" w:hanging="720"/>
      <w:jc w:val="center"/>
    </w:pPr>
    <w:rPr>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tabs>
        <w:tab w:val="num" w:pos="1440"/>
      </w:tabs>
      <w:ind w:left="1020" w:hanging="7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tabs>
        <w:tab w:val="num" w:pos="720"/>
      </w:tabs>
      <w:spacing w:before="0" w:after="200" w:line="276" w:lineRule="auto"/>
      <w:ind w:left="720" w:hanging="720"/>
      <w:contextualSpacing/>
    </w:pPr>
  </w:style>
  <w:style w:type="paragraph" w:customStyle="1" w:styleId="Figurecaption">
    <w:name w:val="Figure caption"/>
    <w:basedOn w:val="NormalParagraph"/>
    <w:uiPriority w:val="12"/>
    <w:qFormat/>
    <w:rsid w:val="00C25E2B"/>
    <w:pPr>
      <w:tabs>
        <w:tab w:val="num" w:pos="720"/>
        <w:tab w:val="left" w:pos="1009"/>
      </w:tabs>
      <w:ind w:left="720" w:hanging="720"/>
      <w:jc w:val="center"/>
    </w:pPr>
    <w:rPr>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tabs>
        <w:tab w:val="clear" w:pos="1440"/>
        <w:tab w:val="left" w:pos="1021"/>
      </w:tabs>
      <w:ind w:left="1361" w:hanging="340"/>
    </w:pPr>
  </w:style>
  <w:style w:type="paragraph" w:customStyle="1" w:styleId="ListParagraphRomans">
    <w:name w:val="List Paragraph Romans"/>
    <w:basedOn w:val="NormalParagraph"/>
    <w:uiPriority w:val="8"/>
    <w:qFormat/>
    <w:rsid w:val="00DF6CBC"/>
    <w:pPr>
      <w:tabs>
        <w:tab w:val="left" w:pos="1361"/>
        <w:tab w:val="num" w:pos="2160"/>
      </w:tabs>
      <w:ind w:left="1361" w:hanging="720"/>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eastAsia="SimSun"/>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tabs>
        <w:tab w:val="num" w:pos="720"/>
      </w:tabs>
      <w:spacing w:before="360" w:after="60" w:line="276" w:lineRule="auto"/>
      <w:ind w:left="720" w:hanging="720"/>
      <w:outlineLvl w:val="0"/>
    </w:pPr>
    <w:rPr>
      <w:rFonts w:eastAsia="SimSun"/>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tabs>
        <w:tab w:val="num" w:pos="720"/>
      </w:tabs>
      <w:ind w:left="720" w:hanging="720"/>
    </w:pPr>
  </w:style>
  <w:style w:type="numbering" w:customStyle="1" w:styleId="ListBullets">
    <w:name w:val="ListBullets"/>
    <w:uiPriority w:val="99"/>
    <w:rsid w:val="003D0069"/>
  </w:style>
  <w:style w:type="paragraph" w:customStyle="1" w:styleId="TableBulletText">
    <w:name w:val="Table Bullet Text"/>
    <w:basedOn w:val="TableText"/>
    <w:link w:val="TableBulletTextChar"/>
    <w:uiPriority w:val="21"/>
    <w:qFormat/>
    <w:rsid w:val="00361471"/>
    <w:pPr>
      <w:tabs>
        <w:tab w:val="left" w:pos="454"/>
        <w:tab w:val="num" w:pos="720"/>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eastAsia="SimSun"/>
      <w:sz w:val="20"/>
      <w:lang w:eastAsia="de-DE"/>
    </w:rPr>
  </w:style>
  <w:style w:type="paragraph" w:customStyle="1" w:styleId="CSDocNo">
    <w:name w:val="CS DocNo"/>
    <w:uiPriority w:val="29"/>
    <w:unhideWhenUsed/>
    <w:rsid w:val="00397B86"/>
    <w:pPr>
      <w:framePr w:hSpace="180" w:wrap="notBeside" w:hAnchor="margin" w:y="359"/>
      <w:ind w:left="560"/>
      <w:jc w:val="right"/>
    </w:pPr>
    <w:rPr>
      <w:rFonts w:eastAsia="Times New Roman"/>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b/>
      <w:bCs/>
      <w:i/>
      <w:snapToGrid w:val="0"/>
      <w:sz w:val="20"/>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eastAsia="SimSun"/>
    </w:rPr>
  </w:style>
  <w:style w:type="paragraph" w:customStyle="1" w:styleId="CSDocTitle">
    <w:name w:val="CS DocTitle"/>
    <w:uiPriority w:val="29"/>
    <w:unhideWhenUsed/>
    <w:rsid w:val="00397B86"/>
    <w:pPr>
      <w:spacing w:before="360" w:after="120"/>
      <w:ind w:left="284"/>
    </w:pPr>
    <w:rPr>
      <w:rFonts w:eastAsia="Times New Roman"/>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eastAsia="Times New Roman"/>
      <w:bCs/>
      <w:lang w:eastAsia="en-US"/>
    </w:rPr>
  </w:style>
  <w:style w:type="paragraph" w:customStyle="1" w:styleId="CSFieldName">
    <w:name w:val="CS FieldName"/>
    <w:uiPriority w:val="29"/>
    <w:unhideWhenUsed/>
    <w:rsid w:val="00397B86"/>
    <w:rPr>
      <w:rFonts w:eastAsia="Times New Roman"/>
      <w:bCs/>
      <w:lang w:eastAsia="en-US"/>
    </w:rPr>
  </w:style>
  <w:style w:type="paragraph" w:customStyle="1" w:styleId="CSLegalTxt">
    <w:name w:val="CS LegalTxt"/>
    <w:uiPriority w:val="29"/>
    <w:unhideWhenUsed/>
    <w:rsid w:val="00397B86"/>
    <w:rPr>
      <w:rFonts w:eastAsia="Times New Roman"/>
      <w:bCs/>
      <w:sz w:val="14"/>
      <w:lang w:eastAsia="en-US"/>
    </w:rPr>
  </w:style>
  <w:style w:type="paragraph" w:customStyle="1" w:styleId="CSTableTitle">
    <w:name w:val="CS TableTitle"/>
    <w:next w:val="Normal"/>
    <w:uiPriority w:val="29"/>
    <w:unhideWhenUsed/>
    <w:rsid w:val="00397B86"/>
    <w:pPr>
      <w:jc w:val="center"/>
    </w:pPr>
    <w:rPr>
      <w:b/>
      <w:i/>
      <w:snapToGrid w:val="0"/>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tabs>
        <w:tab w:val="num" w:pos="720"/>
      </w:tabs>
      <w:ind w:left="720" w:hanging="72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tabs>
        <w:tab w:val="num" w:pos="720"/>
      </w:tabs>
      <w:spacing w:before="240"/>
      <w:ind w:left="720" w:hanging="72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tabs>
        <w:tab w:val="num" w:pos="720"/>
      </w:tabs>
      <w:ind w:left="720" w:hanging="720"/>
      <w:outlineLvl w:val="2"/>
    </w:pPr>
    <w:rPr>
      <w:b w:val="0"/>
    </w:rPr>
  </w:style>
  <w:style w:type="paragraph" w:customStyle="1" w:styleId="ANNEX-heading3">
    <w:name w:val="ANNEX-heading3"/>
    <w:basedOn w:val="ANNEX-heading2"/>
    <w:next w:val="NormalParagraph"/>
    <w:uiPriority w:val="26"/>
    <w:rsid w:val="00FB18EF"/>
    <w:pPr>
      <w:numPr>
        <w:ilvl w:val="3"/>
      </w:numPr>
      <w:tabs>
        <w:tab w:val="num" w:pos="720"/>
      </w:tabs>
      <w:ind w:left="720" w:hanging="720"/>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tabs>
        <w:tab w:val="num" w:pos="720"/>
      </w:tabs>
      <w:ind w:left="720" w:hanging="720"/>
      <w:outlineLvl w:val="4"/>
    </w:pPr>
  </w:style>
  <w:style w:type="paragraph" w:customStyle="1" w:styleId="ANNEX-heading5">
    <w:name w:val="ANNEX-heading5"/>
    <w:basedOn w:val="ANNEX-heading4"/>
    <w:next w:val="NormalParagraph"/>
    <w:uiPriority w:val="26"/>
    <w:rsid w:val="00FB18EF"/>
    <w:pPr>
      <w:numPr>
        <w:ilvl w:val="5"/>
      </w:numPr>
      <w:tabs>
        <w:tab w:val="num" w:pos="720"/>
      </w:tabs>
      <w:ind w:left="720" w:hanging="720"/>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Revision">
    <w:name w:val="Revision"/>
    <w:hidden/>
    <w:uiPriority w:val="99"/>
    <w:semiHidden/>
    <w:rsid w:val="00D610A8"/>
    <w:pPr>
      <w:spacing w:before="0"/>
      <w:jc w:val="left"/>
    </w:pPr>
    <w:rPr>
      <w:rFonts w:eastAsia="SimSun"/>
      <w:szCs w:val="28"/>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l7y7GSL2p+833sfAtuqYUGgIig==">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623</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Gosden</dc:creator>
  <cp:lastModifiedBy>MCC</cp:lastModifiedBy>
  <cp:revision>10</cp:revision>
  <dcterms:created xsi:type="dcterms:W3CDTF">2023-07-28T13:57:00Z</dcterms:created>
  <dcterms:modified xsi:type="dcterms:W3CDTF">2023-08-09T16:23:00Z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0x010100CFB16794AC5E1846BBE996F99324217C</vt:lpwstr>
  </property>
</Properties>
</file>