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9DE16" w14:textId="77777777" w:rsidR="00BD161D" w:rsidRDefault="00000000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10</w:t>
      </w:r>
      <w:r>
        <w:rPr>
          <w:rFonts w:ascii="Arial" w:eastAsia="宋体" w:hAnsi="Arial" w:cs="Arial" w:hint="eastAsia"/>
          <w:b/>
        </w:rPr>
        <w:t>8</w:t>
      </w:r>
      <w:r>
        <w:rPr>
          <w:rFonts w:ascii="Arial" w:hAnsi="Arial" w:cs="Arial"/>
          <w:b/>
          <w:bCs/>
        </w:rPr>
        <w:t xml:space="preserve">    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</w:t>
      </w:r>
      <w:bookmarkEnd w:id="0"/>
      <w:r>
        <w:rPr>
          <w:rFonts w:ascii="Arial" w:hAnsi="Arial" w:cs="Arial"/>
          <w:b/>
          <w:bCs/>
        </w:rPr>
        <w:t>23</w:t>
      </w:r>
      <w:r>
        <w:rPr>
          <w:rFonts w:ascii="Arial" w:eastAsia="宋体" w:hAnsi="Arial" w:cs="Arial" w:hint="eastAsia"/>
          <w:b/>
          <w:bCs/>
        </w:rPr>
        <w:t>14307</w:t>
      </w:r>
    </w:p>
    <w:p w14:paraId="0BA9E396" w14:textId="77777777" w:rsidR="00BD161D" w:rsidRDefault="00000000">
      <w:pPr>
        <w:tabs>
          <w:tab w:val="left" w:pos="1770"/>
          <w:tab w:val="center" w:pos="4557"/>
        </w:tabs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Toulouse, France, August 21 </w:t>
      </w:r>
      <w:r>
        <w:rPr>
          <w:rFonts w:ascii="Arial" w:hAnsi="Arial" w:cs="Arial" w:hint="eastAsia"/>
          <w:b/>
          <w:bCs/>
        </w:rPr>
        <w:t>–</w:t>
      </w:r>
      <w:r>
        <w:rPr>
          <w:rFonts w:ascii="Arial" w:hAnsi="Arial" w:cs="Arial" w:hint="eastAsia"/>
          <w:b/>
          <w:bCs/>
        </w:rPr>
        <w:t xml:space="preserve"> 25, 2023</w:t>
      </w:r>
    </w:p>
    <w:p w14:paraId="0F8CB30F" w14:textId="77777777" w:rsidR="00BD161D" w:rsidRDefault="00000000">
      <w:pPr>
        <w:tabs>
          <w:tab w:val="left" w:pos="1770"/>
          <w:tab w:val="center" w:pos="4557"/>
        </w:tabs>
        <w:spacing w:after="18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bookmarkStart w:id="1" w:name="_Hlk41145953"/>
      <w:r>
        <w:rPr>
          <w:rFonts w:ascii="Arial" w:hAnsi="Arial" w:cs="Arial"/>
          <w:sz w:val="22"/>
        </w:rPr>
        <w:t>WF on NR ATG RRM</w:t>
      </w:r>
      <w:bookmarkEnd w:id="1"/>
      <w:r>
        <w:rPr>
          <w:rFonts w:ascii="Arial" w:hAnsi="Arial" w:cs="Arial"/>
          <w:sz w:val="22"/>
        </w:rPr>
        <w:t xml:space="preserve"> requirements</w:t>
      </w:r>
      <w:r>
        <w:rPr>
          <w:rFonts w:ascii="Arial" w:hAnsi="Arial" w:cs="Arial"/>
          <w:b/>
          <w:sz w:val="22"/>
        </w:rPr>
        <w:t xml:space="preserve"> </w:t>
      </w:r>
    </w:p>
    <w:p w14:paraId="23BDF774" w14:textId="77777777" w:rsidR="00BD161D" w:rsidRDefault="00000000">
      <w:pPr>
        <w:tabs>
          <w:tab w:val="left" w:pos="1770"/>
          <w:tab w:val="center" w:pos="4557"/>
        </w:tabs>
        <w:spacing w:after="18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8.1</w:t>
      </w:r>
      <w:r>
        <w:rPr>
          <w:rFonts w:ascii="Arial" w:eastAsia="宋体" w:hAnsi="Arial" w:cs="Arial" w:hint="eastAsia"/>
          <w:sz w:val="22"/>
        </w:rPr>
        <w:t>3</w:t>
      </w:r>
      <w:r>
        <w:rPr>
          <w:rFonts w:ascii="Arial" w:hAnsi="Arial" w:cs="Arial"/>
          <w:sz w:val="22"/>
        </w:rPr>
        <w:t>.6</w:t>
      </w:r>
    </w:p>
    <w:p w14:paraId="49CAEF09" w14:textId="77777777" w:rsidR="00BD161D" w:rsidRDefault="00000000">
      <w:pPr>
        <w:tabs>
          <w:tab w:val="left" w:pos="1765"/>
        </w:tabs>
        <w:spacing w:after="180"/>
        <w:rPr>
          <w:rFonts w:ascii="Arial" w:eastAsiaTheme="minorEastAsia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bookmarkStart w:id="2" w:name="_Hlk41145958"/>
      <w:r>
        <w:rPr>
          <w:rFonts w:ascii="Arial" w:hAnsi="Arial" w:cs="Arial"/>
          <w:sz w:val="22"/>
        </w:rPr>
        <w:t>CMCC</w:t>
      </w:r>
      <w:bookmarkStart w:id="3" w:name="OLE_LINK7"/>
      <w:bookmarkStart w:id="4" w:name="OLE_LINK8"/>
      <w:bookmarkEnd w:id="2"/>
    </w:p>
    <w:bookmarkEnd w:id="3"/>
    <w:bookmarkEnd w:id="4"/>
    <w:p w14:paraId="09411A91" w14:textId="77777777" w:rsidR="00BD161D" w:rsidRDefault="00000000">
      <w:pPr>
        <w:tabs>
          <w:tab w:val="left" w:pos="1765"/>
        </w:tabs>
        <w:spacing w:after="180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Approval</w:t>
      </w:r>
    </w:p>
    <w:p w14:paraId="537D4AFF" w14:textId="77777777" w:rsidR="00BD161D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cs="Arial"/>
          <w:b w:val="0"/>
          <w:bCs w:val="0"/>
          <w:kern w:val="0"/>
          <w:sz w:val="28"/>
          <w:szCs w:val="28"/>
          <w:lang w:val="en-GB"/>
        </w:rPr>
        <w:t>Mobility</w:t>
      </w:r>
    </w:p>
    <w:p w14:paraId="08B30104" w14:textId="77777777" w:rsidR="00BD161D" w:rsidRDefault="00000000">
      <w:pPr>
        <w:pStyle w:val="1"/>
        <w:numPr>
          <w:ilvl w:val="1"/>
          <w:numId w:val="3"/>
        </w:numPr>
        <w:pBdr>
          <w:top w:val="single" w:sz="12" w:space="3" w:color="auto"/>
        </w:pBdr>
        <w:spacing w:before="180" w:after="180" w:line="240" w:lineRule="auto"/>
        <w:rPr>
          <w:rFonts w:cs="Arial"/>
          <w:b w:val="0"/>
          <w:bCs w:val="0"/>
          <w:kern w:val="0"/>
          <w:sz w:val="24"/>
          <w:szCs w:val="24"/>
          <w:lang w:val="en-GB"/>
        </w:rPr>
      </w:pPr>
      <w:r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Mobility in </w:t>
      </w:r>
      <w:r>
        <w:rPr>
          <w:rFonts w:cs="Arial" w:hint="eastAsia"/>
          <w:b w:val="0"/>
          <w:bCs w:val="0"/>
          <w:kern w:val="0"/>
          <w:sz w:val="24"/>
          <w:szCs w:val="24"/>
          <w:lang w:val="en-GB"/>
        </w:rPr>
        <w:t>R</w:t>
      </w:r>
      <w:r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RC_IDLE/INACTIVE </w:t>
      </w:r>
    </w:p>
    <w:p w14:paraId="563AAAE7" w14:textId="77777777" w:rsidR="00BD161D" w:rsidRDefault="00000000">
      <w:pPr>
        <w:rPr>
          <w:b/>
          <w:sz w:val="20"/>
          <w:szCs w:val="20"/>
          <w:u w:val="single"/>
          <w:lang w:eastAsia="ko-KR"/>
        </w:rPr>
      </w:pPr>
      <w:r>
        <w:rPr>
          <w:b/>
          <w:sz w:val="20"/>
          <w:szCs w:val="20"/>
          <w:u w:val="single"/>
          <w:lang w:eastAsia="ko-KR"/>
        </w:rPr>
        <w:t>Issue 2-1-1: Cell re-selection mechanism</w:t>
      </w:r>
    </w:p>
    <w:p w14:paraId="23BB3F74" w14:textId="77777777" w:rsidR="00BD161D" w:rsidRDefault="00000000">
      <w:pPr>
        <w:spacing w:after="60"/>
        <w:rPr>
          <w:rFonts w:eastAsiaTheme="minorEastAsia"/>
          <w:b/>
          <w:bCs/>
          <w:iCs/>
          <w:sz w:val="20"/>
          <w:szCs w:val="20"/>
        </w:rPr>
      </w:pPr>
      <w:r>
        <w:rPr>
          <w:rFonts w:eastAsiaTheme="minorEastAsia" w:hint="eastAsia"/>
          <w:b/>
          <w:bCs/>
          <w:iCs/>
          <w:sz w:val="20"/>
          <w:szCs w:val="20"/>
        </w:rPr>
        <w:t>Agreement:</w:t>
      </w:r>
    </w:p>
    <w:p w14:paraId="617E0F51" w14:textId="77777777" w:rsidR="00BD161D" w:rsidRDefault="00000000">
      <w:pPr>
        <w:pStyle w:val="af9"/>
        <w:numPr>
          <w:ilvl w:val="0"/>
          <w:numId w:val="4"/>
        </w:numPr>
        <w:spacing w:after="120"/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>Do not introduce distance-based triggering as an additional condition for intra- and inter-frequency cell measurement as NTN</w:t>
      </w:r>
    </w:p>
    <w:p w14:paraId="3C1E8FE3" w14:textId="77777777" w:rsidR="00BD161D" w:rsidRDefault="00BD161D">
      <w:pPr>
        <w:rPr>
          <w:b/>
          <w:sz w:val="20"/>
          <w:szCs w:val="20"/>
          <w:u w:val="single"/>
          <w:lang w:eastAsia="ko-KR"/>
        </w:rPr>
      </w:pPr>
    </w:p>
    <w:p w14:paraId="7B82BBCC" w14:textId="77777777" w:rsidR="00BD161D" w:rsidRPr="004234D9" w:rsidRDefault="00000000">
      <w:pPr>
        <w:rPr>
          <w:b/>
          <w:sz w:val="20"/>
          <w:szCs w:val="20"/>
          <w:u w:val="single"/>
          <w:lang w:eastAsia="ko-KR"/>
        </w:rPr>
      </w:pPr>
      <w:r w:rsidRPr="004234D9">
        <w:rPr>
          <w:rFonts w:hint="eastAsia"/>
          <w:b/>
          <w:sz w:val="20"/>
          <w:szCs w:val="20"/>
          <w:u w:val="single"/>
          <w:lang w:eastAsia="ko-KR"/>
        </w:rPr>
        <w:t>Issue 2-1-3: BS indication and UE capability for Cell re-selection requirement</w:t>
      </w:r>
    </w:p>
    <w:p w14:paraId="616B741F" w14:textId="22B55808" w:rsidR="00BD161D" w:rsidRDefault="004234D9">
      <w:pPr>
        <w:pStyle w:val="af9"/>
        <w:numPr>
          <w:ilvl w:val="0"/>
          <w:numId w:val="4"/>
        </w:numPr>
        <w:spacing w:after="120"/>
        <w:ind w:firstLineChars="0"/>
        <w:rPr>
          <w:rFonts w:eastAsia="宋体" w:cs="Times New Roman"/>
          <w:sz w:val="20"/>
          <w:szCs w:val="20"/>
          <w:lang w:val="en-GB"/>
        </w:rPr>
      </w:pPr>
      <w:r>
        <w:rPr>
          <w:rFonts w:eastAsia="宋体" w:cs="Times New Roman"/>
          <w:sz w:val="20"/>
          <w:szCs w:val="20"/>
          <w:lang w:val="en-GB"/>
        </w:rPr>
        <w:t>Proposal</w:t>
      </w:r>
      <w:r>
        <w:rPr>
          <w:rFonts w:eastAsia="宋体" w:cs="Times New Roman" w:hint="eastAsia"/>
          <w:sz w:val="20"/>
          <w:szCs w:val="20"/>
          <w:lang w:val="en-GB"/>
        </w:rPr>
        <w:t xml:space="preserve"> 1: The network indication of set1 or set2 requirements should be a new one that could be broadcasted in a different SIB (e.g., ATG specific SIB). The IE highSpeedMeasInterFreq-r17 in SIB4 should not be used for this purpose.</w:t>
      </w:r>
      <w:r>
        <w:rPr>
          <w:rFonts w:eastAsia="宋体" w:cs="Times New Roman" w:hint="eastAsia"/>
          <w:sz w:val="20"/>
          <w:szCs w:val="20"/>
        </w:rPr>
        <w:t xml:space="preserve"> </w:t>
      </w:r>
    </w:p>
    <w:p w14:paraId="7252C291" w14:textId="578D37F8" w:rsidR="00BD161D" w:rsidRDefault="004234D9">
      <w:pPr>
        <w:pStyle w:val="af9"/>
        <w:numPr>
          <w:ilvl w:val="0"/>
          <w:numId w:val="4"/>
        </w:numPr>
        <w:spacing w:after="120"/>
        <w:ind w:firstLineChars="0"/>
        <w:rPr>
          <w:rFonts w:eastAsia="宋体" w:cs="Times New Roman"/>
          <w:sz w:val="20"/>
          <w:szCs w:val="20"/>
          <w:lang w:val="en-GB"/>
        </w:rPr>
      </w:pPr>
      <w:r>
        <w:rPr>
          <w:rFonts w:eastAsia="宋体" w:cs="Times New Roman"/>
          <w:sz w:val="20"/>
          <w:szCs w:val="20"/>
        </w:rPr>
        <w:t>Proposal</w:t>
      </w:r>
      <w:r>
        <w:rPr>
          <w:rFonts w:eastAsia="宋体" w:cs="Times New Roman" w:hint="eastAsia"/>
          <w:sz w:val="20"/>
          <w:szCs w:val="20"/>
        </w:rPr>
        <w:t xml:space="preserve"> 2: </w:t>
      </w:r>
      <w:r>
        <w:rPr>
          <w:rFonts w:eastAsia="宋体" w:cs="Times New Roman" w:hint="eastAsia"/>
          <w:sz w:val="20"/>
          <w:szCs w:val="20"/>
          <w:lang w:val="en-GB"/>
        </w:rPr>
        <w:t>UE supporting set2 requirements for ATG is an optional feature without capability signalling.</w:t>
      </w:r>
    </w:p>
    <w:p w14:paraId="12BCBBD4" w14:textId="4C1C57D2" w:rsidR="004234D9" w:rsidRPr="002F5724" w:rsidRDefault="0094069A">
      <w:pPr>
        <w:rPr>
          <w:rFonts w:eastAsiaTheme="minorEastAsia"/>
          <w:b/>
          <w:sz w:val="20"/>
          <w:szCs w:val="20"/>
          <w:u w:val="single"/>
        </w:rPr>
      </w:pPr>
      <w:bookmarkStart w:id="5" w:name="_Hlk143724297"/>
      <w:r w:rsidRPr="002F5724">
        <w:rPr>
          <w:rFonts w:eastAsiaTheme="minorEastAsia"/>
          <w:b/>
          <w:sz w:val="20"/>
          <w:szCs w:val="20"/>
          <w:u w:val="single"/>
        </w:rPr>
        <w:t>A</w:t>
      </w:r>
      <w:r w:rsidR="004234D9" w:rsidRPr="002F5724">
        <w:rPr>
          <w:rFonts w:eastAsiaTheme="minorEastAsia"/>
          <w:b/>
          <w:sz w:val="20"/>
          <w:szCs w:val="20"/>
          <w:u w:val="single"/>
        </w:rPr>
        <w:t>greement:</w:t>
      </w:r>
    </w:p>
    <w:bookmarkEnd w:id="5"/>
    <w:p w14:paraId="6BFF37CC" w14:textId="61C4ED27" w:rsidR="00BD161D" w:rsidRPr="002F5724" w:rsidRDefault="004234D9">
      <w:pPr>
        <w:rPr>
          <w:rFonts w:eastAsia="宋体"/>
          <w:sz w:val="20"/>
          <w:szCs w:val="20"/>
          <w:lang w:val="en-GB"/>
        </w:rPr>
      </w:pPr>
      <w:r w:rsidRPr="002F5724">
        <w:rPr>
          <w:rFonts w:eastAsia="宋体" w:hint="eastAsia"/>
          <w:sz w:val="20"/>
          <w:szCs w:val="20"/>
          <w:lang w:val="en-GB"/>
        </w:rPr>
        <w:t>The network indication of set1 or set2 requirements</w:t>
      </w:r>
      <w:r w:rsidRPr="002F5724">
        <w:rPr>
          <w:rFonts w:eastAsia="宋体"/>
          <w:sz w:val="20"/>
          <w:szCs w:val="20"/>
          <w:lang w:val="en-GB"/>
        </w:rPr>
        <w:t xml:space="preserve"> is up to RAN2.</w:t>
      </w:r>
    </w:p>
    <w:p w14:paraId="326A6B6C" w14:textId="0226C9A0" w:rsidR="004234D9" w:rsidRPr="004234D9" w:rsidRDefault="004234D9">
      <w:pPr>
        <w:rPr>
          <w:rFonts w:eastAsiaTheme="minorEastAsia"/>
          <w:b/>
          <w:sz w:val="20"/>
          <w:szCs w:val="20"/>
          <w:u w:val="single"/>
        </w:rPr>
      </w:pPr>
      <w:r w:rsidRPr="002F5724">
        <w:rPr>
          <w:rFonts w:eastAsia="宋体" w:hint="eastAsia"/>
          <w:sz w:val="20"/>
          <w:szCs w:val="20"/>
          <w:lang w:val="en-GB"/>
        </w:rPr>
        <w:t>UE supporting set2 requirements for ATG is an optional feature without capability signalling.</w:t>
      </w:r>
    </w:p>
    <w:p w14:paraId="390C8884" w14:textId="77777777" w:rsidR="00BD161D" w:rsidRDefault="00000000">
      <w:pPr>
        <w:pStyle w:val="1"/>
        <w:numPr>
          <w:ilvl w:val="1"/>
          <w:numId w:val="3"/>
        </w:numPr>
        <w:spacing w:before="180" w:after="180" w:line="240" w:lineRule="auto"/>
        <w:rPr>
          <w:rFonts w:cs="Arial"/>
          <w:b w:val="0"/>
          <w:bCs w:val="0"/>
          <w:kern w:val="0"/>
          <w:sz w:val="24"/>
          <w:szCs w:val="24"/>
          <w:lang w:val="en-GB"/>
        </w:rPr>
      </w:pPr>
      <w:r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Mobility in </w:t>
      </w:r>
      <w:r>
        <w:rPr>
          <w:rFonts w:cs="Arial" w:hint="eastAsia"/>
          <w:b w:val="0"/>
          <w:bCs w:val="0"/>
          <w:kern w:val="0"/>
          <w:sz w:val="24"/>
          <w:szCs w:val="24"/>
          <w:lang w:val="en-GB"/>
        </w:rPr>
        <w:t>R</w:t>
      </w:r>
      <w:r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RC_CONNECTED </w:t>
      </w:r>
    </w:p>
    <w:p w14:paraId="30DE1016" w14:textId="77777777" w:rsidR="00BD161D" w:rsidRDefault="00000000">
      <w:pPr>
        <w:rPr>
          <w:b/>
          <w:sz w:val="20"/>
          <w:szCs w:val="20"/>
          <w:u w:val="single"/>
          <w:lang w:eastAsia="ko-KR"/>
        </w:rPr>
      </w:pPr>
      <w:r>
        <w:rPr>
          <w:b/>
          <w:sz w:val="20"/>
          <w:szCs w:val="20"/>
          <w:u w:val="single"/>
          <w:lang w:eastAsia="ko-KR"/>
        </w:rPr>
        <w:t>Issue 2-2-1: location-based CHO mechanism</w:t>
      </w:r>
    </w:p>
    <w:p w14:paraId="521BF78E" w14:textId="77777777" w:rsidR="00BD161D" w:rsidRDefault="00000000">
      <w:pPr>
        <w:spacing w:after="60"/>
        <w:rPr>
          <w:rFonts w:eastAsiaTheme="minorEastAsia"/>
          <w:b/>
          <w:bCs/>
          <w:iCs/>
          <w:sz w:val="20"/>
          <w:szCs w:val="20"/>
        </w:rPr>
      </w:pPr>
      <w:r>
        <w:rPr>
          <w:rFonts w:eastAsiaTheme="minorEastAsia" w:hint="eastAsia"/>
          <w:b/>
          <w:bCs/>
          <w:iCs/>
          <w:sz w:val="20"/>
          <w:szCs w:val="20"/>
        </w:rPr>
        <w:t>A</w:t>
      </w:r>
      <w:r>
        <w:rPr>
          <w:rFonts w:eastAsiaTheme="minorEastAsia"/>
          <w:b/>
          <w:bCs/>
          <w:iCs/>
          <w:sz w:val="20"/>
          <w:szCs w:val="20"/>
        </w:rPr>
        <w:t>greement</w:t>
      </w:r>
      <w:r>
        <w:rPr>
          <w:rFonts w:eastAsiaTheme="minorEastAsia" w:hint="eastAsia"/>
          <w:b/>
          <w:bCs/>
          <w:iCs/>
          <w:sz w:val="20"/>
          <w:szCs w:val="20"/>
        </w:rPr>
        <w:t>:</w:t>
      </w:r>
    </w:p>
    <w:p w14:paraId="15F4DB14" w14:textId="77777777" w:rsidR="00BD161D" w:rsidRDefault="00000000">
      <w:pPr>
        <w:pStyle w:val="af9"/>
        <w:numPr>
          <w:ilvl w:val="0"/>
          <w:numId w:val="4"/>
        </w:numPr>
        <w:spacing w:after="120"/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>Introduce location-based CHO for ATG, reusing the procedure in R17 NTN for R18 ATG</w:t>
      </w:r>
    </w:p>
    <w:p w14:paraId="6D855598" w14:textId="77777777" w:rsidR="00BD161D" w:rsidRPr="00D6109A" w:rsidRDefault="00000000">
      <w:pPr>
        <w:rPr>
          <w:b/>
          <w:sz w:val="20"/>
          <w:szCs w:val="20"/>
          <w:u w:val="single"/>
          <w:lang w:eastAsia="ko-KR"/>
        </w:rPr>
      </w:pPr>
      <w:r w:rsidRPr="00D6109A">
        <w:rPr>
          <w:rFonts w:hint="eastAsia"/>
          <w:b/>
          <w:sz w:val="20"/>
          <w:szCs w:val="20"/>
          <w:u w:val="single"/>
          <w:lang w:eastAsia="ko-KR"/>
        </w:rPr>
        <w:t>Issue 2-2-2: Definition for distance threshold</w:t>
      </w:r>
    </w:p>
    <w:p w14:paraId="2F31A56D" w14:textId="77777777" w:rsidR="00BD161D" w:rsidRDefault="00000000">
      <w:pPr>
        <w:pStyle w:val="af9"/>
        <w:numPr>
          <w:ilvl w:val="0"/>
          <w:numId w:val="4"/>
        </w:numPr>
        <w:spacing w:after="120"/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/>
          <w:sz w:val="20"/>
          <w:szCs w:val="20"/>
        </w:rPr>
        <w:t>Option 1:</w:t>
      </w:r>
    </w:p>
    <w:p w14:paraId="1EA40E28" w14:textId="77777777" w:rsidR="00BD161D" w:rsidRDefault="00000000">
      <w:pPr>
        <w:pStyle w:val="af9"/>
        <w:numPr>
          <w:ilvl w:val="1"/>
          <w:numId w:val="4"/>
        </w:numPr>
        <w:spacing w:after="120"/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/>
          <w:sz w:val="20"/>
          <w:szCs w:val="20"/>
        </w:rPr>
        <w:t xml:space="preserve">Revise the definition of distanceThreshFromReference1 to the distance from the serving cell reference location in two-dimensional direction. Besides, introduce new concept of distanceThreshFromReference1_ATG which present the distance threshold between UE and serving cell reference location . The value of distanceThreshFromReference1_ATG could be calculated by UE through </w:t>
      </w:r>
      <w:proofErr w:type="spellStart"/>
      <w:r>
        <w:rPr>
          <w:rFonts w:eastAsia="宋体" w:cs="Times New Roman"/>
          <w:sz w:val="20"/>
          <w:szCs w:val="20"/>
        </w:rPr>
        <w:t>it’s</w:t>
      </w:r>
      <w:proofErr w:type="spellEnd"/>
      <w:r>
        <w:rPr>
          <w:rFonts w:eastAsia="宋体" w:cs="Times New Roman"/>
          <w:sz w:val="20"/>
          <w:szCs w:val="20"/>
        </w:rPr>
        <w:t xml:space="preserve"> real-time height and distanceThreshFromReference1, distanceThreshFromReference1_ATG = 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0"/>
                    <w:szCs w:val="20"/>
                  </w:rPr>
                  <m:t xml:space="preserve">distanceThreshFromReference1(signalled by network) 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0"/>
                <w:szCs w:val="20"/>
              </w:rPr>
              <m:t xml:space="preserve">+ 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0"/>
                    <w:szCs w:val="20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0"/>
                    <w:szCs w:val="20"/>
                  </w:rPr>
                  <m:t>2</m:t>
                </m:r>
              </m:sup>
            </m:sSup>
          </m:e>
        </m:rad>
      </m:oMath>
      <w:r>
        <w:rPr>
          <w:rFonts w:eastAsia="宋体" w:cs="Times New Roman"/>
          <w:sz w:val="20"/>
          <w:szCs w:val="20"/>
        </w:rPr>
        <w:t>,  H is the altitude of UE.</w:t>
      </w:r>
    </w:p>
    <w:p w14:paraId="16BFD9EB" w14:textId="77777777" w:rsidR="00BD161D" w:rsidRDefault="00000000">
      <w:pPr>
        <w:pStyle w:val="af9"/>
        <w:numPr>
          <w:ilvl w:val="1"/>
          <w:numId w:val="4"/>
        </w:numPr>
        <w:spacing w:after="120"/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/>
          <w:sz w:val="20"/>
          <w:szCs w:val="20"/>
        </w:rPr>
        <w:t xml:space="preserve">Revise the definition of distanceThreshFromReference2 to the distance from the </w:t>
      </w:r>
      <w:proofErr w:type="spellStart"/>
      <w:r>
        <w:rPr>
          <w:rFonts w:eastAsia="宋体" w:cs="Times New Roman"/>
          <w:sz w:val="20"/>
          <w:szCs w:val="20"/>
        </w:rPr>
        <w:t>neighbour</w:t>
      </w:r>
      <w:proofErr w:type="spellEnd"/>
      <w:r>
        <w:rPr>
          <w:rFonts w:eastAsia="宋体" w:cs="Times New Roman"/>
          <w:sz w:val="20"/>
          <w:szCs w:val="20"/>
        </w:rPr>
        <w:t xml:space="preserve"> cell reference location in two-dimensional direction. Besides, introduce new concepts of distanceThreshFromReference2_ATG which present the distance threshold between UE and </w:t>
      </w:r>
      <w:proofErr w:type="spellStart"/>
      <w:r>
        <w:rPr>
          <w:rFonts w:eastAsia="宋体" w:cs="Times New Roman"/>
          <w:sz w:val="20"/>
          <w:szCs w:val="20"/>
        </w:rPr>
        <w:t>neighbour</w:t>
      </w:r>
      <w:proofErr w:type="spellEnd"/>
      <w:r>
        <w:rPr>
          <w:rFonts w:eastAsia="宋体" w:cs="Times New Roman"/>
          <w:sz w:val="20"/>
          <w:szCs w:val="20"/>
        </w:rPr>
        <w:t xml:space="preserve"> cell reference location . The value of distanceThreshFromReference2_ATG could be calculated by UE through </w:t>
      </w:r>
      <w:proofErr w:type="spellStart"/>
      <w:r>
        <w:rPr>
          <w:rFonts w:eastAsia="宋体" w:cs="Times New Roman"/>
          <w:sz w:val="20"/>
          <w:szCs w:val="20"/>
        </w:rPr>
        <w:t>it’s</w:t>
      </w:r>
      <w:proofErr w:type="spellEnd"/>
      <w:r>
        <w:rPr>
          <w:rFonts w:eastAsia="宋体" w:cs="Times New Roman"/>
          <w:sz w:val="20"/>
          <w:szCs w:val="20"/>
        </w:rPr>
        <w:t xml:space="preserve"> real-time height and distanceThreshFromReference2. distanceThreshFromReference2_ATG = 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0"/>
                    <w:szCs w:val="20"/>
                  </w:rPr>
                  <m:t xml:space="preserve">distanceThreshFromReference2(signalled by network) 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0"/>
                <w:szCs w:val="20"/>
              </w:rPr>
              <m:t xml:space="preserve">+ 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0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0"/>
                    <w:szCs w:val="20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0"/>
                    <w:szCs w:val="20"/>
                  </w:rPr>
                  <m:t>2</m:t>
                </m:r>
              </m:sup>
            </m:sSup>
          </m:e>
        </m:rad>
      </m:oMath>
      <w:r>
        <w:rPr>
          <w:rFonts w:eastAsia="宋体" w:cs="Times New Roman"/>
          <w:sz w:val="20"/>
          <w:szCs w:val="20"/>
        </w:rPr>
        <w:t>, H is the altitude of UE.</w:t>
      </w:r>
    </w:p>
    <w:p w14:paraId="0107719C" w14:textId="4E8D0736" w:rsidR="00B0224A" w:rsidRPr="002F5724" w:rsidRDefault="00D6109A" w:rsidP="00B0224A">
      <w:pPr>
        <w:rPr>
          <w:rFonts w:eastAsiaTheme="minorEastAsia"/>
          <w:b/>
          <w:sz w:val="20"/>
          <w:szCs w:val="20"/>
          <w:u w:val="single"/>
        </w:rPr>
      </w:pPr>
      <w:r w:rsidRPr="002F5724">
        <w:rPr>
          <w:rFonts w:eastAsiaTheme="minorEastAsia"/>
          <w:b/>
          <w:sz w:val="20"/>
          <w:szCs w:val="20"/>
          <w:u w:val="single"/>
        </w:rPr>
        <w:t>A</w:t>
      </w:r>
      <w:r w:rsidR="00B0224A" w:rsidRPr="002F5724">
        <w:rPr>
          <w:rFonts w:eastAsiaTheme="minorEastAsia"/>
          <w:b/>
          <w:sz w:val="20"/>
          <w:szCs w:val="20"/>
          <w:u w:val="single"/>
        </w:rPr>
        <w:t>greement:</w:t>
      </w:r>
    </w:p>
    <w:p w14:paraId="5917C77D" w14:textId="564F14B1" w:rsidR="00BD161D" w:rsidRPr="00B0224A" w:rsidRDefault="00B0224A">
      <w:pPr>
        <w:rPr>
          <w:rFonts w:eastAsia="宋体"/>
          <w:sz w:val="20"/>
          <w:szCs w:val="20"/>
        </w:rPr>
      </w:pPr>
      <w:r w:rsidRPr="002F5724">
        <w:rPr>
          <w:rFonts w:eastAsia="宋体" w:hint="eastAsia"/>
          <w:sz w:val="20"/>
          <w:szCs w:val="20"/>
        </w:rPr>
        <w:t>R</w:t>
      </w:r>
      <w:r w:rsidRPr="002F5724">
        <w:rPr>
          <w:rFonts w:eastAsia="宋体"/>
          <w:sz w:val="20"/>
          <w:szCs w:val="20"/>
        </w:rPr>
        <w:t>euse the existing definition of distanceThreshFromReference1 of</w:t>
      </w:r>
      <w:r w:rsidR="003B5FB2" w:rsidRPr="002F5724">
        <w:rPr>
          <w:rFonts w:eastAsia="宋体"/>
          <w:sz w:val="20"/>
          <w:szCs w:val="20"/>
        </w:rPr>
        <w:t xml:space="preserve"> </w:t>
      </w:r>
      <w:proofErr w:type="gramStart"/>
      <w:r w:rsidRPr="002F5724">
        <w:rPr>
          <w:rFonts w:eastAsia="宋体"/>
          <w:sz w:val="20"/>
          <w:szCs w:val="20"/>
        </w:rPr>
        <w:t>NTN</w:t>
      </w:r>
      <w:proofErr w:type="gramEnd"/>
    </w:p>
    <w:p w14:paraId="004CEC51" w14:textId="77777777" w:rsidR="00BD161D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cs="Arial"/>
          <w:b w:val="0"/>
          <w:bCs w:val="0"/>
          <w:kern w:val="0"/>
          <w:sz w:val="28"/>
          <w:szCs w:val="28"/>
          <w:lang w:val="en-GB"/>
        </w:rPr>
        <w:t>Timing</w:t>
      </w:r>
    </w:p>
    <w:p w14:paraId="2212941A" w14:textId="77777777" w:rsidR="00BD161D" w:rsidRDefault="00000000">
      <w:pPr>
        <w:rPr>
          <w:b/>
          <w:sz w:val="20"/>
          <w:szCs w:val="20"/>
          <w:u w:val="single"/>
          <w:lang w:eastAsia="ko-KR"/>
        </w:rPr>
      </w:pPr>
      <w:r>
        <w:rPr>
          <w:rFonts w:hint="eastAsia"/>
          <w:b/>
          <w:sz w:val="20"/>
          <w:szCs w:val="20"/>
          <w:u w:val="single"/>
          <w:lang w:eastAsia="ko-KR"/>
        </w:rPr>
        <w:t>Issue 3-1: Special TDD patterns/scheduling restrictions method for GP issue</w:t>
      </w:r>
    </w:p>
    <w:p w14:paraId="3DC87786" w14:textId="527EA45F" w:rsidR="00BD161D" w:rsidRDefault="002F5724">
      <w:pPr>
        <w:spacing w:after="60"/>
        <w:rPr>
          <w:rFonts w:eastAsiaTheme="minorEastAsia"/>
          <w:b/>
          <w:bCs/>
          <w:iCs/>
          <w:sz w:val="20"/>
          <w:szCs w:val="20"/>
        </w:rPr>
      </w:pPr>
      <w:r>
        <w:rPr>
          <w:rFonts w:eastAsiaTheme="minorEastAsia"/>
          <w:b/>
          <w:bCs/>
          <w:iCs/>
          <w:sz w:val="20"/>
          <w:szCs w:val="20"/>
        </w:rPr>
        <w:t xml:space="preserve">Online </w:t>
      </w:r>
      <w:r w:rsidR="00000000">
        <w:rPr>
          <w:rFonts w:eastAsiaTheme="minorEastAsia" w:hint="eastAsia"/>
          <w:b/>
          <w:bCs/>
          <w:iCs/>
          <w:sz w:val="20"/>
          <w:szCs w:val="20"/>
        </w:rPr>
        <w:t xml:space="preserve">Agreement: </w:t>
      </w:r>
    </w:p>
    <w:p w14:paraId="4E9E1BE2" w14:textId="77777777" w:rsidR="00BD161D" w:rsidRDefault="00000000">
      <w:pPr>
        <w:pStyle w:val="af9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>Recommend RAN2 to introduce an optional TA reporting for ATG UE based on NTN TA reporting mechanism</w:t>
      </w:r>
    </w:p>
    <w:p w14:paraId="22A07C87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 xml:space="preserve">The </w:t>
      </w:r>
      <w:proofErr w:type="spellStart"/>
      <w:r>
        <w:rPr>
          <w:rFonts w:eastAsia="宋体" w:cs="Times New Roman" w:hint="eastAsia"/>
          <w:sz w:val="20"/>
          <w:szCs w:val="20"/>
        </w:rPr>
        <w:t>signalling</w:t>
      </w:r>
      <w:proofErr w:type="spellEnd"/>
      <w:r>
        <w:rPr>
          <w:rFonts w:eastAsia="宋体" w:cs="Times New Roman" w:hint="eastAsia"/>
          <w:sz w:val="20"/>
          <w:szCs w:val="20"/>
        </w:rPr>
        <w:t xml:space="preserve"> granularity is for ATG TA reporting is FFS and shall provide approximately symbol-level granularity</w:t>
      </w:r>
    </w:p>
    <w:p w14:paraId="01D60F34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>Note: No new network behavior will be defined</w:t>
      </w:r>
    </w:p>
    <w:p w14:paraId="5135A048" w14:textId="32D99E39" w:rsidR="00B0224A" w:rsidRPr="002F5724" w:rsidRDefault="00B0224A" w:rsidP="00B0224A">
      <w:pPr>
        <w:spacing w:after="60"/>
        <w:rPr>
          <w:rFonts w:eastAsiaTheme="minorEastAsia"/>
          <w:b/>
          <w:bCs/>
          <w:iCs/>
          <w:sz w:val="20"/>
          <w:szCs w:val="20"/>
        </w:rPr>
      </w:pPr>
      <w:bookmarkStart w:id="6" w:name="_Hlk143725386"/>
      <w:r w:rsidRPr="002F5724">
        <w:rPr>
          <w:rFonts w:eastAsiaTheme="minorEastAsia" w:hint="eastAsia"/>
          <w:b/>
          <w:bCs/>
          <w:iCs/>
          <w:sz w:val="20"/>
          <w:szCs w:val="20"/>
        </w:rPr>
        <w:t>Agreement</w:t>
      </w:r>
      <w:r w:rsidRPr="002F5724">
        <w:rPr>
          <w:rFonts w:eastAsiaTheme="minorEastAsia"/>
          <w:b/>
          <w:bCs/>
          <w:iCs/>
          <w:sz w:val="20"/>
          <w:szCs w:val="20"/>
        </w:rPr>
        <w:t xml:space="preserve"> </w:t>
      </w:r>
      <w:bookmarkEnd w:id="6"/>
      <w:r w:rsidRPr="002F5724">
        <w:rPr>
          <w:rFonts w:eastAsiaTheme="minorEastAsia"/>
          <w:b/>
          <w:bCs/>
          <w:iCs/>
          <w:sz w:val="20"/>
          <w:szCs w:val="20"/>
        </w:rPr>
        <w:t>on signaling granularity</w:t>
      </w:r>
      <w:r w:rsidRPr="002F5724">
        <w:rPr>
          <w:rFonts w:eastAsiaTheme="minorEastAsia" w:hint="eastAsia"/>
          <w:b/>
          <w:bCs/>
          <w:iCs/>
          <w:sz w:val="20"/>
          <w:szCs w:val="20"/>
        </w:rPr>
        <w:t xml:space="preserve">: </w:t>
      </w:r>
    </w:p>
    <w:p w14:paraId="596894F5" w14:textId="02E74CF5" w:rsidR="00B0224A" w:rsidRPr="002F5724" w:rsidRDefault="00B0224A" w:rsidP="009427FD">
      <w:pPr>
        <w:pStyle w:val="af9"/>
        <w:numPr>
          <w:ilvl w:val="0"/>
          <w:numId w:val="6"/>
        </w:numPr>
        <w:ind w:firstLineChars="0"/>
        <w:rPr>
          <w:rFonts w:eastAsia="宋体"/>
          <w:sz w:val="20"/>
          <w:szCs w:val="20"/>
        </w:rPr>
      </w:pPr>
      <w:r w:rsidRPr="002F5724">
        <w:rPr>
          <w:rFonts w:eastAsia="宋体"/>
          <w:sz w:val="20"/>
          <w:szCs w:val="20"/>
        </w:rPr>
        <w:t>Threshold for new TA reporting:</w:t>
      </w:r>
    </w:p>
    <w:p w14:paraId="30FB2611" w14:textId="5F37B4BC" w:rsidR="00B0224A" w:rsidRPr="002F5724" w:rsidRDefault="00B0224A" w:rsidP="009427FD">
      <w:pPr>
        <w:pStyle w:val="af9"/>
        <w:numPr>
          <w:ilvl w:val="1"/>
          <w:numId w:val="6"/>
        </w:numPr>
        <w:ind w:firstLineChars="0"/>
        <w:rPr>
          <w:rFonts w:eastAsia="宋体"/>
          <w:sz w:val="20"/>
          <w:szCs w:val="20"/>
        </w:rPr>
      </w:pPr>
      <w:r w:rsidRPr="002F5724">
        <w:rPr>
          <w:rFonts w:eastAsia="宋体"/>
          <w:sz w:val="20"/>
          <w:szCs w:val="20"/>
        </w:rPr>
        <w:t xml:space="preserve">Range: 1 symbol ~28 symbol </w:t>
      </w:r>
    </w:p>
    <w:p w14:paraId="383557A8" w14:textId="0BCDCD44" w:rsidR="00B0224A" w:rsidRPr="002F5724" w:rsidRDefault="00B0224A" w:rsidP="009427FD">
      <w:pPr>
        <w:pStyle w:val="af9"/>
        <w:numPr>
          <w:ilvl w:val="1"/>
          <w:numId w:val="6"/>
        </w:numPr>
        <w:ind w:firstLineChars="0"/>
        <w:rPr>
          <w:rFonts w:eastAsia="宋体" w:cs="Times New Roman"/>
          <w:sz w:val="20"/>
          <w:szCs w:val="20"/>
        </w:rPr>
      </w:pPr>
      <w:r w:rsidRPr="002F5724">
        <w:rPr>
          <w:rFonts w:eastAsia="宋体"/>
          <w:sz w:val="20"/>
          <w:szCs w:val="20"/>
        </w:rPr>
        <w:t>Granularity: 1 symbol</w:t>
      </w:r>
    </w:p>
    <w:p w14:paraId="41CA4568" w14:textId="07376B20" w:rsidR="009427FD" w:rsidRPr="002F5724" w:rsidRDefault="00B0224A" w:rsidP="009427FD">
      <w:pPr>
        <w:pStyle w:val="af9"/>
        <w:numPr>
          <w:ilvl w:val="0"/>
          <w:numId w:val="6"/>
        </w:numPr>
        <w:ind w:firstLineChars="0"/>
        <w:rPr>
          <w:rFonts w:eastAsia="宋体" w:hint="eastAsia"/>
          <w:sz w:val="20"/>
          <w:szCs w:val="20"/>
        </w:rPr>
      </w:pPr>
      <w:r w:rsidRPr="002F5724">
        <w:rPr>
          <w:rFonts w:eastAsia="宋体"/>
          <w:sz w:val="20"/>
          <w:szCs w:val="20"/>
        </w:rPr>
        <w:t>TA reporting:</w:t>
      </w:r>
      <w:r w:rsidR="009427FD" w:rsidRPr="002F5724">
        <w:rPr>
          <w:rFonts w:eastAsia="宋体"/>
          <w:sz w:val="20"/>
          <w:szCs w:val="20"/>
        </w:rPr>
        <w:t xml:space="preserve"> Symbol level </w:t>
      </w:r>
      <w:proofErr w:type="gramStart"/>
      <w:r w:rsidR="009427FD" w:rsidRPr="002F5724">
        <w:rPr>
          <w:rFonts w:eastAsia="宋体"/>
          <w:sz w:val="20"/>
          <w:szCs w:val="20"/>
        </w:rPr>
        <w:t>granularity</w:t>
      </w:r>
      <w:proofErr w:type="gramEnd"/>
      <w:r w:rsidR="009427FD" w:rsidRPr="002F5724">
        <w:rPr>
          <w:rFonts w:eastAsia="宋体"/>
          <w:sz w:val="20"/>
          <w:szCs w:val="20"/>
        </w:rPr>
        <w:t xml:space="preserve"> </w:t>
      </w:r>
      <w:r w:rsidRPr="002F5724">
        <w:rPr>
          <w:rFonts w:eastAsia="宋体"/>
          <w:sz w:val="20"/>
          <w:szCs w:val="20"/>
        </w:rPr>
        <w:t xml:space="preserve"> </w:t>
      </w:r>
    </w:p>
    <w:p w14:paraId="0C11EE4C" w14:textId="77777777" w:rsidR="00BD161D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cs="Arial"/>
          <w:b w:val="0"/>
          <w:bCs w:val="0"/>
          <w:kern w:val="0"/>
          <w:sz w:val="28"/>
          <w:szCs w:val="28"/>
          <w:lang w:val="en-GB"/>
        </w:rPr>
        <w:t>Measurement</w:t>
      </w:r>
    </w:p>
    <w:p w14:paraId="26EF9A20" w14:textId="77777777" w:rsidR="00BD161D" w:rsidRDefault="00000000">
      <w:pPr>
        <w:pStyle w:val="1"/>
        <w:numPr>
          <w:ilvl w:val="1"/>
          <w:numId w:val="3"/>
        </w:numPr>
        <w:pBdr>
          <w:top w:val="single" w:sz="12" w:space="3" w:color="auto"/>
        </w:pBdr>
        <w:spacing w:before="180" w:after="180" w:line="240" w:lineRule="auto"/>
        <w:rPr>
          <w:rFonts w:cs="Arial"/>
          <w:b w:val="0"/>
          <w:bCs w:val="0"/>
          <w:kern w:val="0"/>
          <w:sz w:val="24"/>
          <w:szCs w:val="24"/>
          <w:lang w:val="en-GB"/>
        </w:rPr>
      </w:pPr>
      <w:r>
        <w:rPr>
          <w:rFonts w:cs="Arial" w:hint="eastAsia"/>
          <w:b w:val="0"/>
          <w:bCs w:val="0"/>
          <w:kern w:val="0"/>
          <w:sz w:val="24"/>
          <w:szCs w:val="24"/>
        </w:rPr>
        <w:t>Phase antenna array impact</w:t>
      </w:r>
    </w:p>
    <w:p w14:paraId="50F89727" w14:textId="77777777" w:rsidR="00BD161D" w:rsidRDefault="00000000">
      <w:pPr>
        <w:rPr>
          <w:b/>
          <w:sz w:val="20"/>
          <w:szCs w:val="20"/>
          <w:u w:val="single"/>
          <w:lang w:eastAsia="ko-KR"/>
        </w:rPr>
      </w:pPr>
      <w:r>
        <w:rPr>
          <w:rFonts w:hint="eastAsia"/>
          <w:b/>
          <w:sz w:val="20"/>
          <w:szCs w:val="20"/>
          <w:u w:val="single"/>
          <w:lang w:eastAsia="ko-KR"/>
        </w:rPr>
        <w:t>Issue 4-1-1: Phase antenna array impact for L3 measurements</w:t>
      </w:r>
    </w:p>
    <w:p w14:paraId="6BCBA671" w14:textId="77777777" w:rsidR="00BD161D" w:rsidRDefault="00000000">
      <w:pPr>
        <w:spacing w:after="60"/>
        <w:rPr>
          <w:rFonts w:eastAsia="宋体"/>
          <w:sz w:val="20"/>
          <w:szCs w:val="20"/>
          <w:lang w:eastAsia="ko-KR"/>
        </w:rPr>
      </w:pPr>
      <w:r>
        <w:rPr>
          <w:rFonts w:eastAsiaTheme="minorEastAsia" w:hint="eastAsia"/>
          <w:b/>
          <w:bCs/>
          <w:iCs/>
          <w:sz w:val="20"/>
          <w:szCs w:val="20"/>
        </w:rPr>
        <w:t xml:space="preserve">Agreement: </w:t>
      </w:r>
    </w:p>
    <w:p w14:paraId="7EBD3B87" w14:textId="77777777" w:rsidR="00BD161D" w:rsidRDefault="00000000">
      <w:pPr>
        <w:pStyle w:val="af9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eastAsia="宋体" w:cs="Times New Roman" w:hint="eastAsia"/>
          <w:sz w:val="20"/>
          <w:szCs w:val="20"/>
        </w:rPr>
        <w:t>Recommend RAN2 to introduce network assistance on neighbor ATG cells reference locations similar to NTN assistance framework</w:t>
      </w:r>
    </w:p>
    <w:p w14:paraId="3CA19B43" w14:textId="77777777" w:rsidR="00BD161D" w:rsidRDefault="00000000">
      <w:pPr>
        <w:pStyle w:val="af9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eastAsia="宋体" w:cs="Times New Roman" w:hint="eastAsia"/>
          <w:sz w:val="20"/>
          <w:szCs w:val="20"/>
        </w:rPr>
        <w:t>Do not introduce scaling factor N and the existing measurement requirements can be reused for ATG UEs [with omnidirectional antennas]</w:t>
      </w:r>
    </w:p>
    <w:p w14:paraId="1ECE1E80" w14:textId="041AEEC2" w:rsidR="00BD161D" w:rsidRDefault="009617B7">
      <w:pPr>
        <w:pStyle w:val="af9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eastAsia="宋体" w:cs="Times New Roman" w:hint="eastAsia"/>
          <w:sz w:val="20"/>
          <w:szCs w:val="20"/>
          <w:lang w:eastAsia="ja-JP"/>
        </w:rPr>
        <w:t xml:space="preserve">Introduce </w:t>
      </w:r>
      <w:r>
        <w:rPr>
          <w:rFonts w:eastAsia="宋体" w:cs="Times New Roman" w:hint="eastAsia"/>
          <w:sz w:val="20"/>
          <w:szCs w:val="20"/>
        </w:rPr>
        <w:t>scaling factor N for L3 measurements for ATG UEs with [antenna arrays]</w:t>
      </w:r>
    </w:p>
    <w:p w14:paraId="6474E113" w14:textId="5E05FF97" w:rsidR="00BD161D" w:rsidRDefault="00000000">
      <w:pPr>
        <w:pStyle w:val="af9"/>
        <w:numPr>
          <w:ilvl w:val="1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eastAsia="宋体" w:cs="Times New Roman" w:hint="eastAsia"/>
          <w:sz w:val="20"/>
          <w:szCs w:val="20"/>
        </w:rPr>
        <w:t xml:space="preserve">N = </w:t>
      </w:r>
      <w:r w:rsidR="00D6109A">
        <w:rPr>
          <w:rFonts w:eastAsia="宋体" w:cs="Times New Roman"/>
          <w:sz w:val="20"/>
          <w:szCs w:val="20"/>
        </w:rPr>
        <w:t xml:space="preserve">3 </w:t>
      </w:r>
      <w:r>
        <w:rPr>
          <w:rFonts w:eastAsia="宋体" w:cs="Times New Roman" w:hint="eastAsia"/>
          <w:sz w:val="20"/>
          <w:szCs w:val="20"/>
        </w:rPr>
        <w:t>for the case when network assistance on ATG cells reference locations is provided</w:t>
      </w:r>
    </w:p>
    <w:p w14:paraId="72EB882A" w14:textId="7FCC9A50" w:rsidR="00BD161D" w:rsidRDefault="00000000">
      <w:pPr>
        <w:pStyle w:val="af9"/>
        <w:numPr>
          <w:ilvl w:val="1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eastAsia="宋体" w:cs="Times New Roman" w:hint="eastAsia"/>
          <w:sz w:val="20"/>
          <w:szCs w:val="20"/>
        </w:rPr>
        <w:t>N = 4 otherwise</w:t>
      </w:r>
    </w:p>
    <w:p w14:paraId="50D3B389" w14:textId="77777777" w:rsidR="00BD161D" w:rsidRDefault="00000000">
      <w:pPr>
        <w:pStyle w:val="af9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eastAsia="宋体" w:cs="Times New Roman" w:hint="eastAsia"/>
          <w:sz w:val="20"/>
          <w:szCs w:val="20"/>
        </w:rPr>
        <w:t>FFS if any additional UE capability is needed for ATG UEs with [antenna arrays]</w:t>
      </w:r>
    </w:p>
    <w:p w14:paraId="649B6768" w14:textId="77777777" w:rsidR="00BD161D" w:rsidRDefault="00000000">
      <w:pPr>
        <w:pStyle w:val="af9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eastAsia="ja-JP"/>
        </w:rPr>
      </w:pPr>
      <w:r>
        <w:rPr>
          <w:rFonts w:eastAsia="宋体" w:cs="Times New Roman" w:hint="eastAsia"/>
          <w:sz w:val="20"/>
          <w:szCs w:val="20"/>
        </w:rPr>
        <w:lastRenderedPageBreak/>
        <w:t>Note: the terms for UE types need to be further aligned with RF session</w:t>
      </w:r>
    </w:p>
    <w:p w14:paraId="55BA2FDA" w14:textId="77777777" w:rsidR="009427FD" w:rsidRPr="009427FD" w:rsidRDefault="009427FD">
      <w:pPr>
        <w:rPr>
          <w:rFonts w:eastAsiaTheme="minorEastAsia"/>
          <w:b/>
          <w:sz w:val="20"/>
          <w:szCs w:val="20"/>
          <w:u w:val="single"/>
        </w:rPr>
      </w:pPr>
    </w:p>
    <w:p w14:paraId="0A48DA31" w14:textId="77777777" w:rsidR="009427FD" w:rsidRPr="009427FD" w:rsidRDefault="009427FD">
      <w:pPr>
        <w:rPr>
          <w:rFonts w:eastAsia="Malgun Gothic"/>
          <w:b/>
          <w:sz w:val="20"/>
          <w:szCs w:val="20"/>
          <w:u w:val="single"/>
          <w:lang w:eastAsia="ko-KR"/>
        </w:rPr>
      </w:pPr>
    </w:p>
    <w:p w14:paraId="44123D1C" w14:textId="623E6925" w:rsidR="00BD161D" w:rsidRDefault="00000000">
      <w:pPr>
        <w:rPr>
          <w:b/>
          <w:sz w:val="20"/>
          <w:szCs w:val="20"/>
          <w:highlight w:val="yellow"/>
          <w:u w:val="single"/>
          <w:lang w:eastAsia="ko-KR"/>
        </w:rPr>
      </w:pPr>
      <w:r w:rsidRPr="00D6109A">
        <w:rPr>
          <w:rFonts w:hint="eastAsia"/>
          <w:b/>
          <w:sz w:val="20"/>
          <w:szCs w:val="20"/>
          <w:u w:val="single"/>
          <w:lang w:eastAsia="ko-KR"/>
        </w:rPr>
        <w:t>Issue 4-1-2: Phase antenna array impact for L1</w:t>
      </w:r>
      <w:r w:rsidR="00D6109A">
        <w:rPr>
          <w:b/>
          <w:strike/>
          <w:sz w:val="20"/>
          <w:szCs w:val="20"/>
          <w:u w:val="single"/>
          <w:lang w:eastAsia="ko-KR"/>
        </w:rPr>
        <w:t xml:space="preserve"> </w:t>
      </w:r>
      <w:r w:rsidRPr="00D6109A">
        <w:rPr>
          <w:rFonts w:hint="eastAsia"/>
          <w:b/>
          <w:sz w:val="20"/>
          <w:szCs w:val="20"/>
          <w:u w:val="single"/>
          <w:lang w:eastAsia="ko-KR"/>
        </w:rPr>
        <w:t>measurements</w:t>
      </w:r>
    </w:p>
    <w:p w14:paraId="0ABF2368" w14:textId="77777777" w:rsidR="00BD161D" w:rsidRPr="00350954" w:rsidRDefault="00000000">
      <w:pPr>
        <w:pStyle w:val="af9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val="en-GB"/>
        </w:rPr>
      </w:pPr>
      <w:r w:rsidRPr="00350954">
        <w:rPr>
          <w:rFonts w:eastAsia="宋体" w:cs="Times New Roman" w:hint="eastAsia"/>
          <w:sz w:val="20"/>
          <w:szCs w:val="20"/>
          <w:lang w:val="en-GB"/>
        </w:rPr>
        <w:t>Option 1: Do not introduce scaling factor N</w:t>
      </w:r>
      <w:r w:rsidRPr="00350954">
        <w:rPr>
          <w:rFonts w:eastAsia="宋体" w:cs="Times New Roman" w:hint="eastAsia"/>
          <w:sz w:val="20"/>
          <w:szCs w:val="20"/>
        </w:rPr>
        <w:t xml:space="preserve">. </w:t>
      </w:r>
      <w:r w:rsidRPr="00350954">
        <w:rPr>
          <w:rFonts w:eastAsia="宋体" w:cs="Times New Roman" w:hint="eastAsia"/>
          <w:sz w:val="20"/>
          <w:szCs w:val="20"/>
          <w:lang w:val="en-GB"/>
        </w:rPr>
        <w:t>Existing measurement requirements can be reused, provided that beam steering based on the positioning is capable for the ATG UE.</w:t>
      </w:r>
    </w:p>
    <w:p w14:paraId="61BE0427" w14:textId="7AF8699E" w:rsidR="00BD161D" w:rsidRDefault="00000000">
      <w:pPr>
        <w:pStyle w:val="af9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  <w:lang w:val="en-GB"/>
        </w:rPr>
        <w:t xml:space="preserve">Option 2: </w:t>
      </w:r>
      <w:r>
        <w:rPr>
          <w:rFonts w:eastAsia="宋体" w:cs="Times New Roman" w:hint="eastAsia"/>
          <w:sz w:val="20"/>
          <w:szCs w:val="20"/>
        </w:rPr>
        <w:t>Introduc</w:t>
      </w:r>
      <w:r w:rsidRPr="0075547D">
        <w:rPr>
          <w:rFonts w:eastAsia="宋体" w:cs="Times New Roman" w:hint="eastAsia"/>
          <w:sz w:val="20"/>
          <w:szCs w:val="20"/>
        </w:rPr>
        <w:t>e</w:t>
      </w:r>
      <w:r w:rsidR="00C7675C" w:rsidRPr="0075547D">
        <w:rPr>
          <w:rFonts w:eastAsia="宋体" w:cs="Times New Roman"/>
          <w:sz w:val="20"/>
          <w:szCs w:val="20"/>
        </w:rPr>
        <w:t xml:space="preserve"> </w:t>
      </w:r>
      <w:r w:rsidRPr="0075547D">
        <w:rPr>
          <w:rFonts w:eastAsia="宋体" w:cs="Times New Roman" w:hint="eastAsia"/>
          <w:sz w:val="20"/>
          <w:szCs w:val="20"/>
        </w:rPr>
        <w:t>scaling factor</w:t>
      </w:r>
      <w:r w:rsidRPr="0075547D">
        <w:rPr>
          <w:rFonts w:eastAsia="宋体" w:cs="Times New Roman" w:hint="eastAsia"/>
          <w:strike/>
          <w:sz w:val="20"/>
          <w:szCs w:val="20"/>
        </w:rPr>
        <w:t>.</w:t>
      </w:r>
    </w:p>
    <w:p w14:paraId="51B22EEC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>Option 2-1:</w:t>
      </w:r>
    </w:p>
    <w:p w14:paraId="3BBEFD02" w14:textId="0836907F" w:rsidR="00BD161D" w:rsidRDefault="00000000">
      <w:pPr>
        <w:pStyle w:val="af9"/>
        <w:numPr>
          <w:ilvl w:val="2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 xml:space="preserve">For FR1 ATG UE with phase array antenna, </w:t>
      </w:r>
      <w:r w:rsidR="0075547D" w:rsidRPr="0075547D">
        <w:rPr>
          <w:rFonts w:eastAsia="宋体" w:cs="Times New Roman" w:hint="eastAsia"/>
          <w:sz w:val="20"/>
          <w:szCs w:val="20"/>
        </w:rPr>
        <w:t>scaling factor</w:t>
      </w:r>
      <w:r w:rsidR="0075547D">
        <w:rPr>
          <w:rFonts w:eastAsia="宋体" w:cs="Times New Roman"/>
          <w:strike/>
          <w:sz w:val="20"/>
          <w:szCs w:val="20"/>
        </w:rPr>
        <w:t xml:space="preserve"> </w:t>
      </w:r>
      <w:r>
        <w:rPr>
          <w:rFonts w:eastAsia="宋体" w:cs="Times New Roman" w:hint="eastAsia"/>
          <w:sz w:val="20"/>
          <w:szCs w:val="20"/>
        </w:rPr>
        <w:t>’</w:t>
      </w:r>
      <w:r>
        <w:rPr>
          <w:rFonts w:eastAsia="宋体" w:cs="Times New Roman" w:hint="eastAsia"/>
          <w:sz w:val="20"/>
          <w:szCs w:val="20"/>
        </w:rPr>
        <w:t>P</w:t>
      </w:r>
      <w:r>
        <w:rPr>
          <w:rFonts w:eastAsia="宋体" w:cs="Times New Roman" w:hint="eastAsia"/>
          <w:sz w:val="20"/>
          <w:szCs w:val="20"/>
        </w:rPr>
        <w:t>’</w:t>
      </w:r>
      <w:r>
        <w:rPr>
          <w:rFonts w:eastAsia="宋体" w:cs="Times New Roman" w:hint="eastAsia"/>
          <w:sz w:val="20"/>
          <w:szCs w:val="20"/>
        </w:rPr>
        <w:t xml:space="preserve"> for L1 serving cell measurement, L3 </w:t>
      </w:r>
      <w:proofErr w:type="spellStart"/>
      <w:r>
        <w:rPr>
          <w:rFonts w:eastAsia="宋体" w:cs="Times New Roman" w:hint="eastAsia"/>
          <w:sz w:val="20"/>
          <w:szCs w:val="20"/>
        </w:rPr>
        <w:t>neighbouring</w:t>
      </w:r>
      <w:proofErr w:type="spellEnd"/>
      <w:r>
        <w:rPr>
          <w:rFonts w:eastAsia="宋体" w:cs="Times New Roman" w:hint="eastAsia"/>
          <w:sz w:val="20"/>
          <w:szCs w:val="20"/>
        </w:rPr>
        <w:t xml:space="preserve"> cell intra-frequency measurement without MG and inter-frequency measurement without MG should be introduced. The impacted requirements including:</w:t>
      </w:r>
    </w:p>
    <w:p w14:paraId="28FD176F" w14:textId="77777777" w:rsidR="00BD161D" w:rsidRDefault="00000000">
      <w:pPr>
        <w:pStyle w:val="af9"/>
        <w:numPr>
          <w:ilvl w:val="3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>Radio link monitoring</w:t>
      </w:r>
    </w:p>
    <w:p w14:paraId="1078D1C6" w14:textId="77777777" w:rsidR="00BD161D" w:rsidRDefault="00000000">
      <w:pPr>
        <w:pStyle w:val="af9"/>
        <w:numPr>
          <w:ilvl w:val="3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>Link recovery procedures</w:t>
      </w:r>
    </w:p>
    <w:p w14:paraId="0614413F" w14:textId="77777777" w:rsidR="00BD161D" w:rsidRDefault="00000000">
      <w:pPr>
        <w:pStyle w:val="af9"/>
        <w:numPr>
          <w:ilvl w:val="3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>L1-RSRP/SINR measurements for Reporting</w:t>
      </w:r>
    </w:p>
    <w:p w14:paraId="5217B6B9" w14:textId="77777777" w:rsidR="00BD161D" w:rsidRDefault="00000000">
      <w:pPr>
        <w:pStyle w:val="af9"/>
        <w:numPr>
          <w:ilvl w:val="3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>intra-frequency measurements without measurement gaps for ATG</w:t>
      </w:r>
    </w:p>
    <w:p w14:paraId="72C9B0D2" w14:textId="77777777" w:rsidR="00BD161D" w:rsidRDefault="00000000">
      <w:pPr>
        <w:pStyle w:val="af9"/>
        <w:numPr>
          <w:ilvl w:val="3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>Inter frequency measurements without measurement gaps for ATG</w:t>
      </w:r>
    </w:p>
    <w:p w14:paraId="3E914B6B" w14:textId="77777777" w:rsidR="00BD161D" w:rsidRDefault="00000000">
      <w:pPr>
        <w:pStyle w:val="af9"/>
        <w:numPr>
          <w:ilvl w:val="3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>CSI-RS based intra-frequency measurements</w:t>
      </w:r>
    </w:p>
    <w:p w14:paraId="36B207D8" w14:textId="77777777" w:rsidR="00C7675C" w:rsidRPr="00C7675C" w:rsidRDefault="00C7675C" w:rsidP="00C7675C">
      <w:pPr>
        <w:rPr>
          <w:rFonts w:eastAsia="宋体"/>
          <w:color w:val="FF0000"/>
          <w:sz w:val="20"/>
          <w:szCs w:val="20"/>
          <w:lang w:val="en-GB"/>
        </w:rPr>
      </w:pPr>
    </w:p>
    <w:p w14:paraId="31579D9B" w14:textId="3E6712F5" w:rsidR="00C7675C" w:rsidRPr="00D6109A" w:rsidRDefault="00D6109A">
      <w:pPr>
        <w:rPr>
          <w:rFonts w:eastAsiaTheme="minorEastAsia"/>
          <w:b/>
          <w:sz w:val="20"/>
          <w:szCs w:val="20"/>
          <w:u w:val="single"/>
        </w:rPr>
      </w:pPr>
      <w:r w:rsidRPr="002F5724">
        <w:rPr>
          <w:rFonts w:eastAsiaTheme="minorEastAsia"/>
          <w:b/>
          <w:sz w:val="20"/>
          <w:szCs w:val="20"/>
          <w:u w:val="single"/>
        </w:rPr>
        <w:t>A</w:t>
      </w:r>
      <w:r w:rsidR="00350954" w:rsidRPr="002F5724">
        <w:rPr>
          <w:rFonts w:eastAsiaTheme="minorEastAsia"/>
          <w:b/>
          <w:sz w:val="20"/>
          <w:szCs w:val="20"/>
          <w:u w:val="single"/>
        </w:rPr>
        <w:t xml:space="preserve">greement: </w:t>
      </w:r>
      <w:r w:rsidR="0075547D" w:rsidRPr="002F5724">
        <w:rPr>
          <w:rFonts w:eastAsiaTheme="minorEastAsia"/>
          <w:b/>
          <w:sz w:val="20"/>
          <w:szCs w:val="20"/>
          <w:u w:val="single"/>
        </w:rPr>
        <w:t>Option 1</w:t>
      </w:r>
    </w:p>
    <w:p w14:paraId="19710019" w14:textId="77777777" w:rsidR="00BD161D" w:rsidRDefault="00BD161D">
      <w:pPr>
        <w:rPr>
          <w:b/>
          <w:sz w:val="20"/>
          <w:szCs w:val="20"/>
          <w:highlight w:val="yellow"/>
          <w:u w:val="single"/>
          <w:lang w:eastAsia="ko-KR"/>
        </w:rPr>
      </w:pPr>
    </w:p>
    <w:p w14:paraId="1F1D9148" w14:textId="4BEF04D8" w:rsidR="00BD161D" w:rsidRDefault="00000000">
      <w:pPr>
        <w:rPr>
          <w:b/>
          <w:sz w:val="20"/>
          <w:szCs w:val="20"/>
          <w:highlight w:val="yellow"/>
          <w:u w:val="single"/>
          <w:lang w:eastAsia="ko-KR"/>
        </w:rPr>
      </w:pPr>
      <w:r w:rsidRPr="00D6109A">
        <w:rPr>
          <w:rFonts w:hint="eastAsia"/>
          <w:b/>
          <w:sz w:val="20"/>
          <w:szCs w:val="20"/>
          <w:u w:val="single"/>
          <w:lang w:eastAsia="ko-KR"/>
        </w:rPr>
        <w:t xml:space="preserve">Issue 4-1-3: </w:t>
      </w:r>
      <w:r w:rsidR="00C7675C" w:rsidRPr="00D6109A">
        <w:rPr>
          <w:b/>
          <w:sz w:val="20"/>
          <w:szCs w:val="20"/>
          <w:u w:val="single"/>
          <w:lang w:eastAsia="ko-KR"/>
        </w:rPr>
        <w:t>Sharing</w:t>
      </w:r>
      <w:r w:rsidRPr="00D6109A">
        <w:rPr>
          <w:rFonts w:hint="eastAsia"/>
          <w:b/>
          <w:sz w:val="20"/>
          <w:szCs w:val="20"/>
          <w:u w:val="single"/>
          <w:lang w:eastAsia="ko-KR"/>
        </w:rPr>
        <w:t xml:space="preserve"> factor between L1 and L3 measurements if introduced</w:t>
      </w:r>
    </w:p>
    <w:p w14:paraId="4C5B3499" w14:textId="77777777" w:rsidR="00BD161D" w:rsidRDefault="00000000">
      <w:pPr>
        <w:pStyle w:val="af9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val="en-GB"/>
        </w:rPr>
      </w:pPr>
      <w:r>
        <w:rPr>
          <w:rFonts w:eastAsia="宋体" w:cs="Times New Roman" w:hint="eastAsia"/>
          <w:sz w:val="20"/>
          <w:szCs w:val="20"/>
          <w:lang w:val="en-GB"/>
        </w:rPr>
        <w:t xml:space="preserve">Option 1: P value for L1 serving cell measurement is defined as </w:t>
      </w:r>
    </w:p>
    <w:p w14:paraId="61FDA952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MS Mincho"/>
          <w:bCs/>
          <w:sz w:val="20"/>
          <w:szCs w:val="20"/>
        </w:rPr>
      </w:pPr>
      <w:proofErr w:type="spellStart"/>
      <w:r>
        <w:rPr>
          <w:rFonts w:eastAsia="MS Mincho" w:hint="eastAsia"/>
          <w:bCs/>
          <w:sz w:val="20"/>
          <w:szCs w:val="20"/>
        </w:rPr>
        <w:t>P</w:t>
      </w:r>
      <w:r>
        <w:rPr>
          <w:rFonts w:eastAsia="MS Mincho" w:hint="eastAsia"/>
          <w:bCs/>
          <w:sz w:val="20"/>
          <w:szCs w:val="20"/>
          <w:vertAlign w:val="subscript"/>
        </w:rPr>
        <w:t>sharing</w:t>
      </w:r>
      <w:proofErr w:type="spellEnd"/>
      <w:r>
        <w:rPr>
          <w:rFonts w:eastAsia="MS Mincho" w:hint="eastAsia"/>
          <w:bCs/>
          <w:sz w:val="20"/>
          <w:szCs w:val="20"/>
          <w:vertAlign w:val="subscript"/>
        </w:rPr>
        <w:t xml:space="preserve"> factor</w:t>
      </w:r>
      <w:r>
        <w:rPr>
          <w:rFonts w:eastAsia="MS Mincho" w:hint="eastAsia"/>
          <w:bCs/>
          <w:sz w:val="20"/>
          <w:szCs w:val="20"/>
        </w:rPr>
        <w:t xml:space="preserve"> * </w:t>
      </w:r>
      <w:proofErr w:type="spellStart"/>
      <w:r>
        <w:rPr>
          <w:rFonts w:eastAsia="MS Mincho" w:hint="eastAsia"/>
          <w:bCs/>
          <w:sz w:val="20"/>
          <w:szCs w:val="20"/>
        </w:rPr>
        <w:t>N</w:t>
      </w:r>
      <w:r>
        <w:rPr>
          <w:rFonts w:eastAsia="MS Mincho" w:hint="eastAsia"/>
          <w:bCs/>
          <w:sz w:val="20"/>
          <w:szCs w:val="20"/>
          <w:vertAlign w:val="subscript"/>
        </w:rPr>
        <w:t>total</w:t>
      </w:r>
      <w:proofErr w:type="spellEnd"/>
      <w:r>
        <w:rPr>
          <w:rFonts w:eastAsia="MS Mincho" w:hint="eastAsia"/>
          <w:bCs/>
          <w:sz w:val="20"/>
          <w:szCs w:val="20"/>
        </w:rPr>
        <w:t xml:space="preserve"> / </w:t>
      </w:r>
      <w:proofErr w:type="spellStart"/>
      <w:r>
        <w:rPr>
          <w:rFonts w:eastAsia="MS Mincho" w:hint="eastAsia"/>
          <w:bCs/>
          <w:sz w:val="20"/>
          <w:szCs w:val="20"/>
        </w:rPr>
        <w:t>N</w:t>
      </w:r>
      <w:r>
        <w:rPr>
          <w:rFonts w:eastAsia="MS Mincho" w:hint="eastAsia"/>
          <w:bCs/>
          <w:sz w:val="20"/>
          <w:szCs w:val="20"/>
          <w:vertAlign w:val="subscript"/>
        </w:rPr>
        <w:t>outside_MG</w:t>
      </w:r>
      <w:proofErr w:type="spellEnd"/>
      <w:r>
        <w:rPr>
          <w:rFonts w:eastAsia="MS Mincho" w:hint="eastAsia"/>
          <w:bCs/>
          <w:sz w:val="20"/>
          <w:szCs w:val="20"/>
        </w:rPr>
        <w:t xml:space="preserve"> with </w:t>
      </w:r>
      <w:proofErr w:type="spellStart"/>
      <w:r>
        <w:rPr>
          <w:rFonts w:eastAsia="MS Mincho" w:hint="eastAsia"/>
          <w:bCs/>
          <w:sz w:val="20"/>
          <w:szCs w:val="20"/>
        </w:rPr>
        <w:t>N</w:t>
      </w:r>
      <w:r>
        <w:rPr>
          <w:rFonts w:eastAsia="MS Mincho" w:hint="eastAsia"/>
          <w:bCs/>
          <w:sz w:val="20"/>
          <w:szCs w:val="20"/>
          <w:vertAlign w:val="subscript"/>
        </w:rPr>
        <w:t>available</w:t>
      </w:r>
      <w:proofErr w:type="spellEnd"/>
      <w:r>
        <w:rPr>
          <w:rFonts w:eastAsia="MS Mincho" w:hint="eastAsia"/>
          <w:bCs/>
          <w:sz w:val="20"/>
          <w:szCs w:val="20"/>
        </w:rPr>
        <w:t xml:space="preserve"> = 0</w:t>
      </w:r>
    </w:p>
    <w:p w14:paraId="5B55A387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MS Mincho"/>
          <w:bCs/>
          <w:sz w:val="20"/>
          <w:szCs w:val="20"/>
        </w:rPr>
      </w:pPr>
      <w:proofErr w:type="spellStart"/>
      <w:r>
        <w:rPr>
          <w:rFonts w:eastAsia="MS Mincho" w:hint="eastAsia"/>
          <w:bCs/>
          <w:sz w:val="20"/>
          <w:szCs w:val="20"/>
        </w:rPr>
        <w:t>N</w:t>
      </w:r>
      <w:r>
        <w:rPr>
          <w:rFonts w:eastAsia="MS Mincho" w:hint="eastAsia"/>
          <w:bCs/>
          <w:sz w:val="20"/>
          <w:szCs w:val="20"/>
          <w:vertAlign w:val="subscript"/>
        </w:rPr>
        <w:t>total</w:t>
      </w:r>
      <w:proofErr w:type="spellEnd"/>
      <w:r>
        <w:rPr>
          <w:rFonts w:eastAsia="MS Mincho" w:hint="eastAsia"/>
          <w:bCs/>
          <w:sz w:val="20"/>
          <w:szCs w:val="20"/>
        </w:rPr>
        <w:t xml:space="preserve"> / </w:t>
      </w:r>
      <w:proofErr w:type="spellStart"/>
      <w:r>
        <w:rPr>
          <w:rFonts w:eastAsia="MS Mincho" w:hint="eastAsia"/>
          <w:bCs/>
          <w:sz w:val="20"/>
          <w:szCs w:val="20"/>
        </w:rPr>
        <w:t>N</w:t>
      </w:r>
      <w:r>
        <w:rPr>
          <w:rFonts w:eastAsia="MS Mincho" w:hint="eastAsia"/>
          <w:bCs/>
          <w:sz w:val="20"/>
          <w:szCs w:val="20"/>
          <w:vertAlign w:val="subscript"/>
        </w:rPr>
        <w:t>available</w:t>
      </w:r>
      <w:proofErr w:type="spellEnd"/>
      <w:r>
        <w:rPr>
          <w:rFonts w:eastAsia="MS Mincho" w:hint="eastAsia"/>
          <w:bCs/>
          <w:sz w:val="20"/>
          <w:szCs w:val="20"/>
        </w:rPr>
        <w:t xml:space="preserve"> with </w:t>
      </w:r>
      <w:proofErr w:type="spellStart"/>
      <w:r>
        <w:rPr>
          <w:rFonts w:eastAsia="MS Mincho" w:hint="eastAsia"/>
          <w:bCs/>
          <w:sz w:val="20"/>
          <w:szCs w:val="20"/>
        </w:rPr>
        <w:t>N</w:t>
      </w:r>
      <w:r>
        <w:rPr>
          <w:rFonts w:eastAsia="MS Mincho" w:hint="eastAsia"/>
          <w:bCs/>
          <w:sz w:val="20"/>
          <w:szCs w:val="20"/>
          <w:vertAlign w:val="subscript"/>
        </w:rPr>
        <w:t>available</w:t>
      </w:r>
      <w:proofErr w:type="spellEnd"/>
      <w:r>
        <w:rPr>
          <w:rFonts w:eastAsia="MS Mincho" w:hint="eastAsia"/>
          <w:bCs/>
          <w:sz w:val="20"/>
          <w:szCs w:val="20"/>
        </w:rPr>
        <w:t xml:space="preserve"> &gt; 0</w:t>
      </w:r>
    </w:p>
    <w:p w14:paraId="7F6F4BBB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MS Mincho"/>
          <w:bCs/>
          <w:sz w:val="20"/>
          <w:szCs w:val="20"/>
        </w:rPr>
      </w:pPr>
      <w:r>
        <w:rPr>
          <w:rFonts w:eastAsia="MS Mincho" w:hint="eastAsia"/>
          <w:bCs/>
          <w:sz w:val="20"/>
          <w:szCs w:val="20"/>
        </w:rPr>
        <w:t>For a window W of duration max(T</w:t>
      </w:r>
      <w:r>
        <w:rPr>
          <w:rFonts w:eastAsia="MS Mincho" w:hint="eastAsia"/>
          <w:bCs/>
          <w:sz w:val="20"/>
          <w:szCs w:val="20"/>
          <w:vertAlign w:val="subscript"/>
        </w:rPr>
        <w:t>L1</w:t>
      </w:r>
      <w:r>
        <w:rPr>
          <w:rFonts w:eastAsia="MS Mincho" w:hint="eastAsia"/>
          <w:bCs/>
          <w:sz w:val="20"/>
          <w:szCs w:val="20"/>
        </w:rPr>
        <w:t xml:space="preserve">,  </w:t>
      </w:r>
      <w:proofErr w:type="spellStart"/>
      <w:r>
        <w:rPr>
          <w:rFonts w:eastAsia="MS Mincho" w:hint="eastAsia"/>
          <w:bCs/>
          <w:sz w:val="20"/>
          <w:szCs w:val="20"/>
        </w:rPr>
        <w:t>MGRP</w:t>
      </w:r>
      <w:r>
        <w:rPr>
          <w:rFonts w:eastAsia="MS Mincho" w:hint="eastAsia"/>
          <w:bCs/>
          <w:sz w:val="20"/>
          <w:szCs w:val="20"/>
          <w:vertAlign w:val="subscript"/>
        </w:rPr>
        <w:t>max</w:t>
      </w:r>
      <w:proofErr w:type="spellEnd"/>
      <w:r>
        <w:rPr>
          <w:rFonts w:eastAsia="MS Mincho" w:hint="eastAsia"/>
          <w:bCs/>
          <w:sz w:val="20"/>
          <w:szCs w:val="20"/>
        </w:rPr>
        <w:t xml:space="preserve">), where </w:t>
      </w:r>
      <w:proofErr w:type="spellStart"/>
      <w:r>
        <w:rPr>
          <w:rFonts w:eastAsia="MS Mincho" w:hint="eastAsia"/>
          <w:bCs/>
          <w:sz w:val="20"/>
          <w:szCs w:val="20"/>
        </w:rPr>
        <w:t>MGRP</w:t>
      </w:r>
      <w:r>
        <w:rPr>
          <w:rFonts w:eastAsia="MS Mincho" w:hint="eastAsia"/>
          <w:bCs/>
          <w:sz w:val="20"/>
          <w:szCs w:val="20"/>
          <w:vertAlign w:val="subscript"/>
        </w:rPr>
        <w:t>max</w:t>
      </w:r>
      <w:proofErr w:type="spellEnd"/>
      <w:r>
        <w:rPr>
          <w:rFonts w:eastAsia="MS Mincho" w:hint="eastAsia"/>
          <w:bCs/>
          <w:sz w:val="20"/>
          <w:szCs w:val="20"/>
        </w:rPr>
        <w:t xml:space="preserve"> is the maximum MGRP across all configured per-UE measurement gaps, and starting at the beginning of any  resource occasion: </w:t>
      </w:r>
    </w:p>
    <w:p w14:paraId="6BB92F08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MS Mincho"/>
          <w:bCs/>
          <w:sz w:val="20"/>
          <w:szCs w:val="20"/>
        </w:rPr>
      </w:pPr>
      <w:proofErr w:type="spellStart"/>
      <w:r>
        <w:rPr>
          <w:rFonts w:eastAsia="MS Mincho" w:hint="eastAsia"/>
          <w:bCs/>
          <w:sz w:val="20"/>
          <w:szCs w:val="20"/>
        </w:rPr>
        <w:t>N</w:t>
      </w:r>
      <w:r>
        <w:rPr>
          <w:rFonts w:eastAsia="MS Mincho" w:hint="eastAsia"/>
          <w:bCs/>
          <w:sz w:val="20"/>
          <w:szCs w:val="20"/>
          <w:vertAlign w:val="subscript"/>
        </w:rPr>
        <w:t>total</w:t>
      </w:r>
      <w:proofErr w:type="spellEnd"/>
      <w:r>
        <w:rPr>
          <w:rFonts w:eastAsia="MS Mincho" w:hint="eastAsia"/>
          <w:bCs/>
          <w:sz w:val="20"/>
          <w:szCs w:val="20"/>
        </w:rPr>
        <w:t xml:space="preserve"> is the total number of L1-measurement-RS resource occasions within the window, including those overlapped with measurement gap occasions or SMTC occasions within the window W, and</w:t>
      </w:r>
    </w:p>
    <w:p w14:paraId="3A4E278A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MS Mincho"/>
          <w:bCs/>
          <w:sz w:val="20"/>
          <w:szCs w:val="20"/>
        </w:rPr>
      </w:pPr>
      <w:proofErr w:type="spellStart"/>
      <w:r>
        <w:rPr>
          <w:rFonts w:eastAsia="MS Mincho" w:hint="eastAsia"/>
          <w:bCs/>
          <w:sz w:val="20"/>
          <w:szCs w:val="20"/>
        </w:rPr>
        <w:t>N</w:t>
      </w:r>
      <w:r>
        <w:rPr>
          <w:rFonts w:eastAsia="MS Mincho" w:hint="eastAsia"/>
          <w:bCs/>
          <w:sz w:val="20"/>
          <w:szCs w:val="20"/>
          <w:vertAlign w:val="subscript"/>
        </w:rPr>
        <w:t>outside_MG</w:t>
      </w:r>
      <w:proofErr w:type="spellEnd"/>
      <w:r>
        <w:rPr>
          <w:rFonts w:eastAsia="MS Mincho" w:hint="eastAsia"/>
          <w:bCs/>
          <w:sz w:val="20"/>
          <w:szCs w:val="20"/>
        </w:rPr>
        <w:t xml:space="preserve"> is the number of L1-measurement-RS resource occasions that are not overlapped with any measurement gap occasion within the window W</w:t>
      </w:r>
    </w:p>
    <w:p w14:paraId="634FA6AF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MS Mincho"/>
          <w:bCs/>
          <w:sz w:val="20"/>
          <w:szCs w:val="20"/>
        </w:rPr>
      </w:pPr>
      <w:proofErr w:type="spellStart"/>
      <w:r>
        <w:rPr>
          <w:rFonts w:eastAsia="MS Mincho" w:hint="eastAsia"/>
          <w:bCs/>
          <w:sz w:val="20"/>
          <w:szCs w:val="20"/>
        </w:rPr>
        <w:t>N</w:t>
      </w:r>
      <w:r>
        <w:rPr>
          <w:rFonts w:eastAsia="MS Mincho" w:hint="eastAsia"/>
          <w:bCs/>
          <w:sz w:val="20"/>
          <w:szCs w:val="20"/>
          <w:vertAlign w:val="subscript"/>
        </w:rPr>
        <w:t>available</w:t>
      </w:r>
      <w:proofErr w:type="spellEnd"/>
      <w:r>
        <w:rPr>
          <w:rFonts w:eastAsia="MS Mincho" w:hint="eastAsia"/>
          <w:bCs/>
          <w:sz w:val="20"/>
          <w:szCs w:val="20"/>
        </w:rPr>
        <w:t xml:space="preserve"> is </w:t>
      </w:r>
    </w:p>
    <w:p w14:paraId="01BA6158" w14:textId="77777777" w:rsidR="00BD161D" w:rsidRDefault="00000000">
      <w:pPr>
        <w:pStyle w:val="af9"/>
        <w:numPr>
          <w:ilvl w:val="2"/>
          <w:numId w:val="4"/>
        </w:numPr>
        <w:ind w:firstLineChars="0"/>
        <w:rPr>
          <w:rFonts w:eastAsia="MS Mincho"/>
          <w:bCs/>
          <w:sz w:val="20"/>
          <w:szCs w:val="20"/>
        </w:rPr>
      </w:pPr>
      <w:r>
        <w:rPr>
          <w:rFonts w:eastAsia="MS Mincho" w:hint="eastAsia"/>
          <w:bCs/>
          <w:sz w:val="20"/>
          <w:szCs w:val="20"/>
        </w:rPr>
        <w:t xml:space="preserve">the number of L1-measurement-RS resource occasions that are not overlapped with any measurement gap occasion nor any SMTC occasion within the window W, and </w:t>
      </w:r>
    </w:p>
    <w:p w14:paraId="6635114F" w14:textId="77777777" w:rsidR="00BD161D" w:rsidRDefault="00000000">
      <w:pPr>
        <w:pStyle w:val="af9"/>
        <w:numPr>
          <w:ilvl w:val="2"/>
          <w:numId w:val="4"/>
        </w:numPr>
        <w:ind w:firstLineChars="0"/>
        <w:rPr>
          <w:rFonts w:eastAsia="MS Mincho"/>
          <w:bCs/>
          <w:sz w:val="20"/>
          <w:szCs w:val="20"/>
        </w:rPr>
      </w:pPr>
      <w:r>
        <w:rPr>
          <w:rFonts w:eastAsia="MS Mincho" w:hint="eastAsia"/>
          <w:bCs/>
          <w:sz w:val="20"/>
          <w:szCs w:val="20"/>
        </w:rPr>
        <w:t xml:space="preserve">same as </w:t>
      </w:r>
      <w:proofErr w:type="spellStart"/>
      <w:r>
        <w:rPr>
          <w:rFonts w:eastAsia="MS Mincho" w:hint="eastAsia"/>
          <w:bCs/>
          <w:sz w:val="20"/>
          <w:szCs w:val="20"/>
        </w:rPr>
        <w:t>N</w:t>
      </w:r>
      <w:r>
        <w:rPr>
          <w:rFonts w:eastAsia="MS Mincho" w:hint="eastAsia"/>
          <w:bCs/>
          <w:sz w:val="20"/>
          <w:szCs w:val="20"/>
          <w:vertAlign w:val="subscript"/>
        </w:rPr>
        <w:t>outside_MG</w:t>
      </w:r>
      <w:proofErr w:type="spellEnd"/>
      <w:r>
        <w:rPr>
          <w:rFonts w:eastAsia="MS Mincho" w:hint="eastAsia"/>
          <w:bCs/>
          <w:sz w:val="20"/>
          <w:szCs w:val="20"/>
        </w:rPr>
        <w:t xml:space="preserve">, otherwise </w:t>
      </w:r>
    </w:p>
    <w:p w14:paraId="1CE5E137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MS Mincho"/>
          <w:bCs/>
          <w:sz w:val="20"/>
          <w:szCs w:val="20"/>
        </w:rPr>
      </w:pPr>
      <w:r>
        <w:rPr>
          <w:rFonts w:eastAsia="MS Mincho" w:hint="eastAsia"/>
          <w:bCs/>
          <w:sz w:val="20"/>
          <w:szCs w:val="20"/>
        </w:rPr>
        <w:t>T</w:t>
      </w:r>
      <w:r>
        <w:rPr>
          <w:rFonts w:eastAsia="MS Mincho" w:hint="eastAsia"/>
          <w:bCs/>
          <w:sz w:val="20"/>
          <w:szCs w:val="20"/>
          <w:vertAlign w:val="subscript"/>
        </w:rPr>
        <w:t>L1</w:t>
      </w:r>
      <w:r>
        <w:rPr>
          <w:rFonts w:eastAsia="MS Mincho" w:hint="eastAsia"/>
          <w:bCs/>
          <w:sz w:val="20"/>
          <w:szCs w:val="20"/>
        </w:rPr>
        <w:t xml:space="preserve"> is periodicity of the target L1-measurement-RS</w:t>
      </w:r>
    </w:p>
    <w:p w14:paraId="39FDB979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MS Mincho"/>
          <w:bCs/>
          <w:sz w:val="20"/>
          <w:szCs w:val="20"/>
        </w:rPr>
      </w:pPr>
      <w:proofErr w:type="spellStart"/>
      <w:r>
        <w:rPr>
          <w:rFonts w:eastAsia="MS Mincho" w:hint="eastAsia"/>
          <w:bCs/>
          <w:sz w:val="20"/>
          <w:szCs w:val="20"/>
        </w:rPr>
        <w:t>P</w:t>
      </w:r>
      <w:r>
        <w:rPr>
          <w:rFonts w:eastAsia="MS Mincho" w:hint="eastAsia"/>
          <w:bCs/>
          <w:sz w:val="20"/>
          <w:szCs w:val="20"/>
          <w:vertAlign w:val="subscript"/>
        </w:rPr>
        <w:t>sharing</w:t>
      </w:r>
      <w:proofErr w:type="spellEnd"/>
      <w:r>
        <w:rPr>
          <w:rFonts w:eastAsia="MS Mincho" w:hint="eastAsia"/>
          <w:bCs/>
          <w:sz w:val="20"/>
          <w:szCs w:val="20"/>
          <w:vertAlign w:val="subscript"/>
        </w:rPr>
        <w:t xml:space="preserve"> factor</w:t>
      </w:r>
      <w:r>
        <w:rPr>
          <w:rFonts w:eastAsia="MS Mincho" w:hint="eastAsia"/>
          <w:bCs/>
          <w:sz w:val="20"/>
          <w:szCs w:val="20"/>
        </w:rPr>
        <w:t xml:space="preserve"> = [3].</w:t>
      </w:r>
    </w:p>
    <w:p w14:paraId="55C11D2A" w14:textId="77777777" w:rsidR="00BD161D" w:rsidRDefault="00000000">
      <w:pPr>
        <w:pStyle w:val="af9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val="en-GB"/>
        </w:rPr>
      </w:pPr>
      <w:r>
        <w:rPr>
          <w:rFonts w:eastAsia="宋体" w:cs="Times New Roman" w:hint="eastAsia"/>
          <w:sz w:val="20"/>
          <w:szCs w:val="20"/>
          <w:lang w:val="en-GB"/>
        </w:rPr>
        <w:t xml:space="preserve">Option 2: P value for L3 intra-frequency measurement without gap and inter-frequency measurement without gap is defined as: </w:t>
      </w:r>
    </w:p>
    <w:p w14:paraId="6C88B5AA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MS Mincho"/>
          <w:bCs/>
          <w:sz w:val="20"/>
          <w:szCs w:val="20"/>
        </w:rPr>
      </w:pPr>
      <w:r>
        <w:rPr>
          <w:rFonts w:eastAsia="MS Mincho" w:hint="eastAsia"/>
          <w:bCs/>
          <w:sz w:val="20"/>
          <w:szCs w:val="20"/>
        </w:rPr>
        <w:t xml:space="preserve">P=1, </w:t>
      </w:r>
    </w:p>
    <w:p w14:paraId="53AE19B1" w14:textId="77777777" w:rsidR="00BD161D" w:rsidRDefault="00000000">
      <w:pPr>
        <w:pStyle w:val="af9"/>
        <w:numPr>
          <w:ilvl w:val="2"/>
          <w:numId w:val="4"/>
        </w:numPr>
        <w:ind w:firstLineChars="0"/>
        <w:rPr>
          <w:rFonts w:eastAsia="MS Mincho"/>
          <w:bCs/>
          <w:sz w:val="20"/>
          <w:szCs w:val="20"/>
        </w:rPr>
      </w:pPr>
      <w:r>
        <w:rPr>
          <w:rFonts w:eastAsia="MS Mincho" w:hint="eastAsia"/>
          <w:bCs/>
          <w:sz w:val="20"/>
          <w:szCs w:val="20"/>
        </w:rPr>
        <w:t>if only serving cell are measured (for intra-frequency measurement)</w:t>
      </w:r>
    </w:p>
    <w:p w14:paraId="591C7A89" w14:textId="77777777" w:rsidR="00BD161D" w:rsidRDefault="00000000">
      <w:pPr>
        <w:pStyle w:val="af9"/>
        <w:numPr>
          <w:ilvl w:val="2"/>
          <w:numId w:val="4"/>
        </w:numPr>
        <w:ind w:firstLineChars="0"/>
        <w:rPr>
          <w:rFonts w:eastAsia="MS Mincho"/>
          <w:bCs/>
          <w:sz w:val="20"/>
          <w:szCs w:val="20"/>
        </w:rPr>
      </w:pPr>
      <w:r>
        <w:rPr>
          <w:rFonts w:eastAsia="MS Mincho" w:hint="eastAsia"/>
          <w:bCs/>
          <w:sz w:val="20"/>
          <w:szCs w:val="20"/>
        </w:rPr>
        <w:lastRenderedPageBreak/>
        <w:t xml:space="preserve">if all of the reference signals configured for RLM, BFD, CBD or L1-RSRP for beam reporting outside measurement gap are not fully overlapped by SMTC occasions, or </w:t>
      </w:r>
    </w:p>
    <w:p w14:paraId="3495AE71" w14:textId="77777777" w:rsidR="00BD161D" w:rsidRDefault="00000000">
      <w:pPr>
        <w:pStyle w:val="af9"/>
        <w:numPr>
          <w:ilvl w:val="2"/>
          <w:numId w:val="4"/>
        </w:numPr>
        <w:ind w:firstLineChars="0"/>
        <w:rPr>
          <w:rFonts w:eastAsia="MS Mincho"/>
          <w:bCs/>
          <w:sz w:val="20"/>
          <w:szCs w:val="20"/>
        </w:rPr>
      </w:pPr>
      <w:r>
        <w:rPr>
          <w:rFonts w:eastAsia="MS Mincho" w:hint="eastAsia"/>
          <w:bCs/>
          <w:sz w:val="20"/>
          <w:szCs w:val="20"/>
        </w:rPr>
        <w:t>if all of the reference signal configured for RLM, BFD, CBD or L1-RSRP for beam reporting outside measurement gap and fully-overlapped by  SMTC occasions are not overlapped with any of the SSB symbols and the RSSI symbols, and 1 symbol before each consecutive SSB symbols and the RSSI symbols, and 1 symbol after each consecutive SSB symbols and the RSSI symbols, given that SSB-</w:t>
      </w:r>
      <w:proofErr w:type="spellStart"/>
      <w:r>
        <w:rPr>
          <w:rFonts w:eastAsia="MS Mincho" w:hint="eastAsia"/>
          <w:bCs/>
          <w:sz w:val="20"/>
          <w:szCs w:val="20"/>
        </w:rPr>
        <w:t>ToMeasure</w:t>
      </w:r>
      <w:proofErr w:type="spellEnd"/>
      <w:r>
        <w:rPr>
          <w:rFonts w:eastAsia="MS Mincho" w:hint="eastAsia"/>
          <w:bCs/>
          <w:sz w:val="20"/>
          <w:szCs w:val="20"/>
        </w:rPr>
        <w:t xml:space="preserve"> and SS-RSSI-Measurement are configured, and RSSI symbols are indicated by SS-RSSI-Measurement;</w:t>
      </w:r>
    </w:p>
    <w:p w14:paraId="6D51E244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MS Mincho"/>
          <w:bCs/>
          <w:sz w:val="20"/>
          <w:szCs w:val="20"/>
        </w:rPr>
      </w:pPr>
      <w:r>
        <w:rPr>
          <w:rFonts w:eastAsia="MS Mincho" w:hint="eastAsia"/>
          <w:bCs/>
          <w:sz w:val="20"/>
          <w:szCs w:val="20"/>
        </w:rPr>
        <w:t>P = 1.5 (</w:t>
      </w:r>
      <w:proofErr w:type="spellStart"/>
      <w:r>
        <w:rPr>
          <w:rFonts w:eastAsia="MS Mincho" w:hint="eastAsia"/>
          <w:bCs/>
          <w:sz w:val="20"/>
          <w:szCs w:val="20"/>
        </w:rPr>
        <w:t>P</w:t>
      </w:r>
      <w:r>
        <w:rPr>
          <w:rFonts w:eastAsia="MS Mincho" w:hint="eastAsia"/>
          <w:bCs/>
          <w:sz w:val="20"/>
          <w:szCs w:val="20"/>
          <w:vertAlign w:val="subscript"/>
        </w:rPr>
        <w:t>sharing</w:t>
      </w:r>
      <w:proofErr w:type="spellEnd"/>
      <w:r>
        <w:rPr>
          <w:rFonts w:eastAsia="MS Mincho" w:hint="eastAsia"/>
          <w:bCs/>
          <w:sz w:val="20"/>
          <w:szCs w:val="20"/>
          <w:vertAlign w:val="subscript"/>
        </w:rPr>
        <w:t xml:space="preserve"> factor</w:t>
      </w:r>
      <w:r>
        <w:rPr>
          <w:rFonts w:eastAsia="MS Mincho" w:hint="eastAsia"/>
          <w:bCs/>
          <w:sz w:val="20"/>
          <w:szCs w:val="20"/>
        </w:rPr>
        <w:t>/</w:t>
      </w:r>
      <w:proofErr w:type="spellStart"/>
      <w:r>
        <w:rPr>
          <w:rFonts w:eastAsia="MS Mincho" w:hint="eastAsia"/>
          <w:bCs/>
          <w:sz w:val="20"/>
          <w:szCs w:val="20"/>
        </w:rPr>
        <w:t>P</w:t>
      </w:r>
      <w:r>
        <w:rPr>
          <w:rFonts w:eastAsia="MS Mincho" w:hint="eastAsia"/>
          <w:bCs/>
          <w:sz w:val="20"/>
          <w:szCs w:val="20"/>
          <w:vertAlign w:val="subscript"/>
        </w:rPr>
        <w:t>sharing</w:t>
      </w:r>
      <w:proofErr w:type="spellEnd"/>
      <w:r>
        <w:rPr>
          <w:rFonts w:eastAsia="MS Mincho" w:hint="eastAsia"/>
          <w:bCs/>
          <w:sz w:val="20"/>
          <w:szCs w:val="20"/>
          <w:vertAlign w:val="subscript"/>
        </w:rPr>
        <w:t xml:space="preserve"> factor</w:t>
      </w:r>
      <w:r>
        <w:rPr>
          <w:rFonts w:eastAsia="MS Mincho" w:hint="eastAsia"/>
          <w:bCs/>
          <w:sz w:val="20"/>
          <w:szCs w:val="20"/>
        </w:rPr>
        <w:t>-1), otherwise.</w:t>
      </w:r>
    </w:p>
    <w:p w14:paraId="796233E6" w14:textId="77777777" w:rsidR="00BD161D" w:rsidRDefault="00BD161D">
      <w:pPr>
        <w:rPr>
          <w:b/>
          <w:sz w:val="20"/>
          <w:szCs w:val="20"/>
          <w:highlight w:val="yellow"/>
          <w:u w:val="single"/>
          <w:lang w:eastAsia="ko-KR"/>
        </w:rPr>
      </w:pPr>
    </w:p>
    <w:p w14:paraId="476DFFA8" w14:textId="727E6A17" w:rsidR="00BD161D" w:rsidRDefault="009427FD">
      <w:pPr>
        <w:rPr>
          <w:rFonts w:eastAsiaTheme="minorEastAsia"/>
          <w:b/>
          <w:bCs/>
          <w:iCs/>
          <w:sz w:val="20"/>
          <w:szCs w:val="20"/>
        </w:rPr>
      </w:pPr>
      <w:r w:rsidRPr="002F5724">
        <w:rPr>
          <w:rFonts w:eastAsiaTheme="minorEastAsia" w:hint="eastAsia"/>
          <w:b/>
          <w:bCs/>
          <w:iCs/>
          <w:sz w:val="20"/>
          <w:szCs w:val="20"/>
        </w:rPr>
        <w:t>Agreement</w:t>
      </w:r>
      <w:r w:rsidR="00350954" w:rsidRPr="002F5724">
        <w:rPr>
          <w:rFonts w:eastAsiaTheme="minorEastAsia"/>
          <w:b/>
          <w:bCs/>
          <w:iCs/>
          <w:sz w:val="20"/>
          <w:szCs w:val="20"/>
        </w:rPr>
        <w:t>: Option 1+Option 2</w:t>
      </w:r>
    </w:p>
    <w:p w14:paraId="61772039" w14:textId="77777777" w:rsidR="009427FD" w:rsidRDefault="009427FD">
      <w:pPr>
        <w:rPr>
          <w:b/>
          <w:sz w:val="20"/>
          <w:szCs w:val="20"/>
          <w:u w:val="single"/>
          <w:lang w:eastAsia="ko-KR"/>
        </w:rPr>
      </w:pPr>
    </w:p>
    <w:p w14:paraId="61F5A8AB" w14:textId="77777777" w:rsidR="00BD161D" w:rsidRPr="00D6109A" w:rsidRDefault="00000000">
      <w:pPr>
        <w:rPr>
          <w:b/>
          <w:sz w:val="20"/>
          <w:szCs w:val="20"/>
          <w:u w:val="single"/>
          <w:lang w:eastAsia="ko-KR"/>
        </w:rPr>
      </w:pPr>
      <w:r w:rsidRPr="00D6109A">
        <w:rPr>
          <w:rFonts w:hint="eastAsia"/>
          <w:b/>
          <w:sz w:val="20"/>
          <w:szCs w:val="20"/>
          <w:u w:val="single"/>
          <w:lang w:eastAsia="ko-KR"/>
        </w:rPr>
        <w:t>Issue 4-1-4: Phase antenna array impact for scheduling restriction</w:t>
      </w:r>
    </w:p>
    <w:p w14:paraId="2854A3C1" w14:textId="77777777" w:rsidR="00BD161D" w:rsidRDefault="00000000">
      <w:pPr>
        <w:pStyle w:val="af9"/>
        <w:numPr>
          <w:ilvl w:val="0"/>
          <w:numId w:val="4"/>
        </w:numPr>
        <w:ind w:firstLineChars="0"/>
        <w:rPr>
          <w:rFonts w:eastAsia="宋体" w:cs="Times New Roman"/>
          <w:sz w:val="20"/>
          <w:szCs w:val="20"/>
          <w:lang w:val="en-GB" w:eastAsia="ko-KR"/>
        </w:rPr>
      </w:pPr>
      <w:r>
        <w:rPr>
          <w:rFonts w:eastAsia="宋体" w:cs="Times New Roman" w:hint="eastAsia"/>
          <w:sz w:val="20"/>
          <w:szCs w:val="20"/>
        </w:rPr>
        <w:t>Option 1:</w:t>
      </w:r>
      <w:r>
        <w:rPr>
          <w:rFonts w:eastAsia="宋体" w:cs="Times New Roman" w:hint="eastAsia"/>
          <w:sz w:val="20"/>
          <w:szCs w:val="20"/>
          <w:lang w:val="en-GB"/>
        </w:rPr>
        <w:t xml:space="preserve"> </w:t>
      </w:r>
    </w:p>
    <w:p w14:paraId="521AF1B6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/>
          <w:sz w:val="20"/>
          <w:szCs w:val="20"/>
        </w:rPr>
        <w:t>w</w:t>
      </w:r>
      <w:proofErr w:type="spellStart"/>
      <w:r>
        <w:rPr>
          <w:rFonts w:eastAsia="宋体" w:cs="Times New Roman"/>
          <w:sz w:val="20"/>
          <w:szCs w:val="20"/>
          <w:lang w:val="en-GB" w:eastAsia="en-GB"/>
        </w:rPr>
        <w:t>hen</w:t>
      </w:r>
      <w:proofErr w:type="spellEnd"/>
      <w:r>
        <w:rPr>
          <w:rFonts w:eastAsia="宋体" w:cs="Times New Roman"/>
          <w:sz w:val="20"/>
          <w:szCs w:val="20"/>
          <w:lang w:val="en-GB" w:eastAsia="en-GB"/>
        </w:rPr>
        <w:t xml:space="preserve"> the </w:t>
      </w:r>
      <w:r>
        <w:rPr>
          <w:rFonts w:eastAsia="宋体" w:cs="Times New Roman"/>
          <w:sz w:val="20"/>
          <w:szCs w:val="20"/>
        </w:rPr>
        <w:t>ATG UE with phase array antenna</w:t>
      </w:r>
      <w:r>
        <w:rPr>
          <w:rFonts w:eastAsia="宋体" w:cs="Times New Roman"/>
          <w:sz w:val="20"/>
          <w:szCs w:val="20"/>
          <w:lang w:val="en-GB" w:eastAsia="en-GB"/>
        </w:rPr>
        <w:t xml:space="preserve"> performs intra-frequency </w:t>
      </w:r>
      <w:proofErr w:type="spellStart"/>
      <w:r>
        <w:rPr>
          <w:rFonts w:eastAsia="宋体" w:cs="Times New Roman"/>
          <w:sz w:val="20"/>
          <w:szCs w:val="20"/>
        </w:rPr>
        <w:t>neighbouring</w:t>
      </w:r>
      <w:proofErr w:type="spellEnd"/>
      <w:r>
        <w:rPr>
          <w:rFonts w:eastAsia="宋体" w:cs="Times New Roman"/>
          <w:sz w:val="20"/>
          <w:szCs w:val="20"/>
        </w:rPr>
        <w:t xml:space="preserve"> cell </w:t>
      </w:r>
      <w:r>
        <w:rPr>
          <w:rFonts w:eastAsia="宋体" w:cs="Times New Roman"/>
          <w:sz w:val="20"/>
          <w:szCs w:val="20"/>
          <w:lang w:val="en-GB" w:eastAsia="en-GB"/>
        </w:rPr>
        <w:t>measurements</w:t>
      </w:r>
      <w:r>
        <w:rPr>
          <w:rFonts w:eastAsia="宋体" w:cs="Times New Roman"/>
          <w:sz w:val="20"/>
          <w:szCs w:val="20"/>
        </w:rPr>
        <w:t xml:space="preserve"> in TDD band</w:t>
      </w:r>
      <w:r>
        <w:rPr>
          <w:rFonts w:eastAsia="宋体" w:cs="Times New Roman"/>
          <w:sz w:val="20"/>
          <w:szCs w:val="20"/>
          <w:lang w:val="en-GB" w:eastAsia="en-GB"/>
        </w:rPr>
        <w:t>, the following restrictions apply due to SS-RSRP or SS-SINR measurement</w:t>
      </w:r>
      <w:r>
        <w:rPr>
          <w:rFonts w:eastAsia="宋体" w:cs="Times New Roman"/>
          <w:sz w:val="20"/>
          <w:szCs w:val="20"/>
        </w:rPr>
        <w:t>:</w:t>
      </w:r>
    </w:p>
    <w:p w14:paraId="6EB7C1B5" w14:textId="77777777" w:rsidR="00BD161D" w:rsidRDefault="00000000">
      <w:pPr>
        <w:pStyle w:val="af9"/>
        <w:numPr>
          <w:ilvl w:val="2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/>
          <w:sz w:val="20"/>
          <w:szCs w:val="20"/>
        </w:rPr>
        <w:t xml:space="preserve">If </w:t>
      </w:r>
      <w:proofErr w:type="spellStart"/>
      <w:r>
        <w:rPr>
          <w:rFonts w:eastAsia="宋体" w:cs="Times New Roman"/>
          <w:sz w:val="20"/>
          <w:szCs w:val="20"/>
          <w:lang w:eastAsia="ja-JP"/>
        </w:rPr>
        <w:t>deriveSSB-IndexFromCell</w:t>
      </w:r>
      <w:proofErr w:type="spellEnd"/>
      <w:r>
        <w:rPr>
          <w:rFonts w:eastAsia="宋体" w:cs="Times New Roman"/>
          <w:sz w:val="20"/>
          <w:szCs w:val="20"/>
        </w:rPr>
        <w:t xml:space="preserve"> is enabled, the UE is not expected to receive PDCCH/PDSCH/TRS/CSI-RS for CQI on SSB symbols to be measured, and on 1 data symbol before each consecutive SSB symbols to be measured and 1 data symbol after each consecutive SSB symbols to be measured within SMTC window duration. If the high layer in TS 38.331 [2] signaling of smtc2 is configured, the SMTC periodicity follows smtc2; Otherwise SMTC periodicity follows smtc1.</w:t>
      </w:r>
    </w:p>
    <w:p w14:paraId="1A8F40DB" w14:textId="77777777" w:rsidR="00BD161D" w:rsidRDefault="00000000">
      <w:pPr>
        <w:pStyle w:val="af9"/>
        <w:numPr>
          <w:ilvl w:val="2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/>
          <w:sz w:val="20"/>
          <w:szCs w:val="20"/>
        </w:rPr>
        <w:t xml:space="preserve">If </w:t>
      </w:r>
      <w:proofErr w:type="spellStart"/>
      <w:r>
        <w:rPr>
          <w:rFonts w:eastAsia="宋体" w:cs="Times New Roman"/>
          <w:sz w:val="20"/>
          <w:szCs w:val="20"/>
          <w:lang w:eastAsia="ja-JP"/>
        </w:rPr>
        <w:t>deriveSSB-IndexFromCell</w:t>
      </w:r>
      <w:proofErr w:type="spellEnd"/>
      <w:r>
        <w:rPr>
          <w:rFonts w:eastAsia="宋体" w:cs="Times New Roman"/>
          <w:sz w:val="20"/>
          <w:szCs w:val="20"/>
        </w:rPr>
        <w:t xml:space="preserve"> is </w:t>
      </w:r>
      <w:r>
        <w:rPr>
          <w:rFonts w:eastAsia="宋体" w:cs="Times New Roman"/>
          <w:sz w:val="20"/>
          <w:szCs w:val="20"/>
          <w:lang w:eastAsia="ko-KR"/>
        </w:rPr>
        <w:t xml:space="preserve">not </w:t>
      </w:r>
      <w:r>
        <w:rPr>
          <w:rFonts w:eastAsia="宋体" w:cs="Times New Roman"/>
          <w:sz w:val="20"/>
          <w:szCs w:val="20"/>
        </w:rPr>
        <w:t xml:space="preserve">enabled, the UE is not expected to receive PDCCH/PDSCH/TRS/CSI-RS for CQI on all symbols within SMTC window duration. If the high layer in TS 38.331 [2] </w:t>
      </w:r>
      <w:proofErr w:type="spellStart"/>
      <w:r>
        <w:rPr>
          <w:rFonts w:eastAsia="宋体" w:cs="Times New Roman"/>
          <w:sz w:val="20"/>
          <w:szCs w:val="20"/>
        </w:rPr>
        <w:t>signalling</w:t>
      </w:r>
      <w:proofErr w:type="spellEnd"/>
      <w:r>
        <w:rPr>
          <w:rFonts w:eastAsia="宋体" w:cs="Times New Roman"/>
          <w:sz w:val="20"/>
          <w:szCs w:val="20"/>
        </w:rPr>
        <w:t xml:space="preserve"> of smtc2 is configured, the SMTC periodicity follows smtc2; Otherwise SMTC periodicity follows smtc1.</w:t>
      </w:r>
    </w:p>
    <w:p w14:paraId="04B7CE08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/>
          <w:sz w:val="20"/>
          <w:szCs w:val="20"/>
          <w:lang w:val="en-GB" w:eastAsia="en-GB"/>
        </w:rPr>
        <w:t>When the</w:t>
      </w:r>
      <w:r>
        <w:rPr>
          <w:rFonts w:eastAsia="宋体" w:cs="Times New Roman"/>
          <w:sz w:val="20"/>
          <w:szCs w:val="20"/>
        </w:rPr>
        <w:t xml:space="preserve"> ATG UE with phase array antenna</w:t>
      </w:r>
      <w:r>
        <w:rPr>
          <w:rFonts w:eastAsia="宋体" w:cs="Times New Roman"/>
          <w:sz w:val="20"/>
          <w:szCs w:val="20"/>
          <w:lang w:val="en-GB" w:eastAsia="en-GB"/>
        </w:rPr>
        <w:t xml:space="preserve"> performs intra-frequency </w:t>
      </w:r>
      <w:proofErr w:type="spellStart"/>
      <w:r>
        <w:rPr>
          <w:rFonts w:eastAsia="宋体" w:cs="Times New Roman"/>
          <w:sz w:val="20"/>
          <w:szCs w:val="20"/>
        </w:rPr>
        <w:t>neighbouring</w:t>
      </w:r>
      <w:proofErr w:type="spellEnd"/>
      <w:r>
        <w:rPr>
          <w:rFonts w:eastAsia="宋体" w:cs="Times New Roman"/>
          <w:sz w:val="20"/>
          <w:szCs w:val="20"/>
        </w:rPr>
        <w:t xml:space="preserve"> cell </w:t>
      </w:r>
      <w:r>
        <w:rPr>
          <w:rFonts w:eastAsia="宋体" w:cs="Times New Roman"/>
          <w:sz w:val="20"/>
          <w:szCs w:val="20"/>
          <w:lang w:val="en-GB" w:eastAsia="en-GB"/>
        </w:rPr>
        <w:t>measurements</w:t>
      </w:r>
      <w:r>
        <w:rPr>
          <w:rFonts w:eastAsia="宋体" w:cs="Times New Roman"/>
          <w:sz w:val="20"/>
          <w:szCs w:val="20"/>
        </w:rPr>
        <w:t xml:space="preserve"> in TDD band</w:t>
      </w:r>
      <w:r>
        <w:rPr>
          <w:rFonts w:eastAsia="宋体" w:cs="Times New Roman"/>
          <w:sz w:val="20"/>
          <w:szCs w:val="20"/>
          <w:lang w:val="en-GB" w:eastAsia="en-GB"/>
        </w:rPr>
        <w:t xml:space="preserve">, the following restrictions apply due to </w:t>
      </w:r>
      <w:r>
        <w:rPr>
          <w:rFonts w:eastAsia="宋体" w:cs="Times New Roman"/>
          <w:sz w:val="20"/>
          <w:szCs w:val="20"/>
          <w:lang w:eastAsia="en-GB"/>
        </w:rPr>
        <w:t>SS-RSRQ</w:t>
      </w:r>
      <w:r>
        <w:rPr>
          <w:rFonts w:eastAsia="宋体" w:cs="Times New Roman"/>
          <w:sz w:val="20"/>
          <w:szCs w:val="20"/>
          <w:lang w:val="en-GB" w:eastAsia="en-GB"/>
        </w:rPr>
        <w:t xml:space="preserve"> measurement</w:t>
      </w:r>
      <w:r>
        <w:rPr>
          <w:rFonts w:eastAsia="宋体" w:cs="Times New Roman"/>
          <w:sz w:val="20"/>
          <w:szCs w:val="20"/>
        </w:rPr>
        <w:t>:</w:t>
      </w:r>
    </w:p>
    <w:p w14:paraId="1A67AC6D" w14:textId="77777777" w:rsidR="00BD161D" w:rsidRDefault="00000000">
      <w:pPr>
        <w:pStyle w:val="af9"/>
        <w:numPr>
          <w:ilvl w:val="2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/>
          <w:sz w:val="20"/>
          <w:szCs w:val="20"/>
        </w:rPr>
        <w:t xml:space="preserve">If </w:t>
      </w:r>
      <w:proofErr w:type="spellStart"/>
      <w:r>
        <w:rPr>
          <w:rFonts w:eastAsia="宋体" w:cs="Times New Roman"/>
          <w:sz w:val="20"/>
          <w:szCs w:val="20"/>
          <w:lang w:eastAsia="ja-JP"/>
        </w:rPr>
        <w:t>deriveSSB-IndexFromCell</w:t>
      </w:r>
      <w:proofErr w:type="spellEnd"/>
      <w:r>
        <w:rPr>
          <w:rFonts w:eastAsia="宋体" w:cs="Times New Roman"/>
          <w:sz w:val="20"/>
          <w:szCs w:val="20"/>
        </w:rPr>
        <w:t xml:space="preserve"> is enabled, the UE is not expected to receive PDCCH/PDSCH/TRS/CSI-RS for CQI on SSB symbols to be measured, RSSI measurement symbols, and on 1 data symbol before each consecutive SSB to be measured/RSSI symbols and 1 data symbol after each consecutive SSB to be measured/RSSI symbols within SMTC window duration. If the high layer signaling of smtc2 is configured in TS 38.331 [2], the SMTC periodicity follows smtc2; Otherwise the SMTC periodicity follows smtc1.</w:t>
      </w:r>
    </w:p>
    <w:p w14:paraId="164E88D3" w14:textId="77777777" w:rsidR="00BD161D" w:rsidRDefault="00000000">
      <w:pPr>
        <w:pStyle w:val="af9"/>
        <w:numPr>
          <w:ilvl w:val="2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/>
          <w:sz w:val="20"/>
          <w:szCs w:val="20"/>
        </w:rPr>
        <w:t xml:space="preserve">If </w:t>
      </w:r>
      <w:proofErr w:type="spellStart"/>
      <w:r>
        <w:rPr>
          <w:rFonts w:eastAsia="宋体" w:cs="Times New Roman"/>
          <w:sz w:val="20"/>
          <w:szCs w:val="20"/>
          <w:lang w:eastAsia="ja-JP"/>
        </w:rPr>
        <w:t>deriveSSB-IndexFromCell</w:t>
      </w:r>
      <w:proofErr w:type="spellEnd"/>
      <w:r>
        <w:rPr>
          <w:rFonts w:eastAsia="宋体" w:cs="Times New Roman"/>
          <w:sz w:val="20"/>
          <w:szCs w:val="20"/>
        </w:rPr>
        <w:t xml:space="preserve"> is </w:t>
      </w:r>
      <w:r>
        <w:rPr>
          <w:rFonts w:eastAsia="宋体" w:cs="Times New Roman"/>
          <w:sz w:val="20"/>
          <w:szCs w:val="20"/>
          <w:lang w:eastAsia="ko-KR"/>
        </w:rPr>
        <w:t xml:space="preserve">not </w:t>
      </w:r>
      <w:r>
        <w:rPr>
          <w:rFonts w:eastAsia="宋体" w:cs="Times New Roman"/>
          <w:sz w:val="20"/>
          <w:szCs w:val="20"/>
        </w:rPr>
        <w:t xml:space="preserve">enabled, the UE is not expected to receive PDCCH/PDSCH/TRS/CSI-RS for CQI on all symbols within SMTC window duration. If the high layer in TS 38.331 [2] </w:t>
      </w:r>
      <w:proofErr w:type="spellStart"/>
      <w:r>
        <w:rPr>
          <w:rFonts w:eastAsia="宋体" w:cs="Times New Roman"/>
          <w:sz w:val="20"/>
          <w:szCs w:val="20"/>
        </w:rPr>
        <w:t>signalling</w:t>
      </w:r>
      <w:proofErr w:type="spellEnd"/>
      <w:r>
        <w:rPr>
          <w:rFonts w:eastAsia="宋体" w:cs="Times New Roman"/>
          <w:sz w:val="20"/>
          <w:szCs w:val="20"/>
        </w:rPr>
        <w:t xml:space="preserve"> of smtc2 is configured, the SMTC periodicity follows smtc2; Otherwise SMTC periodicity follows smtc1.</w:t>
      </w:r>
    </w:p>
    <w:p w14:paraId="5DE3B51B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宋体" w:cs="Times New Roman"/>
          <w:sz w:val="20"/>
          <w:szCs w:val="20"/>
          <w:lang w:val="en-GB" w:eastAsia="en-GB"/>
        </w:rPr>
      </w:pPr>
      <w:r>
        <w:rPr>
          <w:rFonts w:eastAsia="宋体" w:cs="Times New Roman"/>
          <w:sz w:val="20"/>
          <w:szCs w:val="20"/>
          <w:lang w:val="en-GB" w:eastAsia="en-GB"/>
        </w:rPr>
        <w:lastRenderedPageBreak/>
        <w:t xml:space="preserve">When </w:t>
      </w:r>
      <w:r>
        <w:rPr>
          <w:rFonts w:eastAsia="宋体" w:cs="Times New Roman"/>
          <w:sz w:val="20"/>
          <w:szCs w:val="20"/>
        </w:rPr>
        <w:t>ATG UE with phase array antenna</w:t>
      </w:r>
      <w:r>
        <w:rPr>
          <w:rFonts w:eastAsia="宋体" w:cs="Times New Roman"/>
          <w:sz w:val="20"/>
          <w:szCs w:val="20"/>
          <w:lang w:val="en-GB" w:eastAsia="en-GB"/>
        </w:rPr>
        <w:t xml:space="preserve"> performs int</w:t>
      </w:r>
      <w:r>
        <w:rPr>
          <w:rFonts w:eastAsia="宋体" w:cs="Times New Roman"/>
          <w:sz w:val="20"/>
          <w:szCs w:val="20"/>
          <w:lang w:val="en-GB"/>
        </w:rPr>
        <w:t>er</w:t>
      </w:r>
      <w:r>
        <w:rPr>
          <w:rFonts w:eastAsia="宋体" w:cs="Times New Roman"/>
          <w:sz w:val="20"/>
          <w:szCs w:val="20"/>
          <w:lang w:val="en-GB" w:eastAsia="en-GB"/>
        </w:rPr>
        <w:t>-frequency measurements</w:t>
      </w:r>
      <w:r>
        <w:rPr>
          <w:rFonts w:eastAsia="宋体" w:cs="Times New Roman"/>
          <w:sz w:val="20"/>
          <w:szCs w:val="20"/>
          <w:lang w:val="en-GB"/>
        </w:rPr>
        <w:t xml:space="preserve"> without measurement gaps</w:t>
      </w:r>
      <w:r>
        <w:rPr>
          <w:rFonts w:eastAsia="宋体" w:cs="Times New Roman"/>
          <w:sz w:val="20"/>
          <w:szCs w:val="20"/>
          <w:lang w:val="en-GB" w:eastAsia="en-GB"/>
        </w:rPr>
        <w:t xml:space="preserve"> in a TDD band, the following restrictions apply due to SS-RSRP or SS-SINR measurement </w:t>
      </w:r>
    </w:p>
    <w:p w14:paraId="03A7BE54" w14:textId="77777777" w:rsidR="00BD161D" w:rsidRDefault="00000000">
      <w:pPr>
        <w:pStyle w:val="af9"/>
        <w:numPr>
          <w:ilvl w:val="2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/>
          <w:sz w:val="20"/>
          <w:szCs w:val="20"/>
        </w:rPr>
        <w:t xml:space="preserve">UE is not expected to receive PUCCH/PUSCH/SRS on SSB symbols to be measured, and on 1 data symbol before each consecutive SSB symbols to be measured and 1 data symbol after each consecutive SSB symbols to be measured within SMTC window duration. </w:t>
      </w:r>
    </w:p>
    <w:p w14:paraId="553D571C" w14:textId="77777777" w:rsidR="00BD161D" w:rsidRDefault="00000000">
      <w:pPr>
        <w:pStyle w:val="af9"/>
        <w:numPr>
          <w:ilvl w:val="1"/>
          <w:numId w:val="4"/>
        </w:numPr>
        <w:ind w:firstLineChars="0"/>
        <w:rPr>
          <w:rFonts w:eastAsia="宋体" w:cs="Times New Roman"/>
          <w:sz w:val="20"/>
          <w:szCs w:val="20"/>
          <w:lang w:val="en-GB" w:eastAsia="en-GB"/>
        </w:rPr>
      </w:pPr>
      <w:r>
        <w:rPr>
          <w:rFonts w:eastAsia="宋体" w:cs="Times New Roman"/>
          <w:sz w:val="20"/>
          <w:szCs w:val="20"/>
          <w:lang w:val="en-GB" w:eastAsia="en-GB"/>
        </w:rPr>
        <w:t xml:space="preserve">When </w:t>
      </w:r>
      <w:r>
        <w:rPr>
          <w:rFonts w:eastAsia="宋体" w:cs="Times New Roman"/>
          <w:sz w:val="20"/>
          <w:szCs w:val="20"/>
        </w:rPr>
        <w:t>ATG UE with phase array antenna</w:t>
      </w:r>
      <w:r>
        <w:rPr>
          <w:rFonts w:eastAsia="宋体" w:cs="Times New Roman"/>
          <w:sz w:val="20"/>
          <w:szCs w:val="20"/>
          <w:lang w:val="en-GB" w:eastAsia="en-GB"/>
        </w:rPr>
        <w:t xml:space="preserve"> performs int</w:t>
      </w:r>
      <w:r>
        <w:rPr>
          <w:rFonts w:eastAsia="宋体" w:cs="Times New Roman"/>
          <w:sz w:val="20"/>
          <w:szCs w:val="20"/>
          <w:lang w:val="en-GB"/>
        </w:rPr>
        <w:t>er</w:t>
      </w:r>
      <w:r>
        <w:rPr>
          <w:rFonts w:eastAsia="宋体" w:cs="Times New Roman"/>
          <w:sz w:val="20"/>
          <w:szCs w:val="20"/>
          <w:lang w:val="en-GB" w:eastAsia="en-GB"/>
        </w:rPr>
        <w:t>-frequency measurements</w:t>
      </w:r>
      <w:r>
        <w:rPr>
          <w:rFonts w:eastAsia="宋体" w:cs="Times New Roman"/>
          <w:sz w:val="20"/>
          <w:szCs w:val="20"/>
          <w:lang w:val="en-GB"/>
        </w:rPr>
        <w:t xml:space="preserve"> without measurement gaps</w:t>
      </w:r>
      <w:r>
        <w:rPr>
          <w:rFonts w:eastAsia="宋体" w:cs="Times New Roman"/>
          <w:sz w:val="20"/>
          <w:szCs w:val="20"/>
          <w:lang w:val="en-GB" w:eastAsia="en-GB"/>
        </w:rPr>
        <w:t xml:space="preserve"> in a TDD band, the following restrictions apply due to </w:t>
      </w:r>
      <w:r>
        <w:rPr>
          <w:rFonts w:eastAsia="宋体" w:cs="Times New Roman"/>
          <w:sz w:val="20"/>
          <w:szCs w:val="20"/>
          <w:lang w:eastAsia="en-GB"/>
        </w:rPr>
        <w:t>SS-RSRQ</w:t>
      </w:r>
      <w:r>
        <w:rPr>
          <w:rFonts w:eastAsia="宋体" w:cs="Times New Roman"/>
          <w:sz w:val="20"/>
          <w:szCs w:val="20"/>
          <w:lang w:val="en-GB" w:eastAsia="en-GB"/>
        </w:rPr>
        <w:t xml:space="preserve"> measurement </w:t>
      </w:r>
    </w:p>
    <w:p w14:paraId="2D43A8A9" w14:textId="77777777" w:rsidR="00BD161D" w:rsidRDefault="00000000">
      <w:pPr>
        <w:pStyle w:val="af9"/>
        <w:numPr>
          <w:ilvl w:val="2"/>
          <w:numId w:val="4"/>
        </w:numPr>
        <w:ind w:firstLineChars="0"/>
        <w:rPr>
          <w:rFonts w:eastAsia="宋体" w:cs="Times New Roman"/>
          <w:sz w:val="20"/>
          <w:szCs w:val="20"/>
        </w:rPr>
      </w:pPr>
      <w:r>
        <w:rPr>
          <w:rFonts w:eastAsia="宋体" w:cs="Times New Roman"/>
          <w:sz w:val="20"/>
          <w:szCs w:val="20"/>
        </w:rPr>
        <w:t xml:space="preserve">UE is not expected to receive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17AA2CEB" w14:textId="77777777" w:rsidR="00BD161D" w:rsidRDefault="00BD161D">
      <w:pPr>
        <w:rPr>
          <w:b/>
          <w:sz w:val="20"/>
          <w:szCs w:val="20"/>
          <w:u w:val="single"/>
          <w:lang w:eastAsia="ko-KR"/>
        </w:rPr>
      </w:pPr>
    </w:p>
    <w:p w14:paraId="667DEACD" w14:textId="3E94C86F" w:rsidR="00350954" w:rsidRPr="002F5724" w:rsidRDefault="00D6109A" w:rsidP="00350954">
      <w:pPr>
        <w:pStyle w:val="af9"/>
        <w:numPr>
          <w:ilvl w:val="0"/>
          <w:numId w:val="4"/>
        </w:numPr>
        <w:ind w:firstLineChars="0"/>
        <w:rPr>
          <w:rFonts w:eastAsia="宋体"/>
          <w:sz w:val="20"/>
          <w:szCs w:val="20"/>
        </w:rPr>
      </w:pPr>
      <w:r w:rsidRPr="002F5724">
        <w:rPr>
          <w:rFonts w:eastAsia="宋体" w:cs="Times New Roman"/>
          <w:sz w:val="20"/>
          <w:szCs w:val="20"/>
        </w:rPr>
        <w:t>A</w:t>
      </w:r>
      <w:r w:rsidR="00350954" w:rsidRPr="002F5724">
        <w:rPr>
          <w:rFonts w:eastAsia="宋体" w:cs="Times New Roman"/>
          <w:sz w:val="20"/>
          <w:szCs w:val="20"/>
        </w:rPr>
        <w:t>greement: Option 1.</w:t>
      </w:r>
    </w:p>
    <w:p w14:paraId="7689FED2" w14:textId="77777777" w:rsidR="00BD161D" w:rsidRDefault="00BD161D">
      <w:pPr>
        <w:rPr>
          <w:b/>
          <w:sz w:val="20"/>
          <w:szCs w:val="20"/>
          <w:u w:val="single"/>
          <w:lang w:eastAsia="ko-KR"/>
        </w:rPr>
      </w:pPr>
    </w:p>
    <w:p w14:paraId="2701BB1F" w14:textId="77777777" w:rsidR="00BD161D" w:rsidRDefault="00BD161D">
      <w:pPr>
        <w:rPr>
          <w:b/>
          <w:sz w:val="20"/>
          <w:szCs w:val="20"/>
          <w:u w:val="single"/>
          <w:lang w:eastAsia="ko-KR"/>
        </w:rPr>
      </w:pPr>
    </w:p>
    <w:p w14:paraId="08745F6B" w14:textId="77777777" w:rsidR="00BD161D" w:rsidRDefault="00000000">
      <w:pPr>
        <w:pStyle w:val="1"/>
        <w:numPr>
          <w:ilvl w:val="1"/>
          <w:numId w:val="3"/>
        </w:numPr>
        <w:pBdr>
          <w:top w:val="none" w:sz="0" w:space="3" w:color="auto"/>
        </w:pBdr>
        <w:spacing w:before="180" w:after="180" w:line="240" w:lineRule="auto"/>
        <w:rPr>
          <w:rFonts w:cs="Arial"/>
          <w:b w:val="0"/>
          <w:bCs w:val="0"/>
          <w:kern w:val="0"/>
          <w:sz w:val="24"/>
          <w:szCs w:val="24"/>
          <w:lang w:eastAsia="ko-KR"/>
        </w:rPr>
      </w:pPr>
      <w:r>
        <w:rPr>
          <w:rFonts w:cs="Arial" w:hint="eastAsia"/>
          <w:b w:val="0"/>
          <w:bCs w:val="0"/>
          <w:kern w:val="0"/>
          <w:sz w:val="24"/>
          <w:szCs w:val="24"/>
        </w:rPr>
        <w:t>Measurement requirement</w:t>
      </w:r>
    </w:p>
    <w:p w14:paraId="737D4676" w14:textId="77777777" w:rsidR="00BD161D" w:rsidRPr="00D6109A" w:rsidRDefault="00000000">
      <w:pPr>
        <w:rPr>
          <w:b/>
          <w:sz w:val="20"/>
          <w:szCs w:val="20"/>
          <w:u w:val="single"/>
          <w:lang w:eastAsia="ko-KR"/>
        </w:rPr>
      </w:pPr>
      <w:r w:rsidRPr="00D6109A">
        <w:rPr>
          <w:rFonts w:hint="eastAsia"/>
          <w:b/>
          <w:sz w:val="20"/>
          <w:szCs w:val="20"/>
          <w:u w:val="single"/>
          <w:lang w:eastAsia="ko-KR"/>
        </w:rPr>
        <w:t>Issue 4-2-1: Applicability rule</w:t>
      </w:r>
    </w:p>
    <w:p w14:paraId="28051EB8" w14:textId="77777777" w:rsidR="00BD161D" w:rsidRPr="00350954" w:rsidRDefault="00000000">
      <w:pPr>
        <w:pStyle w:val="af9"/>
        <w:numPr>
          <w:ilvl w:val="0"/>
          <w:numId w:val="4"/>
        </w:numPr>
        <w:ind w:firstLineChars="0"/>
        <w:rPr>
          <w:rFonts w:eastAsia="宋体"/>
          <w:sz w:val="20"/>
          <w:szCs w:val="20"/>
        </w:rPr>
      </w:pPr>
      <w:r>
        <w:rPr>
          <w:rFonts w:eastAsia="宋体" w:cs="Times New Roman" w:hint="eastAsia"/>
          <w:sz w:val="20"/>
          <w:szCs w:val="20"/>
        </w:rPr>
        <w:t xml:space="preserve">Option 1: </w:t>
      </w:r>
      <w:r>
        <w:rPr>
          <w:rFonts w:eastAsia="宋体" w:cs="Times New Roman" w:hint="eastAsia"/>
          <w:sz w:val="20"/>
          <w:szCs w:val="20"/>
          <w:lang w:eastAsia="ko-KR"/>
        </w:rPr>
        <w:t>The measurement requirements for ATG neighbor cells should apply provided that SSB of neighbor cells are within SMTC window in Rel-18.</w:t>
      </w:r>
      <w:r>
        <w:rPr>
          <w:rFonts w:eastAsia="宋体" w:cs="Times New Roman" w:hint="eastAsia"/>
          <w:sz w:val="20"/>
          <w:szCs w:val="20"/>
        </w:rPr>
        <w:t xml:space="preserve"> </w:t>
      </w:r>
    </w:p>
    <w:p w14:paraId="7FD1D919" w14:textId="021D8EC0" w:rsidR="00350954" w:rsidRPr="002F5724" w:rsidRDefault="00D6109A">
      <w:pPr>
        <w:pStyle w:val="af9"/>
        <w:numPr>
          <w:ilvl w:val="0"/>
          <w:numId w:val="4"/>
        </w:numPr>
        <w:ind w:firstLineChars="0"/>
        <w:rPr>
          <w:rFonts w:eastAsia="宋体"/>
          <w:sz w:val="20"/>
          <w:szCs w:val="20"/>
        </w:rPr>
      </w:pPr>
      <w:r w:rsidRPr="002F5724">
        <w:rPr>
          <w:rFonts w:eastAsia="宋体" w:cs="Times New Roman"/>
          <w:sz w:val="20"/>
          <w:szCs w:val="20"/>
        </w:rPr>
        <w:t>A</w:t>
      </w:r>
      <w:r w:rsidR="00350954" w:rsidRPr="002F5724">
        <w:rPr>
          <w:rFonts w:eastAsia="宋体" w:cs="Times New Roman"/>
          <w:sz w:val="20"/>
          <w:szCs w:val="20"/>
        </w:rPr>
        <w:t>greement: Option 1.</w:t>
      </w:r>
    </w:p>
    <w:sectPr w:rsidR="00350954" w:rsidRPr="002F5724">
      <w:pgSz w:w="11900" w:h="16840"/>
      <w:pgMar w:top="1440" w:right="98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33B18" w14:textId="77777777" w:rsidR="00FA425B" w:rsidRDefault="00FA425B" w:rsidP="004234D9">
      <w:r>
        <w:separator/>
      </w:r>
    </w:p>
  </w:endnote>
  <w:endnote w:type="continuationSeparator" w:id="0">
    <w:p w14:paraId="0A3F654A" w14:textId="77777777" w:rsidR="00FA425B" w:rsidRDefault="00FA425B" w:rsidP="00423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8071B" w14:textId="77777777" w:rsidR="00FA425B" w:rsidRDefault="00FA425B" w:rsidP="004234D9">
      <w:r>
        <w:separator/>
      </w:r>
    </w:p>
  </w:footnote>
  <w:footnote w:type="continuationSeparator" w:id="0">
    <w:p w14:paraId="2E74991D" w14:textId="77777777" w:rsidR="00FA425B" w:rsidRDefault="00FA425B" w:rsidP="00423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4F51159B"/>
    <w:multiLevelType w:val="hybridMultilevel"/>
    <w:tmpl w:val="64F0AD16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63A08CA"/>
    <w:multiLevelType w:val="hybridMultilevel"/>
    <w:tmpl w:val="9B826C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5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2087797974">
    <w:abstractNumId w:val="5"/>
  </w:num>
  <w:num w:numId="2" w16cid:durableId="1424450335">
    <w:abstractNumId w:val="4"/>
  </w:num>
  <w:num w:numId="3" w16cid:durableId="1490291669">
    <w:abstractNumId w:val="0"/>
  </w:num>
  <w:num w:numId="4" w16cid:durableId="1496650911">
    <w:abstractNumId w:val="2"/>
  </w:num>
  <w:num w:numId="5" w16cid:durableId="1402024648">
    <w:abstractNumId w:val="3"/>
  </w:num>
  <w:num w:numId="6" w16cid:durableId="16852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hyphenationZone w:val="425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014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CD4"/>
    <w:rsid w:val="00021E70"/>
    <w:rsid w:val="00021FAA"/>
    <w:rsid w:val="00021FBB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0FA4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6B76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017"/>
    <w:rsid w:val="00043405"/>
    <w:rsid w:val="00043582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B63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063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1A8"/>
    <w:rsid w:val="000955A5"/>
    <w:rsid w:val="0009562E"/>
    <w:rsid w:val="000958F3"/>
    <w:rsid w:val="00095BAA"/>
    <w:rsid w:val="00095CFB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4F"/>
    <w:rsid w:val="000B31CC"/>
    <w:rsid w:val="000B31DC"/>
    <w:rsid w:val="000B397D"/>
    <w:rsid w:val="000B3B83"/>
    <w:rsid w:val="000B4172"/>
    <w:rsid w:val="000B49FC"/>
    <w:rsid w:val="000B5617"/>
    <w:rsid w:val="000B567F"/>
    <w:rsid w:val="000B576E"/>
    <w:rsid w:val="000B58DA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0F7FA8"/>
    <w:rsid w:val="001003DA"/>
    <w:rsid w:val="00100DC7"/>
    <w:rsid w:val="00101852"/>
    <w:rsid w:val="00101941"/>
    <w:rsid w:val="00101971"/>
    <w:rsid w:val="00102417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56D"/>
    <w:rsid w:val="00125C8E"/>
    <w:rsid w:val="00125F9A"/>
    <w:rsid w:val="00126513"/>
    <w:rsid w:val="001268A6"/>
    <w:rsid w:val="0012701D"/>
    <w:rsid w:val="00127131"/>
    <w:rsid w:val="001271AB"/>
    <w:rsid w:val="001272B8"/>
    <w:rsid w:val="00127534"/>
    <w:rsid w:val="001276BF"/>
    <w:rsid w:val="001277CC"/>
    <w:rsid w:val="00130076"/>
    <w:rsid w:val="0013080B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0F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2F7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C75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933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A2"/>
    <w:rsid w:val="001A3EF5"/>
    <w:rsid w:val="001A57E9"/>
    <w:rsid w:val="001A5987"/>
    <w:rsid w:val="001A5E11"/>
    <w:rsid w:val="001A65D8"/>
    <w:rsid w:val="001A68C5"/>
    <w:rsid w:val="001A725B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3B1"/>
    <w:rsid w:val="001E6BEA"/>
    <w:rsid w:val="001E70FF"/>
    <w:rsid w:val="001E7B45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445"/>
    <w:rsid w:val="001F55EA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87D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204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A5E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973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229"/>
    <w:rsid w:val="002512F8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C83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0F5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78D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970"/>
    <w:rsid w:val="00294A12"/>
    <w:rsid w:val="00294A34"/>
    <w:rsid w:val="00295160"/>
    <w:rsid w:val="00295CDB"/>
    <w:rsid w:val="0029700E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321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89A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97"/>
    <w:rsid w:val="002D1A68"/>
    <w:rsid w:val="002D217D"/>
    <w:rsid w:val="002D2476"/>
    <w:rsid w:val="002D2B08"/>
    <w:rsid w:val="002D402C"/>
    <w:rsid w:val="002D4171"/>
    <w:rsid w:val="002D46AD"/>
    <w:rsid w:val="002D4B3D"/>
    <w:rsid w:val="002D54FA"/>
    <w:rsid w:val="002D5775"/>
    <w:rsid w:val="002D58FE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DF2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724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D63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E93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2B2B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44F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55F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50B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954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07F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876BF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2EC"/>
    <w:rsid w:val="003973E9"/>
    <w:rsid w:val="003977B1"/>
    <w:rsid w:val="00397D15"/>
    <w:rsid w:val="003A09AB"/>
    <w:rsid w:val="003A0B30"/>
    <w:rsid w:val="003A0CEA"/>
    <w:rsid w:val="003A1253"/>
    <w:rsid w:val="003A189B"/>
    <w:rsid w:val="003A1AC3"/>
    <w:rsid w:val="003A1D28"/>
    <w:rsid w:val="003A22F7"/>
    <w:rsid w:val="003A270C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B2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1E3F"/>
    <w:rsid w:val="003D2868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D7BDB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4D1"/>
    <w:rsid w:val="003E56D2"/>
    <w:rsid w:val="003E5967"/>
    <w:rsid w:val="003E615C"/>
    <w:rsid w:val="003E62ED"/>
    <w:rsid w:val="003E6DF0"/>
    <w:rsid w:val="003E7DD4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1D8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4D9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2F9F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618"/>
    <w:rsid w:val="00460B70"/>
    <w:rsid w:val="00460DE6"/>
    <w:rsid w:val="00461052"/>
    <w:rsid w:val="00461397"/>
    <w:rsid w:val="00462AB7"/>
    <w:rsid w:val="00463249"/>
    <w:rsid w:val="00463511"/>
    <w:rsid w:val="00463C8A"/>
    <w:rsid w:val="004644F3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363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C92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705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1F98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57D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5C44"/>
    <w:rsid w:val="004F6F4E"/>
    <w:rsid w:val="004F737B"/>
    <w:rsid w:val="004F7ADC"/>
    <w:rsid w:val="004F7C2F"/>
    <w:rsid w:val="004F7E22"/>
    <w:rsid w:val="00500078"/>
    <w:rsid w:val="005000B5"/>
    <w:rsid w:val="005006BD"/>
    <w:rsid w:val="00500A00"/>
    <w:rsid w:val="00501433"/>
    <w:rsid w:val="005015F2"/>
    <w:rsid w:val="005019CF"/>
    <w:rsid w:val="005022B1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1D0"/>
    <w:rsid w:val="0051071A"/>
    <w:rsid w:val="00510A01"/>
    <w:rsid w:val="00510D0D"/>
    <w:rsid w:val="00510DDC"/>
    <w:rsid w:val="00510ECB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4A3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29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2F4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C2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84B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2EAB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9D6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05C"/>
    <w:rsid w:val="005A07D5"/>
    <w:rsid w:val="005A09B2"/>
    <w:rsid w:val="005A133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1A78"/>
    <w:rsid w:val="005C27E6"/>
    <w:rsid w:val="005C2A62"/>
    <w:rsid w:val="005C2AEC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6803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31D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57D"/>
    <w:rsid w:val="005F19EE"/>
    <w:rsid w:val="005F1B59"/>
    <w:rsid w:val="005F1D91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07AE2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1F95"/>
    <w:rsid w:val="006227DD"/>
    <w:rsid w:val="00622EE2"/>
    <w:rsid w:val="00623338"/>
    <w:rsid w:val="0062341A"/>
    <w:rsid w:val="00623B8C"/>
    <w:rsid w:val="00623CA9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465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43D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87DB2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B6D"/>
    <w:rsid w:val="006A6DBB"/>
    <w:rsid w:val="006A7C44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B60"/>
    <w:rsid w:val="006C4D5C"/>
    <w:rsid w:val="006C54CC"/>
    <w:rsid w:val="006C5622"/>
    <w:rsid w:val="006C56DC"/>
    <w:rsid w:val="006C56FE"/>
    <w:rsid w:val="006C5727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0924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4A5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13D"/>
    <w:rsid w:val="0072134D"/>
    <w:rsid w:val="00721862"/>
    <w:rsid w:val="00721F97"/>
    <w:rsid w:val="007220A7"/>
    <w:rsid w:val="00722C59"/>
    <w:rsid w:val="00722D78"/>
    <w:rsid w:val="00723052"/>
    <w:rsid w:val="00723598"/>
    <w:rsid w:val="0072368F"/>
    <w:rsid w:val="00723A4F"/>
    <w:rsid w:val="00723C26"/>
    <w:rsid w:val="0072468C"/>
    <w:rsid w:val="00724712"/>
    <w:rsid w:val="00726826"/>
    <w:rsid w:val="00726ED8"/>
    <w:rsid w:val="00727246"/>
    <w:rsid w:val="00727FF5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47D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8BD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5E80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26C6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40D"/>
    <w:rsid w:val="0077695A"/>
    <w:rsid w:val="00777D65"/>
    <w:rsid w:val="00780EAB"/>
    <w:rsid w:val="007814F0"/>
    <w:rsid w:val="007816F7"/>
    <w:rsid w:val="00781B73"/>
    <w:rsid w:val="00782279"/>
    <w:rsid w:val="00782393"/>
    <w:rsid w:val="007823B2"/>
    <w:rsid w:val="007828A0"/>
    <w:rsid w:val="007828AD"/>
    <w:rsid w:val="00782A18"/>
    <w:rsid w:val="00782C0F"/>
    <w:rsid w:val="00782EC3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17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576"/>
    <w:rsid w:val="007C3ABD"/>
    <w:rsid w:val="007C3F3E"/>
    <w:rsid w:val="007C481F"/>
    <w:rsid w:val="007C483C"/>
    <w:rsid w:val="007C4DD0"/>
    <w:rsid w:val="007C5255"/>
    <w:rsid w:val="007C531C"/>
    <w:rsid w:val="007C5E5F"/>
    <w:rsid w:val="007C6027"/>
    <w:rsid w:val="007C61E5"/>
    <w:rsid w:val="007C628D"/>
    <w:rsid w:val="007C62B1"/>
    <w:rsid w:val="007C6368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0E10"/>
    <w:rsid w:val="007F0FA7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47D"/>
    <w:rsid w:val="008016F2"/>
    <w:rsid w:val="00801BA3"/>
    <w:rsid w:val="00802CA1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C0D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71A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5E07"/>
    <w:rsid w:val="00826A48"/>
    <w:rsid w:val="00826E8B"/>
    <w:rsid w:val="008276A0"/>
    <w:rsid w:val="00827827"/>
    <w:rsid w:val="00827DE6"/>
    <w:rsid w:val="00830DB5"/>
    <w:rsid w:val="00830FD9"/>
    <w:rsid w:val="008317D7"/>
    <w:rsid w:val="00831ECF"/>
    <w:rsid w:val="0083266B"/>
    <w:rsid w:val="00832937"/>
    <w:rsid w:val="00833316"/>
    <w:rsid w:val="0083343A"/>
    <w:rsid w:val="0083347F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63A3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A9C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55F3"/>
    <w:rsid w:val="00846634"/>
    <w:rsid w:val="008471E0"/>
    <w:rsid w:val="00847276"/>
    <w:rsid w:val="00847E7B"/>
    <w:rsid w:val="008506F4"/>
    <w:rsid w:val="0085071B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4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A8A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194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3FB2"/>
    <w:rsid w:val="0087521A"/>
    <w:rsid w:val="0087566C"/>
    <w:rsid w:val="00875697"/>
    <w:rsid w:val="008757E1"/>
    <w:rsid w:val="00875958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32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A43"/>
    <w:rsid w:val="008A6B19"/>
    <w:rsid w:val="008A71AC"/>
    <w:rsid w:val="008A722F"/>
    <w:rsid w:val="008A7539"/>
    <w:rsid w:val="008A7CD2"/>
    <w:rsid w:val="008B02CF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6947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78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96E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BDC"/>
    <w:rsid w:val="008F4CAC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33A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4E64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A1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69A"/>
    <w:rsid w:val="00940B0F"/>
    <w:rsid w:val="0094106E"/>
    <w:rsid w:val="00941A34"/>
    <w:rsid w:val="009425FA"/>
    <w:rsid w:val="009427FD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122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582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7B7"/>
    <w:rsid w:val="00961AEB"/>
    <w:rsid w:val="00961CD1"/>
    <w:rsid w:val="00962CD2"/>
    <w:rsid w:val="0096316D"/>
    <w:rsid w:val="00963B0A"/>
    <w:rsid w:val="00963F77"/>
    <w:rsid w:val="0096459E"/>
    <w:rsid w:val="00964834"/>
    <w:rsid w:val="00964878"/>
    <w:rsid w:val="00964E1A"/>
    <w:rsid w:val="00965247"/>
    <w:rsid w:val="009652EE"/>
    <w:rsid w:val="009655CA"/>
    <w:rsid w:val="00967901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1B64"/>
    <w:rsid w:val="009725E9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3CF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B16"/>
    <w:rsid w:val="00991C0B"/>
    <w:rsid w:val="00991CA8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2D89"/>
    <w:rsid w:val="009A32E9"/>
    <w:rsid w:val="009A3719"/>
    <w:rsid w:val="009A3A7E"/>
    <w:rsid w:val="009A4C2A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14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041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27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440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BF5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566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678D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3D19"/>
    <w:rsid w:val="00A24BD4"/>
    <w:rsid w:val="00A24F17"/>
    <w:rsid w:val="00A25EF7"/>
    <w:rsid w:val="00A26279"/>
    <w:rsid w:val="00A26738"/>
    <w:rsid w:val="00A26962"/>
    <w:rsid w:val="00A26A40"/>
    <w:rsid w:val="00A26CCE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9EF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AF3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60A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26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6F19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3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E7AB1"/>
    <w:rsid w:val="00AF04D0"/>
    <w:rsid w:val="00AF1315"/>
    <w:rsid w:val="00AF1674"/>
    <w:rsid w:val="00AF1C4C"/>
    <w:rsid w:val="00AF1C82"/>
    <w:rsid w:val="00AF1ECD"/>
    <w:rsid w:val="00AF220B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24A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34B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1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2C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B02"/>
    <w:rsid w:val="00B76449"/>
    <w:rsid w:val="00B76FEB"/>
    <w:rsid w:val="00B77A49"/>
    <w:rsid w:val="00B77C2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5EF"/>
    <w:rsid w:val="00BA6667"/>
    <w:rsid w:val="00BA670D"/>
    <w:rsid w:val="00BA6A25"/>
    <w:rsid w:val="00BA6D56"/>
    <w:rsid w:val="00BA6FD0"/>
    <w:rsid w:val="00BA76E6"/>
    <w:rsid w:val="00BA7AAD"/>
    <w:rsid w:val="00BB0470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137"/>
    <w:rsid w:val="00BB622A"/>
    <w:rsid w:val="00BB670B"/>
    <w:rsid w:val="00BB6A7E"/>
    <w:rsid w:val="00BB712F"/>
    <w:rsid w:val="00BC0612"/>
    <w:rsid w:val="00BC074C"/>
    <w:rsid w:val="00BC0B56"/>
    <w:rsid w:val="00BC0D32"/>
    <w:rsid w:val="00BC19C7"/>
    <w:rsid w:val="00BC1CD3"/>
    <w:rsid w:val="00BC234F"/>
    <w:rsid w:val="00BC24A5"/>
    <w:rsid w:val="00BC38ED"/>
    <w:rsid w:val="00BC39D1"/>
    <w:rsid w:val="00BC420E"/>
    <w:rsid w:val="00BC4296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1D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BF78BD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D7E"/>
    <w:rsid w:val="00C14F91"/>
    <w:rsid w:val="00C150C3"/>
    <w:rsid w:val="00C152E4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220E"/>
    <w:rsid w:val="00C33D5F"/>
    <w:rsid w:val="00C33EE0"/>
    <w:rsid w:val="00C340C9"/>
    <w:rsid w:val="00C3454F"/>
    <w:rsid w:val="00C3493A"/>
    <w:rsid w:val="00C34F7E"/>
    <w:rsid w:val="00C35279"/>
    <w:rsid w:val="00C359EF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10C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113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5767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2E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75C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D7E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3CA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0EA"/>
    <w:rsid w:val="00CA7335"/>
    <w:rsid w:val="00CA7D9E"/>
    <w:rsid w:val="00CB07FB"/>
    <w:rsid w:val="00CB15A9"/>
    <w:rsid w:val="00CB1D57"/>
    <w:rsid w:val="00CB2585"/>
    <w:rsid w:val="00CB2A12"/>
    <w:rsid w:val="00CB303B"/>
    <w:rsid w:val="00CB3C55"/>
    <w:rsid w:val="00CB3D79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776"/>
    <w:rsid w:val="00CD183E"/>
    <w:rsid w:val="00CD29F4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8D"/>
    <w:rsid w:val="00CE15A0"/>
    <w:rsid w:val="00CE1A88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5E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0F7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07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1D47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5FC0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46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A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1FBC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28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670D"/>
    <w:rsid w:val="00D8748D"/>
    <w:rsid w:val="00D879C5"/>
    <w:rsid w:val="00D87AFC"/>
    <w:rsid w:val="00D87C09"/>
    <w:rsid w:val="00D87D81"/>
    <w:rsid w:val="00D9002A"/>
    <w:rsid w:val="00D91DE5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9E6"/>
    <w:rsid w:val="00D95ACF"/>
    <w:rsid w:val="00D95E51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72B"/>
    <w:rsid w:val="00DD1752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5F"/>
    <w:rsid w:val="00E04DFF"/>
    <w:rsid w:val="00E052C3"/>
    <w:rsid w:val="00E053DD"/>
    <w:rsid w:val="00E05875"/>
    <w:rsid w:val="00E05C72"/>
    <w:rsid w:val="00E070D4"/>
    <w:rsid w:val="00E0754F"/>
    <w:rsid w:val="00E07907"/>
    <w:rsid w:val="00E07986"/>
    <w:rsid w:val="00E07EC7"/>
    <w:rsid w:val="00E103F0"/>
    <w:rsid w:val="00E10C0B"/>
    <w:rsid w:val="00E10D47"/>
    <w:rsid w:val="00E11324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370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9D9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3D7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0A4"/>
    <w:rsid w:val="00E66DBA"/>
    <w:rsid w:val="00E67D5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36E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051"/>
    <w:rsid w:val="00EA07CA"/>
    <w:rsid w:val="00EA0C79"/>
    <w:rsid w:val="00EA0C89"/>
    <w:rsid w:val="00EA1040"/>
    <w:rsid w:val="00EA1B37"/>
    <w:rsid w:val="00EA1EDC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48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64E"/>
    <w:rsid w:val="00EF1759"/>
    <w:rsid w:val="00EF1BE4"/>
    <w:rsid w:val="00EF1C89"/>
    <w:rsid w:val="00EF2596"/>
    <w:rsid w:val="00EF29B6"/>
    <w:rsid w:val="00EF346A"/>
    <w:rsid w:val="00EF347B"/>
    <w:rsid w:val="00EF39FE"/>
    <w:rsid w:val="00EF3B89"/>
    <w:rsid w:val="00EF4280"/>
    <w:rsid w:val="00EF4423"/>
    <w:rsid w:val="00EF47B2"/>
    <w:rsid w:val="00EF4C9B"/>
    <w:rsid w:val="00EF5C7E"/>
    <w:rsid w:val="00EF631A"/>
    <w:rsid w:val="00EF73DC"/>
    <w:rsid w:val="00F005C9"/>
    <w:rsid w:val="00F013E6"/>
    <w:rsid w:val="00F01531"/>
    <w:rsid w:val="00F01BA4"/>
    <w:rsid w:val="00F01C02"/>
    <w:rsid w:val="00F01EEE"/>
    <w:rsid w:val="00F020C7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531"/>
    <w:rsid w:val="00F07912"/>
    <w:rsid w:val="00F07C01"/>
    <w:rsid w:val="00F1030C"/>
    <w:rsid w:val="00F104D0"/>
    <w:rsid w:val="00F1057B"/>
    <w:rsid w:val="00F105C1"/>
    <w:rsid w:val="00F10D04"/>
    <w:rsid w:val="00F115A0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65A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8A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AFB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6974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7E2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B9"/>
    <w:rsid w:val="00FA0F20"/>
    <w:rsid w:val="00FA1013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25B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0C7"/>
    <w:rsid w:val="00FC15C7"/>
    <w:rsid w:val="00FC1B0B"/>
    <w:rsid w:val="00FC1D6A"/>
    <w:rsid w:val="00FC224B"/>
    <w:rsid w:val="00FC23FC"/>
    <w:rsid w:val="00FC273B"/>
    <w:rsid w:val="00FC27B6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5BB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99B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91F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A4735E"/>
    <w:rsid w:val="0DC24706"/>
    <w:rsid w:val="13C337B6"/>
    <w:rsid w:val="14761E85"/>
    <w:rsid w:val="163C286C"/>
    <w:rsid w:val="172D5256"/>
    <w:rsid w:val="4F546C40"/>
    <w:rsid w:val="5F2F37F8"/>
    <w:rsid w:val="67CA7248"/>
    <w:rsid w:val="6E4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5112F0"/>
  <w15:docId w15:val="{6349EFE2-A4E0-40F2-96D0-FEC91419D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 Math" w:eastAsia="Yu Mincho Light" w:hAnsi="Cambria Math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24A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0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link w:val="a4"/>
    <w:qFormat/>
    <w:pPr>
      <w:keepNext/>
      <w:spacing w:after="60"/>
    </w:pPr>
    <w:rPr>
      <w:rFonts w:ascii="Courier New" w:hAnsi="Courier New"/>
      <w:b/>
      <w:kern w:val="20"/>
      <w:sz w:val="16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a7">
    <w:name w:val="annotation text"/>
    <w:basedOn w:val="a"/>
    <w:link w:val="a8"/>
    <w:unhideWhenUsed/>
    <w:qFormat/>
  </w:style>
  <w:style w:type="paragraph" w:styleId="a9">
    <w:name w:val="Balloon Text"/>
    <w:basedOn w:val="a"/>
    <w:link w:val="aa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ad">
    <w:name w:val="header"/>
    <w:basedOn w:val="a"/>
    <w:link w:val="ae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af3">
    <w:name w:val="Table Grid"/>
    <w:basedOn w:val="a1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qFormat/>
    <w:rPr>
      <w:rFonts w:cs="Times New Roman"/>
      <w:color w:val="0000FF"/>
      <w:u w:val="single"/>
    </w:rPr>
  </w:style>
  <w:style w:type="character" w:styleId="af5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link w:val="ad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 字符"/>
    <w:link w:val="1"/>
    <w:qFormat/>
    <w:rPr>
      <w:rFonts w:ascii="Arial" w:hAnsi="Arial"/>
      <w:b/>
      <w:bCs/>
      <w:kern w:val="44"/>
      <w:sz w:val="44"/>
      <w:szCs w:val="44"/>
    </w:rPr>
  </w:style>
  <w:style w:type="character" w:customStyle="1" w:styleId="a6">
    <w:name w:val="文档结构图 字符"/>
    <w:link w:val="a5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20">
    <w:name w:val="标题 2 字符"/>
    <w:link w:val="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link w:val="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50">
    <w:name w:val="标题 5 字符"/>
    <w:link w:val="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70">
    <w:name w:val="标题 7 字符"/>
    <w:link w:val="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link w:val="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link w:val="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hAnsi="Courier New"/>
      <w:sz w:val="18"/>
    </w:rPr>
  </w:style>
  <w:style w:type="character" w:customStyle="1" w:styleId="a4">
    <w:name w:val="题注 字符"/>
    <w:link w:val="a3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aa">
    <w:name w:val="批注框文本 字符"/>
    <w:link w:val="a9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a8">
    <w:name w:val="批注文字 字符"/>
    <w:basedOn w:val="a0"/>
    <w:link w:val="a7"/>
    <w:qFormat/>
  </w:style>
  <w:style w:type="character" w:customStyle="1" w:styleId="af2">
    <w:name w:val="批注主题 字符"/>
    <w:link w:val="af1"/>
    <w:uiPriority w:val="99"/>
    <w:semiHidden/>
    <w:qFormat/>
    <w:rPr>
      <w:b/>
      <w:bCs/>
    </w:rPr>
  </w:style>
  <w:style w:type="paragraph" w:customStyle="1" w:styleId="B1">
    <w:name w:val="B1"/>
    <w:basedOn w:val="af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a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f6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f7">
    <w:name w:val="插图题注"/>
    <w:basedOn w:val="a"/>
    <w:qFormat/>
    <w:pPr>
      <w:spacing w:after="180"/>
    </w:pPr>
    <w:rPr>
      <w:sz w:val="20"/>
      <w:szCs w:val="20"/>
      <w:lang w:val="en-GB" w:eastAsia="en-US"/>
    </w:rPr>
  </w:style>
  <w:style w:type="paragraph" w:customStyle="1" w:styleId="af8">
    <w:name w:val="表格题注"/>
    <w:basedOn w:val="a"/>
    <w:qFormat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a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5"/>
    <w:next w:val="a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pPr>
      <w:ind w:firstLineChars="200" w:firstLine="420"/>
    </w:pPr>
    <w:rPr>
      <w:rFonts w:eastAsia="Times New Roman" w:cs="宋体"/>
    </w:rPr>
  </w:style>
  <w:style w:type="character" w:customStyle="1" w:styleId="afa">
    <w:name w:val="列表段落 字符"/>
    <w:link w:val="af9"/>
    <w:uiPriority w:val="34"/>
    <w:qFormat/>
    <w:locked/>
    <w:rPr>
      <w:rFonts w:ascii="Times New Roman" w:eastAsia="Times New Roman" w:hAnsi="Times New Roman" w:cs="宋体"/>
      <w:sz w:val="24"/>
      <w:szCs w:val="24"/>
    </w:rPr>
  </w:style>
  <w:style w:type="paragraph" w:customStyle="1" w:styleId="11">
    <w:name w:val="修订1"/>
    <w:hidden/>
    <w:uiPriority w:val="62"/>
    <w:qFormat/>
    <w:rPr>
      <w:rFonts w:ascii="Times New Roman" w:hAnsi="Times New Roman"/>
      <w:sz w:val="24"/>
      <w:szCs w:val="24"/>
    </w:rPr>
  </w:style>
  <w:style w:type="table" w:customStyle="1" w:styleId="12">
    <w:name w:val="网格型1"/>
    <w:basedOn w:val="a1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unhideWhenUsed/>
    <w:rsid w:val="0035095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C7325-1688-4DFF-89AD-E5611C1B8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1423</Words>
  <Characters>8112</Characters>
  <Application>Microsoft Office Word</Application>
  <DocSecurity>0</DocSecurity>
  <Lines>67</Lines>
  <Paragraphs>19</Paragraphs>
  <ScaleCrop>false</ScaleCrop>
  <Company/>
  <LinksUpToDate>false</LinksUpToDate>
  <CharactersWithSpaces>9516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Xiaoran Zhang</cp:lastModifiedBy>
  <cp:revision>2</cp:revision>
  <dcterms:created xsi:type="dcterms:W3CDTF">2023-08-25T06:10:00Z</dcterms:created>
  <dcterms:modified xsi:type="dcterms:W3CDTF">2023-08-25T06:10:00Z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C3279B7E580A4B39A1EF86D141DB5B88</vt:lpwstr>
  </property>
</Properties>
</file>