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4CD69" w14:textId="77777777" w:rsidR="00BB7AED" w:rsidRDefault="00000000">
      <w:pPr>
        <w:tabs>
          <w:tab w:val="left" w:pos="1985"/>
        </w:tabs>
        <w:spacing w:after="180" w:line="240" w:lineRule="auto"/>
        <w:jc w:val="both"/>
        <w:rPr>
          <w:rFonts w:ascii="Arial" w:eastAsia="MS Mincho" w:hAnsi="Arial" w:cs="Arial"/>
          <w:b/>
          <w:kern w:val="0"/>
          <w:sz w:val="24"/>
          <w:szCs w:val="24"/>
          <w:lang w:val="en-GB"/>
        </w:rPr>
      </w:pPr>
      <w:bookmarkStart w:id="0" w:name="_Hlk135228487"/>
      <w:bookmarkEnd w:id="0"/>
      <w:r>
        <w:rPr>
          <w:rFonts w:ascii="Arial" w:hAnsi="Arial" w:cs="Arial"/>
          <w:b/>
          <w:sz w:val="24"/>
          <w:szCs w:val="24"/>
        </w:rPr>
        <w:t>3GPP TSG-RAN WG4 Meeting #108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eastAsia="MS Mincho" w:hAnsi="Arial" w:cs="Arial"/>
          <w:b/>
          <w:kern w:val="0"/>
          <w:sz w:val="24"/>
          <w:szCs w:val="24"/>
          <w:lang w:val="en-GB"/>
        </w:rPr>
        <w:t>R4-2313872</w:t>
      </w:r>
    </w:p>
    <w:p w14:paraId="2FA90971" w14:textId="77777777" w:rsidR="00BB7AED" w:rsidRDefault="000000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Toulouse, France, 21 – 25 August 2023</w:t>
      </w:r>
    </w:p>
    <w:p w14:paraId="02DBF4CB" w14:textId="77777777" w:rsidR="00BB7AED" w:rsidRDefault="00BB7AED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b/>
          <w:kern w:val="0"/>
          <w:szCs w:val="20"/>
          <w:lang w:val="en-GB"/>
        </w:rPr>
      </w:pPr>
    </w:p>
    <w:p w14:paraId="4B4AC0D3" w14:textId="77777777" w:rsidR="00BB7AED" w:rsidRDefault="00000000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b/>
          <w:kern w:val="0"/>
          <w:szCs w:val="20"/>
          <w:lang w:val="en-GB" w:eastAsia="zh-CN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 xml:space="preserve">Title: </w:t>
      </w:r>
      <w:r>
        <w:rPr>
          <w:rFonts w:ascii="Arial" w:eastAsia="宋体" w:hAnsi="Arial" w:cs="Arial"/>
          <w:b/>
          <w:kern w:val="0"/>
          <w:szCs w:val="20"/>
          <w:lang w:val="en-GB"/>
        </w:rPr>
        <w:tab/>
      </w:r>
      <w:r>
        <w:rPr>
          <w:rFonts w:ascii="Arial" w:eastAsia="宋体" w:hAnsi="Arial" w:cs="Arial"/>
          <w:b/>
          <w:kern w:val="0"/>
          <w:sz w:val="24"/>
          <w:szCs w:val="20"/>
          <w:lang w:eastAsia="ko" w:bidi="ar"/>
        </w:rPr>
        <w:t>WF for SBFD co-existence study</w:t>
      </w:r>
    </w:p>
    <w:p w14:paraId="0DD43786" w14:textId="77777777" w:rsidR="00BB7AED" w:rsidRDefault="00000000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kern w:val="0"/>
          <w:szCs w:val="20"/>
          <w:lang w:eastAsia="zh-CN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>Agenda Ite</w:t>
      </w:r>
      <w:r>
        <w:rPr>
          <w:rFonts w:ascii="Arial" w:eastAsia="宋体" w:hAnsi="Arial" w:cs="Arial"/>
          <w:b/>
          <w:kern w:val="0"/>
          <w:szCs w:val="20"/>
          <w:lang w:val="en-GB" w:eastAsia="zh-CN"/>
        </w:rPr>
        <w:t>m:</w:t>
      </w:r>
      <w:r>
        <w:rPr>
          <w:rFonts w:ascii="Arial" w:eastAsia="宋体" w:hAnsi="Arial" w:cs="Arial"/>
          <w:kern w:val="0"/>
          <w:szCs w:val="20"/>
          <w:lang w:val="en-GB" w:eastAsia="zh-CN"/>
        </w:rPr>
        <w:tab/>
      </w:r>
      <w:r>
        <w:rPr>
          <w:rFonts w:ascii="Arial" w:eastAsia="宋体" w:hAnsi="Arial" w:cs="Arial" w:hint="eastAsia"/>
          <w:kern w:val="0"/>
          <w:szCs w:val="20"/>
          <w:lang w:eastAsia="zh-CN"/>
        </w:rPr>
        <w:t>8.19.4</w:t>
      </w:r>
    </w:p>
    <w:p w14:paraId="2162C422" w14:textId="77777777" w:rsidR="00BB7AED" w:rsidRDefault="00000000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kern w:val="0"/>
          <w:szCs w:val="20"/>
          <w:lang w:val="en-GB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 xml:space="preserve">Source: </w:t>
      </w:r>
      <w:r>
        <w:rPr>
          <w:rFonts w:ascii="Arial" w:eastAsia="宋体" w:hAnsi="Arial" w:cs="Arial"/>
          <w:b/>
          <w:kern w:val="0"/>
          <w:szCs w:val="20"/>
          <w:lang w:val="en-GB"/>
        </w:rPr>
        <w:tab/>
      </w:r>
      <w:bookmarkStart w:id="1" w:name="_Hlk118310400"/>
      <w:r>
        <w:rPr>
          <w:rFonts w:ascii="Arial" w:eastAsia="宋体" w:hAnsi="Arial" w:cs="Arial"/>
          <w:b/>
          <w:kern w:val="0"/>
          <w:szCs w:val="20"/>
          <w:lang w:val="en-GB"/>
        </w:rPr>
        <w:t>CMCC</w:t>
      </w:r>
      <w:bookmarkEnd w:id="1"/>
    </w:p>
    <w:p w14:paraId="650B0585" w14:textId="77777777" w:rsidR="00BB7AED" w:rsidRDefault="00000000">
      <w:pPr>
        <w:tabs>
          <w:tab w:val="left" w:pos="1985"/>
        </w:tabs>
        <w:spacing w:after="180" w:line="240" w:lineRule="auto"/>
        <w:jc w:val="both"/>
        <w:outlineLvl w:val="0"/>
        <w:rPr>
          <w:rFonts w:ascii="Arial" w:eastAsia="宋体" w:hAnsi="Arial" w:cs="Arial"/>
          <w:b/>
          <w:kern w:val="0"/>
          <w:szCs w:val="20"/>
          <w:lang w:val="en-GB" w:eastAsia="zh-CN"/>
        </w:rPr>
      </w:pPr>
      <w:r>
        <w:rPr>
          <w:rFonts w:ascii="Arial" w:eastAsia="宋体" w:hAnsi="Arial" w:cs="Arial"/>
          <w:b/>
          <w:kern w:val="0"/>
          <w:szCs w:val="20"/>
          <w:lang w:val="en-GB"/>
        </w:rPr>
        <w:t>Document for:</w:t>
      </w:r>
      <w:r>
        <w:rPr>
          <w:rFonts w:ascii="Arial" w:eastAsia="宋体" w:hAnsi="Arial" w:cs="Arial"/>
          <w:b/>
          <w:kern w:val="0"/>
          <w:szCs w:val="20"/>
          <w:lang w:val="en-GB"/>
        </w:rPr>
        <w:tab/>
      </w:r>
      <w:r>
        <w:rPr>
          <w:rFonts w:ascii="Arial" w:eastAsia="宋体" w:hAnsi="Arial" w:cs="Arial"/>
          <w:kern w:val="0"/>
          <w:szCs w:val="20"/>
          <w:lang w:val="en-GB" w:eastAsia="zh-CN"/>
        </w:rPr>
        <w:t>Approval</w:t>
      </w:r>
    </w:p>
    <w:p w14:paraId="72DFAFDB" w14:textId="77777777" w:rsidR="00BB7AED" w:rsidRDefault="00000000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32"/>
        </w:tabs>
        <w:spacing w:before="240" w:after="180" w:line="240" w:lineRule="auto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0A6A5E05" w14:textId="77777777" w:rsidR="00BB7AED" w:rsidRDefault="00000000">
      <w:pPr>
        <w:spacing w:afterLines="50" w:after="120" w:line="240" w:lineRule="auto"/>
        <w:jc w:val="both"/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This document provides way-forwards on adjacent channel co-existence simulation of non-overlapping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subband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 fullduplex (SBFD) based on the outcomes of “Email discussion summary for [10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8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][3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08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 xml:space="preserve">]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FS_NR_duplex_evo_Part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3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zh-CN"/>
        </w:rPr>
        <w:t>”.</w:t>
      </w:r>
    </w:p>
    <w:p w14:paraId="2DA5AA3A" w14:textId="7BC922B5" w:rsidR="00BB7AED" w:rsidRDefault="00000000">
      <w:pPr>
        <w:spacing w:afterLines="50" w:after="120" w:line="240" w:lineRule="auto"/>
        <w:jc w:val="both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eastAsia="zh-CN"/>
        </w:rPr>
        <w:t>Moderator note: it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zh-CN"/>
        </w:rPr>
        <w:t>’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s </w:t>
      </w:r>
      <w:r w:rsidR="000A5B5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eastAsia="zh-CN"/>
        </w:rPr>
        <w:t>highly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appreciated for companies to show whether simulation results are updated or not on top of #108 meeting to help moderator reduce workload of collecting simulation results in #108bis meeting.</w:t>
      </w:r>
    </w:p>
    <w:p w14:paraId="478046B1" w14:textId="77777777" w:rsidR="00BB7AED" w:rsidRDefault="00000000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32"/>
        </w:tabs>
        <w:spacing w:before="240" w:after="180" w:line="240" w:lineRule="auto"/>
        <w:jc w:val="both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eastAsia="zh-CN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Way forward on adjacent channel simulation assumption for SBFD</w:t>
      </w:r>
    </w:p>
    <w:p w14:paraId="1F24C30E" w14:textId="77777777" w:rsidR="00BB7AED" w:rsidRDefault="00BB7AED">
      <w:pPr>
        <w:keepNext/>
        <w:keepLines/>
        <w:numPr>
          <w:ilvl w:val="0"/>
          <w:numId w:val="3"/>
        </w:numPr>
        <w:tabs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vanish/>
          <w:kern w:val="0"/>
          <w:sz w:val="32"/>
          <w:szCs w:val="20"/>
          <w:lang w:val="en-GB" w:eastAsia="zh-CN"/>
        </w:rPr>
      </w:pPr>
    </w:p>
    <w:p w14:paraId="605B9FE3" w14:textId="77777777" w:rsidR="00BB7AED" w:rsidRDefault="00BB7AED">
      <w:pPr>
        <w:keepNext/>
        <w:keepLines/>
        <w:numPr>
          <w:ilvl w:val="0"/>
          <w:numId w:val="3"/>
        </w:numPr>
        <w:tabs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vanish/>
          <w:kern w:val="0"/>
          <w:sz w:val="32"/>
          <w:szCs w:val="20"/>
          <w:lang w:val="en-GB" w:eastAsia="zh-CN"/>
        </w:rPr>
      </w:pPr>
    </w:p>
    <w:p w14:paraId="3611C352" w14:textId="77777777" w:rsidR="00BB7AED" w:rsidRDefault="00000000">
      <w:pPr>
        <w:keepNext/>
        <w:keepLines/>
        <w:numPr>
          <w:ilvl w:val="1"/>
          <w:numId w:val="3"/>
        </w:numPr>
        <w:tabs>
          <w:tab w:val="left" w:pos="432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 Sub-topic 1-2 propagation loss or penetration loss model</w:t>
      </w:r>
    </w:p>
    <w:p w14:paraId="627F044B" w14:textId="77777777" w:rsidR="00BB7AED" w:rsidRDefault="00000000">
      <w:pPr>
        <w:keepNext/>
        <w:keepLines/>
        <w:numPr>
          <w:ilvl w:val="2"/>
          <w:numId w:val="3"/>
        </w:numPr>
        <w:tabs>
          <w:tab w:val="left" w:pos="432"/>
          <w:tab w:val="left" w:pos="576"/>
        </w:tabs>
        <w:spacing w:before="120" w:after="180" w:line="240" w:lineRule="auto"/>
        <w:ind w:left="720"/>
        <w:outlineLvl w:val="2"/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bookmarkStart w:id="2" w:name="_Hlk133219405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 </w:t>
      </w:r>
      <w:r>
        <w:rPr>
          <w:rFonts w:ascii="Arial" w:eastAsia="宋体" w:hAnsi="Arial" w:cs="Times New Roman"/>
          <w:kern w:val="0"/>
          <w:sz w:val="24"/>
          <w:szCs w:val="20"/>
          <w:lang w:eastAsia="ko-KR"/>
        </w:rPr>
        <w:t xml:space="preserve">Issue 1-2-1: </w:t>
      </w:r>
      <w:r>
        <w:rPr>
          <w:rFonts w:ascii="Arial" w:eastAsia="宋体" w:hAnsi="Arial" w:cs="Times New Roman" w:hint="eastAsia"/>
          <w:kern w:val="0"/>
          <w:sz w:val="24"/>
          <w:szCs w:val="20"/>
          <w:lang w:eastAsia="ko-KR"/>
        </w:rPr>
        <w:t>principle for penetration loss for hotspot scenario</w:t>
      </w:r>
    </w:p>
    <w:p w14:paraId="3DD4937A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1F2A8E2F" w14:textId="77777777" w:rsidR="00BB7AED" w:rsidRDefault="00000000">
      <w:pPr>
        <w:numPr>
          <w:ilvl w:val="1"/>
          <w:numId w:val="4"/>
        </w:numPr>
        <w:spacing w:after="120"/>
        <w:ind w:left="144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/>
          <w:szCs w:val="24"/>
          <w:lang w:eastAsia="zh-CN"/>
        </w:rPr>
        <w:t>For pairs of indoor UEs deployed in the same cluster area</w:t>
      </w:r>
    </w:p>
    <w:p w14:paraId="3E9D52E7" w14:textId="77777777" w:rsidR="00BB7AED" w:rsidRDefault="00000000">
      <w:pPr>
        <w:numPr>
          <w:ilvl w:val="2"/>
          <w:numId w:val="4"/>
        </w:numPr>
        <w:spacing w:after="12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 w:hint="eastAsia"/>
          <w:szCs w:val="24"/>
          <w:lang w:eastAsia="zh-CN"/>
        </w:rPr>
        <w:t>O</w:t>
      </w:r>
      <w:r>
        <w:rPr>
          <w:rFonts w:ascii="Times New Roman" w:hAnsi="Times New Roman" w:cs="Times New Roman"/>
          <w:szCs w:val="24"/>
          <w:lang w:eastAsia="zh-CN"/>
        </w:rPr>
        <w:t>ption 1:Indoor-to-outdoor penetration losses are not calculated for pairs of indoor UEs deployed in the same cluster area</w:t>
      </w:r>
    </w:p>
    <w:p w14:paraId="348239BE" w14:textId="77777777" w:rsidR="00BB7AED" w:rsidRDefault="00000000">
      <w:pPr>
        <w:numPr>
          <w:ilvl w:val="2"/>
          <w:numId w:val="4"/>
        </w:numPr>
        <w:spacing w:after="12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 w:hint="eastAsia"/>
          <w:szCs w:val="24"/>
          <w:lang w:eastAsia="zh-CN"/>
        </w:rPr>
        <w:t>O</w:t>
      </w:r>
      <w:r>
        <w:rPr>
          <w:rFonts w:ascii="Times New Roman" w:hAnsi="Times New Roman" w:cs="Times New Roman"/>
          <w:szCs w:val="24"/>
          <w:lang w:eastAsia="zh-CN"/>
        </w:rPr>
        <w:t>ption 2: RAN1 approach in TR</w:t>
      </w:r>
    </w:p>
    <w:p w14:paraId="02EDEEFE" w14:textId="77777777" w:rsidR="00BB7AED" w:rsidRDefault="00000000">
      <w:pPr>
        <w:spacing w:after="120"/>
        <w:ind w:left="1440" w:firstLine="576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 w:hint="eastAsia"/>
          <w:szCs w:val="24"/>
          <w:lang w:eastAsia="zh-CN"/>
        </w:rPr>
        <w:t>N</w:t>
      </w:r>
      <w:r>
        <w:rPr>
          <w:rFonts w:ascii="Times New Roman" w:hAnsi="Times New Roman" w:cs="Times New Roman"/>
          <w:szCs w:val="24"/>
          <w:lang w:eastAsia="zh-CN"/>
        </w:rPr>
        <w:t>ote: Option 1 is baseline. No comparison between options are expected.</w:t>
      </w:r>
    </w:p>
    <w:p w14:paraId="7CF625E4" w14:textId="77777777" w:rsidR="00BB7AED" w:rsidRDefault="00000000">
      <w:pPr>
        <w:numPr>
          <w:ilvl w:val="1"/>
          <w:numId w:val="4"/>
        </w:numPr>
        <w:spacing w:after="120"/>
        <w:ind w:left="1440"/>
        <w:rPr>
          <w:rFonts w:ascii="Times New Roman" w:eastAsia="等线" w:hAnsi="Times New Roman" w:cs="Times New Roman"/>
          <w:color w:val="0070C0"/>
          <w:kern w:val="0"/>
          <w:sz w:val="20"/>
          <w:szCs w:val="20"/>
          <w:lang w:eastAsia="zh-CN" w:bidi="ar"/>
        </w:rPr>
      </w:pPr>
      <w:r>
        <w:rPr>
          <w:rFonts w:ascii="Times New Roman" w:hAnsi="Times New Roman" w:cs="Times New Roman"/>
          <w:szCs w:val="24"/>
          <w:lang w:eastAsia="zh-CN"/>
        </w:rPr>
        <w:t xml:space="preserve">For indoor UEs in different clusters, a single penetration loss component is calculated. The indoor distance used for the calculation depends on the 2D distance between the pair of UEs. </w:t>
      </w:r>
      <w:r>
        <w:rPr>
          <w:rFonts w:ascii="Times New Roman" w:eastAsia="等线" w:hAnsi="Times New Roman" w:cs="Times New Roman"/>
          <w:color w:val="0070C0"/>
          <w:kern w:val="0"/>
          <w:sz w:val="20"/>
          <w:szCs w:val="20"/>
          <w:lang w:eastAsia="zh-CN" w:bidi="ar"/>
        </w:rPr>
        <w:t xml:space="preserve"> </w:t>
      </w:r>
      <w:r>
        <w:rPr>
          <w:rFonts w:ascii="Times New Roman" w:hAnsi="Times New Roman" w:cs="Times New Roman"/>
          <w:szCs w:val="24"/>
          <w:lang w:eastAsia="zh-CN"/>
        </w:rPr>
        <w:t xml:space="preserve"> </w:t>
      </w:r>
      <w:r>
        <w:rPr>
          <w:rFonts w:ascii="Times New Roman" w:eastAsia="等线" w:hAnsi="Times New Roman" w:cs="Times New Roman"/>
          <w:color w:val="0070C0"/>
          <w:kern w:val="0"/>
          <w:sz w:val="20"/>
          <w:szCs w:val="20"/>
          <w:lang w:eastAsia="zh-CN" w:bidi="ar"/>
        </w:rPr>
        <w:t xml:space="preserve"> </w:t>
      </w:r>
    </w:p>
    <w:bookmarkEnd w:id="2"/>
    <w:p w14:paraId="0A188EB3" w14:textId="77777777" w:rsidR="00BB7AED" w:rsidRDefault="00000000">
      <w:pPr>
        <w:keepNext/>
        <w:keepLines/>
        <w:numPr>
          <w:ilvl w:val="2"/>
          <w:numId w:val="3"/>
        </w:numPr>
        <w:tabs>
          <w:tab w:val="left" w:pos="432"/>
          <w:tab w:val="left" w:pos="576"/>
        </w:tabs>
        <w:spacing w:before="120" w:after="180" w:line="240" w:lineRule="auto"/>
        <w:ind w:left="720"/>
        <w:outlineLvl w:val="2"/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 </w:t>
      </w:r>
      <w:r>
        <w:rPr>
          <w:rFonts w:ascii="Arial" w:eastAsia="宋体" w:hAnsi="Arial" w:cs="Times New Roman"/>
          <w:kern w:val="0"/>
          <w:sz w:val="24"/>
          <w:szCs w:val="20"/>
          <w:lang w:eastAsia="ko-KR"/>
        </w:rPr>
        <w:t>Issue 1-2-</w:t>
      </w:r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2</w:t>
      </w:r>
      <w:r>
        <w:rPr>
          <w:rFonts w:ascii="Arial" w:eastAsia="宋体" w:hAnsi="Arial" w:cs="Times New Roman"/>
          <w:kern w:val="0"/>
          <w:sz w:val="24"/>
          <w:szCs w:val="20"/>
          <w:lang w:eastAsia="ko-KR"/>
        </w:rPr>
        <w:t xml:space="preserve">: how to </w:t>
      </w:r>
      <w:r>
        <w:rPr>
          <w:rFonts w:ascii="Arial" w:eastAsia="宋体" w:hAnsi="Arial" w:cs="Times New Roman" w:hint="eastAsia"/>
          <w:kern w:val="0"/>
          <w:sz w:val="24"/>
          <w:szCs w:val="20"/>
          <w:lang w:eastAsia="ko-KR"/>
        </w:rPr>
        <w:t xml:space="preserve"> generate </w:t>
      </w:r>
      <m:oMath>
        <m:sSub>
          <m:sSubPr>
            <m:ctrlPr>
              <w:rPr>
                <w:rFonts w:ascii="Cambria Math" w:eastAsia="宋体" w:hAnsi="Cambria Math" w:cs="Times New Roman" w:hint="eastAsia"/>
                <w:kern w:val="0"/>
                <w:sz w:val="24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 w:hint="eastAsia"/>
                <w:kern w:val="0"/>
                <w:sz w:val="24"/>
                <w:szCs w:val="20"/>
                <w:lang w:eastAsia="ko-KR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 w:hint="eastAsia"/>
                <w:kern w:val="0"/>
                <w:sz w:val="24"/>
                <w:szCs w:val="20"/>
                <w:lang w:eastAsia="ko-KR"/>
              </w:rPr>
              <m:t>2D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kern w:val="0"/>
                <w:sz w:val="24"/>
                <w:szCs w:val="20"/>
                <w:lang w:eastAsia="ko-KR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 w:hint="eastAsia"/>
                <w:kern w:val="0"/>
                <w:sz w:val="24"/>
                <w:szCs w:val="20"/>
                <w:lang w:eastAsia="ko-KR"/>
              </w:rPr>
              <m:t>in</m:t>
            </m:r>
          </m:sub>
        </m:sSub>
      </m:oMath>
      <w:r>
        <w:rPr>
          <w:rFonts w:ascii="Arial" w:eastAsia="宋体" w:hAnsi="Arial" w:cs="Times New Roman" w:hint="eastAsia"/>
          <w:kern w:val="0"/>
          <w:sz w:val="24"/>
          <w:szCs w:val="20"/>
          <w:lang w:eastAsia="ko-KR"/>
        </w:rPr>
        <w:t xml:space="preserve"> for a UE-UE link associated with an indoor UE</w:t>
      </w:r>
    </w:p>
    <w:p w14:paraId="6B271E99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56CDCEEA" w14:textId="77777777" w:rsidR="00BB7AED" w:rsidRDefault="00000000">
      <w:pPr>
        <w:numPr>
          <w:ilvl w:val="1"/>
          <w:numId w:val="4"/>
        </w:numPr>
        <w:spacing w:after="120"/>
        <w:ind w:left="144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/>
          <w:szCs w:val="24"/>
          <w:lang w:eastAsia="zh-CN"/>
        </w:rPr>
        <w:t xml:space="preserve">Follow same approach as RAN1. The following is used to generate  </w:t>
      </w:r>
      <m:oMath>
        <m:sSub>
          <m:sSubPr>
            <m:ctrlPr>
              <w:rPr>
                <w:rFonts w:ascii="Cambria Math" w:hAnsi="Cambria Math" w:cs="Times New Roman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4"/>
                <w:lang w:eastAsia="zh-C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4"/>
                <w:lang w:eastAsia="zh-CN"/>
              </w:rPr>
              <m:t>2D-in</m:t>
            </m:r>
          </m:sub>
        </m:sSub>
      </m:oMath>
      <w:r>
        <w:rPr>
          <w:rFonts w:ascii="Times New Roman" w:hAnsi="Times New Roman" w:cs="Times New Roman"/>
          <w:szCs w:val="24"/>
          <w:lang w:eastAsia="zh-CN"/>
        </w:rPr>
        <w:t xml:space="preserve"> for a UE-UE link associated with an indoor UE (the other UE could be an outdoor UE or an indoor UE in a different building) in order to calculate the inside loss component (</w:t>
      </w:r>
      <m:oMath>
        <m:r>
          <m:rPr>
            <m:nor/>
          </m:rPr>
          <w:rPr>
            <w:rFonts w:ascii="Cambria Math" w:hAnsi="Cambria Math" w:cs="Times New Roman"/>
            <w:szCs w:val="24"/>
            <w:lang w:eastAsia="zh-CN"/>
          </w:rPr>
          <m:t>P</m:t>
        </m:r>
        <m:sSub>
          <m:sSubPr>
            <m:ctrlPr>
              <w:rPr>
                <w:rFonts w:ascii="Cambria Math" w:hAnsi="Cambria Math" w:cs="Times New Roman"/>
                <w:szCs w:val="24"/>
                <w:lang w:eastAsia="zh-CN"/>
              </w:rPr>
            </m:ctrlPr>
          </m:sSubPr>
          <m:e>
            <m:r>
              <m:rPr>
                <m:nor/>
              </m:rPr>
              <w:rPr>
                <w:rFonts w:ascii="Cambria Math" w:hAnsi="Cambria Math" w:cs="Times New Roman"/>
                <w:szCs w:val="24"/>
                <w:lang w:eastAsia="zh-CN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 w:cs="Times New Roman"/>
                <w:szCs w:val="24"/>
                <w:lang w:eastAsia="zh-CN"/>
              </w:rPr>
              <m:t>in</m:t>
            </m:r>
          </m:sub>
        </m:sSub>
      </m:oMath>
      <w:r>
        <w:rPr>
          <w:rFonts w:ascii="Times New Roman" w:hAnsi="Times New Roman" w:cs="Times New Roman"/>
          <w:szCs w:val="24"/>
          <w:lang w:eastAsia="zh-CN"/>
        </w:rPr>
        <w:t>) of the UE-UE O2I building penetration loss</w:t>
      </w:r>
    </w:p>
    <w:p w14:paraId="3087C040" w14:textId="77777777" w:rsidR="00BB7AED" w:rsidRDefault="00000000">
      <w:pPr>
        <w:spacing w:after="120"/>
        <w:ind w:left="992"/>
        <w:rPr>
          <w:rFonts w:ascii="Times New Roman" w:hAnsi="Times New Roman" w:cs="Times New Roman"/>
          <w:szCs w:val="24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Cs w:val="24"/>
                  <w:lang w:val="zh-CN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zh-CN"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zh-CN" w:eastAsia="zh-CN"/>
                </w:rPr>
                <m:t>2D-in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Cs w:val="24"/>
              <w:lang w:val="zh-CN" w:eastAsia="zh-CN"/>
            </w:rPr>
            <m:t> =Uniform(0,min⁡{25m,</m:t>
          </m:r>
          <m:f>
            <m:fPr>
              <m:ctrlPr>
                <w:rPr>
                  <w:rFonts w:ascii="Cambria Math" w:hAnsi="Cambria Math" w:cs="Times New Roman"/>
                  <w:szCs w:val="24"/>
                  <w:lang w:val="zh-CN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Cs w:val="24"/>
                      <w:lang w:val="zh-CN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4"/>
                      <w:lang w:val="zh-CN"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4"/>
                      <w:lang w:val="zh-CN" w:eastAsia="zh-CN"/>
                    </w:rPr>
                    <m:t>2D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  <w:lang w:val="zh-CN" w:eastAsia="zh-CN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Cs w:val="24"/>
              <w:lang w:val="zh-CN" w:eastAsia="zh-CN"/>
            </w:rPr>
            <m:t>})</m:t>
          </m:r>
        </m:oMath>
      </m:oMathPara>
    </w:p>
    <w:p w14:paraId="62E71789" w14:textId="77777777" w:rsidR="00BB7AED" w:rsidRDefault="00BB7AED">
      <w:pPr>
        <w:spacing w:after="120" w:line="240" w:lineRule="auto"/>
        <w:rPr>
          <w:rFonts w:ascii="Calibri" w:eastAsia="宋体" w:hAnsi="Calibri" w:cs="Times New Roman"/>
          <w:kern w:val="0"/>
          <w:sz w:val="20"/>
          <w:szCs w:val="24"/>
          <w:lang w:val="en-GB" w:eastAsia="zh-CN"/>
        </w:rPr>
      </w:pPr>
    </w:p>
    <w:p w14:paraId="567EDD20" w14:textId="77777777" w:rsidR="00BB7AED" w:rsidRDefault="00000000">
      <w:pPr>
        <w:keepNext/>
        <w:keepLines/>
        <w:numPr>
          <w:ilvl w:val="1"/>
          <w:numId w:val="3"/>
        </w:numPr>
        <w:tabs>
          <w:tab w:val="left" w:pos="432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Sub-topic 1-3 </w:t>
      </w:r>
      <w:r>
        <w:rPr>
          <w:rFonts w:ascii="Arial" w:eastAsia="宋体" w:hAnsi="Arial" w:cs="Times New Roman" w:hint="eastAsia"/>
          <w:kern w:val="0"/>
          <w:sz w:val="32"/>
          <w:szCs w:val="20"/>
          <w:lang w:val="sv-SE" w:eastAsia="zh-CN"/>
        </w:rPr>
        <w:t>ACLR/ACS modeling</w:t>
      </w:r>
    </w:p>
    <w:p w14:paraId="5BF60637" w14:textId="77777777" w:rsidR="00BB7AED" w:rsidRDefault="00000000">
      <w:pPr>
        <w:keepNext/>
        <w:keepLines/>
        <w:numPr>
          <w:ilvl w:val="2"/>
          <w:numId w:val="3"/>
        </w:numPr>
        <w:tabs>
          <w:tab w:val="left" w:pos="432"/>
          <w:tab w:val="left" w:pos="576"/>
        </w:tabs>
        <w:spacing w:before="120" w:after="180" w:line="240" w:lineRule="auto"/>
        <w:ind w:left="720"/>
        <w:outlineLvl w:val="2"/>
        <w:rPr>
          <w:rFonts w:ascii="Arial" w:eastAsia="宋体" w:hAnsi="Arial" w:cs="Times New Roman"/>
          <w:kern w:val="0"/>
          <w:sz w:val="24"/>
          <w:szCs w:val="20"/>
          <w:lang w:eastAsia="ko-KR"/>
        </w:rPr>
      </w:pPr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 </w:t>
      </w:r>
      <w:r>
        <w:rPr>
          <w:rFonts w:ascii="Arial" w:eastAsia="宋体" w:hAnsi="Arial" w:cs="Times New Roman" w:hint="eastAsia"/>
          <w:kern w:val="0"/>
          <w:sz w:val="24"/>
          <w:szCs w:val="20"/>
          <w:lang w:eastAsia="ko-KR"/>
        </w:rPr>
        <w:t>Issue 1-</w:t>
      </w:r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3</w:t>
      </w:r>
      <w:r>
        <w:rPr>
          <w:rFonts w:ascii="Arial" w:eastAsia="宋体" w:hAnsi="Arial" w:cs="Times New Roman" w:hint="eastAsia"/>
          <w:kern w:val="0"/>
          <w:sz w:val="24"/>
          <w:szCs w:val="20"/>
          <w:lang w:eastAsia="ko-KR"/>
        </w:rPr>
        <w:t>-1: adjacent channel selectivity for each base station type</w:t>
      </w:r>
    </w:p>
    <w:p w14:paraId="085953E9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65F4C2A5" w14:textId="77777777" w:rsidR="00BB7AED" w:rsidRDefault="00000000">
      <w:pPr>
        <w:numPr>
          <w:ilvl w:val="0"/>
          <w:numId w:val="5"/>
        </w:numPr>
        <w:spacing w:after="180" w:line="240" w:lineRule="auto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For co-existence simulation purpose (The ACSBS/ICSBS which refer to baseband suppression):</w:t>
      </w:r>
    </w:p>
    <w:p w14:paraId="79DC2C33" w14:textId="77777777" w:rsidR="00BB7AED" w:rsidRDefault="00000000">
      <w:pPr>
        <w:numPr>
          <w:ilvl w:val="0"/>
          <w:numId w:val="5"/>
        </w:numPr>
        <w:spacing w:after="180" w:line="240" w:lineRule="auto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Baseline assumption: 50dB for all BS classes</w:t>
      </w:r>
    </w:p>
    <w:p w14:paraId="0E988ED3" w14:textId="77777777" w:rsidR="00BB7AED" w:rsidRDefault="00000000">
      <w:pPr>
        <w:numPr>
          <w:ilvl w:val="0"/>
          <w:numId w:val="5"/>
        </w:numPr>
        <w:spacing w:after="180" w:line="240" w:lineRule="auto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Other values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with in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the range [46dB ~62dBc] not precluded pending on companies’ input ‘ for all BS classes</w:t>
      </w:r>
    </w:p>
    <w:p w14:paraId="0DABF685" w14:textId="77777777" w:rsidR="00BB7AED" w:rsidRDefault="00000000">
      <w:pPr>
        <w:numPr>
          <w:ilvl w:val="0"/>
          <w:numId w:val="5"/>
        </w:numPr>
        <w:spacing w:after="180" w:line="240" w:lineRule="auto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Above agreement no impact on RAN1 evaluation </w:t>
      </w:r>
    </w:p>
    <w:p w14:paraId="191CF2D5" w14:textId="77777777" w:rsidR="00BB7AED" w:rsidRDefault="00000000">
      <w:pPr>
        <w:keepNext/>
        <w:keepLines/>
        <w:numPr>
          <w:ilvl w:val="1"/>
          <w:numId w:val="3"/>
        </w:numPr>
        <w:tabs>
          <w:tab w:val="left" w:pos="432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Sub-topic 1-5 Scenario</w:t>
      </w:r>
    </w:p>
    <w:p w14:paraId="069C96CC" w14:textId="77777777" w:rsidR="00BB7AED" w:rsidRDefault="00000000">
      <w:pPr>
        <w:keepNext/>
        <w:keepLines/>
        <w:numPr>
          <w:ilvl w:val="2"/>
          <w:numId w:val="3"/>
        </w:numPr>
        <w:tabs>
          <w:tab w:val="left" w:pos="432"/>
          <w:tab w:val="left" w:pos="576"/>
        </w:tabs>
        <w:spacing w:before="120" w:after="180" w:line="240" w:lineRule="auto"/>
        <w:ind w:left="720"/>
        <w:outlineLvl w:val="2"/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bookmarkStart w:id="3" w:name="_Hlk133219632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 Issue 1-5-1: priority of scenarios and cases</w:t>
      </w:r>
    </w:p>
    <w:p w14:paraId="4051B32D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19539F7D" w14:textId="77777777" w:rsidR="00BB7AED" w:rsidRDefault="00000000">
      <w:pPr>
        <w:numPr>
          <w:ilvl w:val="0"/>
          <w:numId w:val="6"/>
        </w:numPr>
        <w:spacing w:after="180" w:line="24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eastAsia="zh-CN" w:bidi="ar"/>
        </w:rPr>
        <w:t>For scenario 4, high priority.</w:t>
      </w:r>
    </w:p>
    <w:p w14:paraId="381A4598" w14:textId="77777777" w:rsidR="00BB7AED" w:rsidRDefault="00000000">
      <w:pPr>
        <w:numPr>
          <w:ilvl w:val="0"/>
          <w:numId w:val="6"/>
        </w:numPr>
        <w:spacing w:after="180" w:line="24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eastAsia="zh-CN" w:bidi="ar"/>
        </w:rPr>
        <w:t>For other scenarios, maintain previous priority.</w:t>
      </w:r>
    </w:p>
    <w:bookmarkEnd w:id="3"/>
    <w:p w14:paraId="62ECA11F" w14:textId="77777777" w:rsidR="00BB7AED" w:rsidRDefault="00000000">
      <w:pPr>
        <w:keepNext/>
        <w:keepLines/>
        <w:numPr>
          <w:ilvl w:val="2"/>
          <w:numId w:val="3"/>
        </w:numPr>
        <w:tabs>
          <w:tab w:val="left" w:pos="432"/>
          <w:tab w:val="left" w:pos="576"/>
        </w:tabs>
        <w:spacing w:before="120" w:after="180" w:line="240" w:lineRule="auto"/>
        <w:ind w:left="720"/>
        <w:outlineLvl w:val="2"/>
        <w:rPr>
          <w:rFonts w:ascii="Arial" w:eastAsia="宋体" w:hAnsi="Arial" w:cs="Times New Roman"/>
          <w:kern w:val="0"/>
          <w:sz w:val="24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 Issue 1-5-2: Tx power and bandwidth for </w:t>
      </w:r>
      <w:proofErr w:type="spellStart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-to-</w:t>
      </w:r>
      <w:proofErr w:type="spellStart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 scenario</w:t>
      </w:r>
    </w:p>
    <w:p w14:paraId="2AEE185A" w14:textId="77777777" w:rsidR="00BB7AED" w:rsidRDefault="00000000">
      <w:pPr>
        <w:spacing w:after="12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/>
          <w:szCs w:val="24"/>
          <w:lang w:eastAsia="zh-CN"/>
        </w:rPr>
        <w:t>Proposals</w:t>
      </w:r>
    </w:p>
    <w:p w14:paraId="0B28F25D" w14:textId="77777777" w:rsidR="00BB7AED" w:rsidRDefault="00000000">
      <w:pPr>
        <w:numPr>
          <w:ilvl w:val="1"/>
          <w:numId w:val="4"/>
        </w:numPr>
        <w:spacing w:after="120"/>
        <w:ind w:left="144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/>
          <w:szCs w:val="24"/>
          <w:lang w:eastAsia="zh-CN"/>
        </w:rPr>
        <w:t xml:space="preserve">Option 1: 46dBm/100MHz </w:t>
      </w:r>
    </w:p>
    <w:p w14:paraId="3CE6A012" w14:textId="77777777" w:rsidR="00BB7AED" w:rsidRDefault="00000000">
      <w:pPr>
        <w:numPr>
          <w:ilvl w:val="1"/>
          <w:numId w:val="4"/>
        </w:numPr>
        <w:spacing w:after="120"/>
        <w:ind w:left="144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/>
          <w:szCs w:val="24"/>
          <w:lang w:eastAsia="zh-CN"/>
        </w:rPr>
        <w:t>Option 2: 38dBm/100MHz</w:t>
      </w:r>
    </w:p>
    <w:p w14:paraId="7697948C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302AC009" w14:textId="77777777" w:rsidR="00BB7AED" w:rsidRDefault="00000000">
      <w:pPr>
        <w:numPr>
          <w:ilvl w:val="1"/>
          <w:numId w:val="4"/>
        </w:numPr>
        <w:spacing w:after="120"/>
        <w:ind w:left="1440"/>
        <w:rPr>
          <w:rFonts w:ascii="Times New Roman" w:hAnsi="Times New Roman" w:cs="Times New Roman"/>
          <w:szCs w:val="24"/>
          <w:lang w:eastAsia="zh-CN"/>
        </w:rPr>
      </w:pPr>
      <w:r>
        <w:rPr>
          <w:rFonts w:ascii="Times New Roman" w:hAnsi="Times New Roman" w:cs="Times New Roman"/>
          <w:szCs w:val="24"/>
          <w:lang w:eastAsia="zh-CN"/>
        </w:rPr>
        <w:t>both option 1 and option 2 and companies choose either one or both in their simulation.</w:t>
      </w:r>
    </w:p>
    <w:p w14:paraId="7315F8CD" w14:textId="77777777" w:rsidR="00BB7AED" w:rsidRDefault="00000000">
      <w:pPr>
        <w:keepNext/>
        <w:keepLines/>
        <w:numPr>
          <w:ilvl w:val="2"/>
          <w:numId w:val="3"/>
        </w:numPr>
        <w:tabs>
          <w:tab w:val="left" w:pos="432"/>
          <w:tab w:val="left" w:pos="576"/>
        </w:tabs>
        <w:spacing w:before="120" w:after="180" w:line="240" w:lineRule="auto"/>
        <w:ind w:left="720"/>
        <w:outlineLvl w:val="2"/>
        <w:rPr>
          <w:rFonts w:ascii="Arial" w:eastAsia="宋体" w:hAnsi="Arial" w:cs="Times New Roman"/>
          <w:kern w:val="0"/>
          <w:sz w:val="24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Issue 1-5-3: except for above parameters, other parameters for </w:t>
      </w:r>
      <w:proofErr w:type="spellStart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-to-</w:t>
      </w:r>
      <w:proofErr w:type="spellStart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 xml:space="preserve"> scenario</w:t>
      </w:r>
    </w:p>
    <w:p w14:paraId="2CF6C104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115789B4" w14:textId="77777777" w:rsidR="00BB7AED" w:rsidRDefault="00000000">
      <w:pPr>
        <w:spacing w:after="180" w:line="240" w:lineRule="auto"/>
        <w:rPr>
          <w:rFonts w:ascii="Times New Roman" w:eastAsia="等线" w:hAnsi="Times New Roman" w:cs="Times New Roman"/>
          <w:color w:val="0070C0"/>
          <w:kern w:val="0"/>
          <w:sz w:val="20"/>
          <w:szCs w:val="20"/>
          <w:lang w:eastAsia="zh-CN" w:bidi="ar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the same as used in Uma-to-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UMi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 xml:space="preserve"> scenario, i.e. defined in R4-2305922</w:t>
      </w:r>
    </w:p>
    <w:p w14:paraId="664A6A4C" w14:textId="77777777" w:rsidR="00BB7AED" w:rsidRDefault="00000000">
      <w:pPr>
        <w:keepNext/>
        <w:keepLines/>
        <w:numPr>
          <w:ilvl w:val="2"/>
          <w:numId w:val="3"/>
        </w:numPr>
        <w:tabs>
          <w:tab w:val="left" w:pos="432"/>
          <w:tab w:val="left" w:pos="576"/>
        </w:tabs>
        <w:spacing w:before="120" w:after="180" w:line="240" w:lineRule="auto"/>
        <w:ind w:left="720"/>
        <w:outlineLvl w:val="2"/>
        <w:rPr>
          <w:rFonts w:ascii="Arial" w:eastAsia="宋体" w:hAnsi="Arial" w:cs="Times New Roman"/>
          <w:kern w:val="0"/>
          <w:sz w:val="24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24"/>
          <w:szCs w:val="20"/>
          <w:lang w:eastAsia="zh-CN"/>
        </w:rPr>
        <w:t>Issue 1-5-6: scenario 7 FR2 Urban Hotspot -&gt; Urban Hotspot</w:t>
      </w:r>
    </w:p>
    <w:p w14:paraId="4FDCD062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65331338" w14:textId="77777777" w:rsidR="00BB7AED" w:rsidRDefault="00000000">
      <w:pPr>
        <w:spacing w:after="12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Down-select this scenario 7 from the study given the FR2</w:t>
      </w:r>
    </w:p>
    <w:p w14:paraId="73754074" w14:textId="77777777" w:rsidR="00BB7AED" w:rsidRDefault="00000000">
      <w:pPr>
        <w:keepNext/>
        <w:keepLines/>
        <w:numPr>
          <w:ilvl w:val="1"/>
          <w:numId w:val="3"/>
        </w:numPr>
        <w:tabs>
          <w:tab w:val="left" w:pos="432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val="sv-SE" w:eastAsia="zh-CN"/>
        </w:rPr>
        <w:t>Sub-topic 1-</w:t>
      </w: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8</w:t>
      </w:r>
      <w:r>
        <w:rPr>
          <w:rFonts w:ascii="Arial" w:eastAsia="宋体" w:hAnsi="Arial" w:cs="Times New Roman" w:hint="eastAsia"/>
          <w:kern w:val="0"/>
          <w:sz w:val="32"/>
          <w:szCs w:val="20"/>
          <w:lang w:val="sv-SE" w:eastAsia="zh-CN"/>
        </w:rPr>
        <w:t xml:space="preserve"> </w:t>
      </w: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sub-band filter</w:t>
      </w:r>
    </w:p>
    <w:p w14:paraId="74369EAB" w14:textId="77777777" w:rsidR="00BB7AED" w:rsidRDefault="00000000">
      <w:pPr>
        <w:spacing w:after="12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Proposals</w:t>
      </w:r>
    </w:p>
    <w:p w14:paraId="6E720220" w14:textId="77777777" w:rsidR="00BB7AED" w:rsidRDefault="00000000">
      <w:pPr>
        <w:numPr>
          <w:ilvl w:val="1"/>
          <w:numId w:val="4"/>
        </w:numPr>
        <w:spacing w:after="120"/>
        <w:ind w:left="144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lastRenderedPageBreak/>
        <w:t>Option 1: it is proposed to consider the sub-band filter per operator for the new deployment band which can enable more deployment scenarios. (Huawei)</w:t>
      </w:r>
    </w:p>
    <w:p w14:paraId="26C87725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738F811C" w14:textId="77777777" w:rsidR="00BB7AED" w:rsidRDefault="00000000">
      <w:pPr>
        <w:numPr>
          <w:ilvl w:val="0"/>
          <w:numId w:val="4"/>
        </w:numPr>
        <w:spacing w:after="120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Companies are encouraged to bring more analysis on possible solution to enable more deployment scenarios which not reflected by existing co-existence simulation e.g. the sub-band filter per operator.</w:t>
      </w:r>
    </w:p>
    <w:p w14:paraId="6358F1A0" w14:textId="77777777" w:rsidR="00BB7AED" w:rsidRDefault="00BB7AED">
      <w:pPr>
        <w:spacing w:after="180" w:line="240" w:lineRule="auto"/>
        <w:rPr>
          <w:rFonts w:ascii="Calibri" w:eastAsia="等线" w:hAnsi="Calibri" w:cs="Times New Roman"/>
          <w:color w:val="0070C0"/>
          <w:kern w:val="0"/>
          <w:sz w:val="20"/>
          <w:szCs w:val="20"/>
          <w:lang w:eastAsia="zh-CN" w:bidi="ar"/>
        </w:rPr>
      </w:pPr>
    </w:p>
    <w:p w14:paraId="663A7B09" w14:textId="77777777" w:rsidR="00BB7AED" w:rsidRDefault="00000000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32"/>
        </w:tabs>
        <w:spacing w:before="240" w:after="180" w:line="240" w:lineRule="auto"/>
        <w:jc w:val="both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eastAsia="zh-CN"/>
        </w:rPr>
        <w:t>Template to collect simulation results</w:t>
      </w:r>
    </w:p>
    <w:p w14:paraId="6C8F0865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4641FBC2" w14:textId="77777777" w:rsidR="00BB7AED" w:rsidRDefault="00000000">
      <w:pPr>
        <w:spacing w:after="180" w:line="24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eastAsia="zh-CN" w:bidi="ar"/>
        </w:rPr>
        <w:t>It’s approved to use following template for final simulation results collection.</w:t>
      </w:r>
    </w:p>
    <w:p w14:paraId="6C641F0F" w14:textId="77777777" w:rsidR="00BB7AED" w:rsidRDefault="00000000">
      <w:pPr>
        <w:spacing w:after="180" w:line="240" w:lineRule="auto"/>
        <w:rPr>
          <w:rFonts w:ascii="Calibri" w:eastAsia="等线" w:hAnsi="Calibri" w:cs="Times New Roman"/>
          <w:color w:val="0070C0"/>
          <w:kern w:val="0"/>
          <w:sz w:val="20"/>
          <w:szCs w:val="20"/>
          <w:lang w:eastAsia="zh-CN" w:bidi="ar"/>
        </w:rPr>
      </w:pPr>
      <w:r>
        <w:rPr>
          <w:lang w:eastAsia="zh-CN"/>
        </w:rPr>
        <w:object w:dxaOrig="1816" w:dyaOrig="1315" w14:anchorId="37DE6A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65.6pt" o:ole="">
            <v:imagedata r:id="rId7" o:title=""/>
          </v:shape>
          <o:OLEObject Type="Embed" ProgID="Excel.Sheet.12" ShapeID="_x0000_i1025" DrawAspect="Icon" ObjectID="_1754419197" r:id="rId8"/>
        </w:object>
      </w:r>
    </w:p>
    <w:p w14:paraId="58087DA1" w14:textId="77777777" w:rsidR="00BB7AED" w:rsidRDefault="00000000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32"/>
        </w:tabs>
        <w:spacing w:before="240" w:after="180" w:line="240" w:lineRule="auto"/>
        <w:jc w:val="both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eastAsia="zh-CN"/>
        </w:rPr>
        <w:t>Simulation results</w:t>
      </w:r>
    </w:p>
    <w:p w14:paraId="58C87B01" w14:textId="77777777" w:rsidR="00BB7AED" w:rsidRDefault="00000000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1E23B653" w14:textId="77777777" w:rsidR="00BB7AED" w:rsidRDefault="00000000">
      <w:pPr>
        <w:spacing w:after="180" w:line="240" w:lineRule="auto"/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 w:hint="eastAsia"/>
          <w:iCs/>
          <w:color w:val="000000" w:themeColor="text1"/>
          <w:kern w:val="0"/>
          <w:sz w:val="20"/>
          <w:szCs w:val="20"/>
          <w:lang w:eastAsia="zh-CN" w:bidi="ar"/>
        </w:rPr>
        <w:t>All following agreements are based on collected simulation results until RAN4#108</w:t>
      </w:r>
      <w:r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>.</w:t>
      </w:r>
      <w:r>
        <w:rPr>
          <w:rFonts w:ascii="Times New Roman" w:eastAsia="等线" w:hAnsi="Times New Roman" w:cs="Times New Roman" w:hint="eastAsia"/>
          <w:iCs/>
          <w:color w:val="000000" w:themeColor="text1"/>
          <w:kern w:val="0"/>
          <w:sz w:val="20"/>
          <w:szCs w:val="20"/>
          <w:lang w:eastAsia="zh-CN" w:bidi="ar"/>
        </w:rPr>
        <w:t xml:space="preserve"> </w:t>
      </w:r>
    </w:p>
    <w:p w14:paraId="5B164346" w14:textId="77777777" w:rsidR="00BB7AED" w:rsidRDefault="00000000">
      <w:pPr>
        <w:spacing w:after="180" w:line="240" w:lineRule="auto"/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>The deadline for collecting simulation results is RAN4#108bis.</w:t>
      </w:r>
    </w:p>
    <w:p w14:paraId="001FCC52" w14:textId="77777777" w:rsidR="00BB7AED" w:rsidRDefault="00000000">
      <w:pPr>
        <w:spacing w:after="180" w:line="240" w:lineRule="auto"/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 w:hint="eastAsia"/>
          <w:iCs/>
          <w:color w:val="000000" w:themeColor="text1"/>
          <w:kern w:val="0"/>
          <w:sz w:val="20"/>
          <w:szCs w:val="20"/>
          <w:lang w:eastAsia="zh-CN" w:bidi="ar"/>
        </w:rPr>
        <w:t>T</w:t>
      </w:r>
      <w:r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>he numbers and/or ranges of performance degradation will be captured in TR.</w:t>
      </w:r>
    </w:p>
    <w:p w14:paraId="5EEE0AE1" w14:textId="77777777" w:rsidR="00BB7AED" w:rsidRDefault="00000000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Blocking probability (receiver is being blocked) is not mandatory to be provided, and can be captured for information.</w:t>
      </w:r>
    </w:p>
    <w:p w14:paraId="6D243034" w14:textId="77777777" w:rsidR="00BB7AED" w:rsidRDefault="00000000">
      <w:pPr>
        <w:keepNext/>
        <w:keepLines/>
        <w:tabs>
          <w:tab w:val="left" w:pos="432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val="sv-SE" w:eastAsia="zh-CN"/>
        </w:rPr>
        <w:t xml:space="preserve">4.1 </w:t>
      </w: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Scenario 1 FR1 Urban Macro -&gt; Urban Macro (high priority)</w:t>
      </w:r>
    </w:p>
    <w:p w14:paraId="205A3AA5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3CAC3557" w14:textId="787DCD9B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40889A3E" w14:textId="77777777" w:rsidR="00BB7AED" w:rsidRDefault="00000000">
      <w:pPr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For 100% grid shift and baseline assumption,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SINR/throughput degradation is acceptable for both SBFD antenna configuration 1 and 2.</w:t>
      </w:r>
    </w:p>
    <w:p w14:paraId="53920F3E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2: aggressor SBFD DU victim NR TDD UL (low priority)</w:t>
      </w:r>
    </w:p>
    <w:p w14:paraId="45130533" w14:textId="7EFD2E03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255FABBF" w14:textId="77777777" w:rsidR="00BB7AED" w:rsidRDefault="00000000">
      <w:pPr>
        <w:pStyle w:val="af1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100% grid shift and baseline assumption, higher than 5% throughput loss is observed.</w:t>
      </w:r>
    </w:p>
    <w:p w14:paraId="624C7947" w14:textId="77777777" w:rsidR="00BB7AED" w:rsidRDefault="00000000">
      <w:pPr>
        <w:pStyle w:val="af1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The degradation is even worse for less grid shift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AD59028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3: aggressor NR TDD DL victim SBFD DU (high priority)</w:t>
      </w:r>
    </w:p>
    <w:p w14:paraId="61D43C82" w14:textId="097D56C5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5E080F91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UL:</w:t>
      </w:r>
    </w:p>
    <w:p w14:paraId="764A20FD" w14:textId="77777777" w:rsidR="00BB7AED" w:rsidRDefault="00000000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For 100% grid shift, interference is higher than 5% throughput loss is observed. </w:t>
      </w:r>
    </w:p>
    <w:p w14:paraId="14E078A8" w14:textId="77777777" w:rsidR="00BB7AED" w:rsidRDefault="00000000">
      <w:pPr>
        <w:pStyle w:val="af1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The degradation is even worse for less grid shift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2818A7E" w14:textId="77777777" w:rsidR="00BB7AED" w:rsidRDefault="00000000">
      <w:pPr>
        <w:pStyle w:val="af1"/>
        <w:numPr>
          <w:ilvl w:val="2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100% grid shift , no 100% UL throughput loss is observed at SBFD receiver</w:t>
      </w:r>
    </w:p>
    <w:p w14:paraId="3EAAC5DC" w14:textId="77777777" w:rsidR="00BB7AED" w:rsidRDefault="00000000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[Regarding blocking probability, only one company show the results e.g. 2% blocking from Ericsson]</w:t>
      </w:r>
    </w:p>
    <w:p w14:paraId="38756AB5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DL: TBD</w:t>
      </w:r>
    </w:p>
    <w:p w14:paraId="0B8B6DCF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4: aggressor NR TDD UL victim SBFD DU  (low priority)</w:t>
      </w:r>
    </w:p>
    <w:p w14:paraId="63DB9181" w14:textId="6D3DF8A3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7F005FAF" w14:textId="77777777" w:rsidR="00BB7AED" w:rsidRDefault="00000000">
      <w:pPr>
        <w:pStyle w:val="af1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100% grid shift and baseline assumption, interference is acceptable for cell average, FFS for cell edge.</w:t>
      </w:r>
    </w:p>
    <w:p w14:paraId="4C63B356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4.2 Scenario 2 FR1 Urban Hotspot -&gt; Urban Hotspot (2nd priority)</w:t>
      </w:r>
    </w:p>
    <w:p w14:paraId="27E3C056" w14:textId="77777777" w:rsidR="00BB7AED" w:rsidRDefault="00000000">
      <w:p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hAnsi="Times New Roman" w:cs="Times New Roman" w:hint="eastAsia"/>
          <w:sz w:val="20"/>
          <w:szCs w:val="20"/>
          <w:lang w:val="sv-SE" w:eastAsia="zh-CN"/>
        </w:rPr>
        <w:t>Draw conclusion on simulation results in next meeting.</w:t>
      </w:r>
    </w:p>
    <w:p w14:paraId="675671C4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4.3 Scenario 3 FR1 Indoor -&gt; Indoor (2nd priority)</w:t>
      </w:r>
    </w:p>
    <w:p w14:paraId="1289784B" w14:textId="18070495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7A5753D3" w14:textId="77777777" w:rsidR="00BB7AED" w:rsidRDefault="00000000">
      <w:pPr>
        <w:numPr>
          <w:ilvl w:val="0"/>
          <w:numId w:val="9"/>
        </w:numPr>
        <w:rPr>
          <w:rFonts w:ascii="Times New Roman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iCs/>
          <w:color w:val="000000" w:themeColor="text1"/>
          <w:kern w:val="0"/>
          <w:sz w:val="20"/>
          <w:szCs w:val="20"/>
          <w:lang w:eastAsia="zh-CN" w:bidi="ar"/>
        </w:rPr>
        <w:t xml:space="preserve">For 100% grid shift and baseline assumption, the interference between legacy TDD and SBFD using adjacent channel is acceptable, i.e. less than 5% for both SBFD antenna configuration 1 and configuration 2. </w:t>
      </w:r>
      <w:r>
        <w:rPr>
          <w:rFonts w:ascii="Times New Roman" w:hAnsi="Times New Roman" w:cs="Times New Roman"/>
          <w:lang w:eastAsia="zh-CN"/>
        </w:rPr>
        <w:t xml:space="preserve"> </w:t>
      </w:r>
    </w:p>
    <w:p w14:paraId="0337CDE0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4.4 Scenario 4 FR1 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UMa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-to-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 (high priority)</w:t>
      </w:r>
    </w:p>
    <w:p w14:paraId="0EE1C68C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346B97CE" w14:textId="35F9F4C8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068A96DF" w14:textId="77777777" w:rsidR="00BB7AED" w:rsidRDefault="00000000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hAnsi="Times New Roman" w:cs="Times New Roman" w:hint="eastAsia"/>
          <w:sz w:val="20"/>
          <w:szCs w:val="20"/>
          <w:lang w:val="sv-SE" w:eastAsia="zh-CN"/>
        </w:rPr>
        <w:t>F</w:t>
      </w:r>
      <w:r>
        <w:rPr>
          <w:rFonts w:ascii="Times New Roman" w:hAnsi="Times New Roman" w:cs="Times New Roman"/>
          <w:sz w:val="20"/>
          <w:szCs w:val="20"/>
          <w:lang w:val="sv-SE" w:eastAsia="zh-CN"/>
        </w:rPr>
        <w:t xml:space="preserve">or 100% grid shift and baseline assumption, </w:t>
      </w:r>
      <w:r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SINR/throughput degradation is acceptable.</w:t>
      </w:r>
    </w:p>
    <w:p w14:paraId="0DCAA15C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2: aggressor SBFD DU victim NR TDD UL (low priority)</w:t>
      </w:r>
    </w:p>
    <w:p w14:paraId="49504E0D" w14:textId="3019E135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319D10AD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100% grid shift and baseline assumption, higher than 5% throughput loss is observed. </w:t>
      </w:r>
    </w:p>
    <w:p w14:paraId="719596E9" w14:textId="77777777" w:rsidR="00BB7AED" w:rsidRDefault="00000000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It’s observed that t</w:t>
      </w:r>
      <w:r>
        <w:rPr>
          <w:rFonts w:ascii="Times New Roman" w:hAnsi="Times New Roman" w:cs="Times New Roman"/>
          <w:sz w:val="20"/>
          <w:szCs w:val="20"/>
          <w:lang w:val="sv-SE"/>
        </w:rPr>
        <w:t>he degradation is even worse with 50% grid shift</w:t>
      </w:r>
      <w:r>
        <w:rPr>
          <w:rFonts w:ascii="Times New Roman" w:hAnsi="Times New Roman" w:cs="Times New Roman"/>
          <w:sz w:val="20"/>
          <w:szCs w:val="20"/>
        </w:rPr>
        <w:t xml:space="preserve"> based on the results in </w:t>
      </w:r>
      <w:r>
        <w:rPr>
          <w:rFonts w:ascii="Times New Roman" w:hAnsi="Times New Roman" w:cs="Times New Roman"/>
          <w:sz w:val="20"/>
          <w:szCs w:val="20"/>
          <w:lang w:eastAsia="zh-CN"/>
        </w:rPr>
        <w:t>R4-2313631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submitted in RAN4#108</w:t>
      </w:r>
    </w:p>
    <w:p w14:paraId="12CB4F39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4.5 Scenario 5 FR1 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 -&gt; FR1 </w:t>
      </w:r>
      <w:proofErr w:type="spellStart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UMi</w:t>
      </w:r>
      <w:proofErr w:type="spellEnd"/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 xml:space="preserve"> (2nd priority)</w:t>
      </w:r>
    </w:p>
    <w:p w14:paraId="1CAB0AD0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42DBF8AC" w14:textId="1F78A7CB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68CA7D84" w14:textId="77777777" w:rsidR="00BB7AED" w:rsidRDefault="00000000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At cell-average, for 100% grid shift, SINR/throughput degradation is acceptable with the </w:t>
      </w:r>
      <w:proofErr w:type="spellStart"/>
      <w:r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gNB</w:t>
      </w:r>
      <w:proofErr w:type="spellEnd"/>
      <w:r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 xml:space="preserve"> Tx power is 46dBm/100M or 38dBm/100MHz.</w:t>
      </w:r>
    </w:p>
    <w:p w14:paraId="3B3E1462" w14:textId="77777777" w:rsidR="00BB7AED" w:rsidRDefault="00000000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eastAsia="等线" w:hAnsi="Times New Roman" w:cs="Times New Roman"/>
          <w:iCs/>
          <w:sz w:val="20"/>
          <w:szCs w:val="20"/>
          <w:lang w:val="sv-SE" w:eastAsia="zh-CN" w:bidi="ar"/>
        </w:rPr>
        <w:t>Further discuss the cell edge impact</w:t>
      </w:r>
    </w:p>
    <w:p w14:paraId="57A0CEDD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2: aggressor SBFD DU victim NR TDD UL (low priority)</w:t>
      </w:r>
    </w:p>
    <w:p w14:paraId="45C3D753" w14:textId="771C53F2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4F2CD744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For 100% grid shift, simulation results are much sensitive to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Tx power. For lower power, i.e. 38dBm/100MHz, interference is acceptable whereas for high power, i.e. 46dBm/100MHz interference is higher than 5% throughput loss.</w:t>
      </w:r>
    </w:p>
    <w:p w14:paraId="064B2386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3: aggressor NR TDD DL victim SBFD DU (high priority)</w:t>
      </w:r>
    </w:p>
    <w:p w14:paraId="270EF599" w14:textId="4229C3C0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0B9E7AAA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UL:</w:t>
      </w:r>
    </w:p>
    <w:p w14:paraId="59D47AF6" w14:textId="77777777" w:rsidR="00BB7AED" w:rsidRDefault="00000000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100% grid shift, simulation results are much sensitive to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Tx power. For lower power, i.e. 38dBm/100MHz, interference is acceptable with current or enhanced ACIR whereas for high power, i.e. 46dBm/100MHz interference is higher than 5% throughput loss.</w:t>
      </w:r>
    </w:p>
    <w:p w14:paraId="477E19D7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 xml:space="preserve">For aggressor NR TDD DL interfere SBFD DL: interference is acceptable  </w:t>
      </w:r>
    </w:p>
    <w:p w14:paraId="4BB22B37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4: aggressor NR TDD UL victim SBFD DU  (low priority)</w:t>
      </w:r>
    </w:p>
    <w:p w14:paraId="6AD6F973" w14:textId="4E1BE68F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0D30BC38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sz w:val="20"/>
          <w:szCs w:val="20"/>
        </w:rPr>
        <w:t>or 100% grid shift and baseline assumption, interference is acceptable.</w:t>
      </w:r>
    </w:p>
    <w:p w14:paraId="21B15EA7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4.6 Scenario 6 FR2 Urban Macro -&gt; Urban Macro (high priority)</w:t>
      </w:r>
    </w:p>
    <w:p w14:paraId="2C88E9E3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1: aggressor SBFD DU victim NR TDD DL (high priority)</w:t>
      </w:r>
    </w:p>
    <w:p w14:paraId="13AD9A42" w14:textId="4FABE519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1B816C4E" w14:textId="77777777" w:rsidR="00BB7AED" w:rsidRDefault="00000000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For 100% grid shift, SINR/throughput degradation is acceptable with current or enhanced ACIR.</w:t>
      </w:r>
    </w:p>
    <w:p w14:paraId="4F24A0B6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2: aggressor SBFD DU victim NR TDD UL (low priority)</w:t>
      </w:r>
    </w:p>
    <w:p w14:paraId="38EBC79B" w14:textId="0A789149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4B363EAF" w14:textId="77777777" w:rsidR="00BB7AED" w:rsidRDefault="00000000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For 100% grid shift and baseline assumption,</w:t>
      </w:r>
      <w:r>
        <w:rPr>
          <w:rFonts w:ascii="Times New Roman" w:eastAsia="等线" w:hAnsi="Times New Roman" w:cs="Times New Roman" w:hint="eastAsia"/>
          <w:iCs/>
          <w:sz w:val="20"/>
          <w:szCs w:val="20"/>
          <w:lang w:eastAsia="zh-CN" w:bidi="ar"/>
        </w:rPr>
        <w:t xml:space="preserve"> </w:t>
      </w:r>
      <w:r>
        <w:rPr>
          <w:rFonts w:ascii="Times New Roman" w:eastAsia="等线" w:hAnsi="Times New Roman" w:cs="Times New Roman"/>
          <w:iCs/>
          <w:sz w:val="20"/>
          <w:szCs w:val="20"/>
          <w:lang w:eastAsia="zh-CN" w:bidi="ar"/>
        </w:rPr>
        <w:t>SINR/throughput degradation is acceptable with current or enhanced ACIR</w:t>
      </w:r>
    </w:p>
    <w:p w14:paraId="7B0F8DDF" w14:textId="77777777" w:rsidR="00BB7AED" w:rsidRDefault="00000000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sv-SE" w:eastAsia="zh-CN"/>
        </w:rPr>
      </w:pPr>
      <w:r>
        <w:rPr>
          <w:rFonts w:ascii="Times New Roman" w:hAnsi="Times New Roman" w:cs="Times New Roman"/>
          <w:bCs/>
          <w:sz w:val="20"/>
          <w:szCs w:val="20"/>
          <w:lang w:eastAsia="zh-CN"/>
        </w:rPr>
        <w:t>Some companies show simulation results is extremely sensitive to parameters like the GS and the BS transmission power.</w:t>
      </w:r>
    </w:p>
    <w:p w14:paraId="1EC29D19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3: aggressor NR TDD DL victim SBFD DU (high priority)</w:t>
      </w:r>
    </w:p>
    <w:p w14:paraId="62D4143A" w14:textId="3BE07127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2B118FF1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UL:</w:t>
      </w:r>
    </w:p>
    <w:p w14:paraId="5BCBCB71" w14:textId="77777777" w:rsidR="00BB7AED" w:rsidRDefault="00000000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100% grid shift, interference is acceptable with current or increased ACIR</w:t>
      </w:r>
    </w:p>
    <w:p w14:paraId="3448A56A" w14:textId="77777777" w:rsidR="00BB7AED" w:rsidRDefault="00000000">
      <w:pPr>
        <w:pStyle w:val="af1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For less than 100% grid shift or BS power is increased, interference maybe larger than 5% loss and one company show 4% blocking probability at cell edge</w:t>
      </w:r>
    </w:p>
    <w:p w14:paraId="61FE948B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aggressor NR TDD DL interfere SBFD DL: interference is acceptable for 100% grid shift.</w:t>
      </w:r>
    </w:p>
    <w:p w14:paraId="7E958BCF" w14:textId="77777777" w:rsidR="00BB7AED" w:rsidRDefault="00000000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Case 4: aggressor NR TDD UL victim SBFD DU  (low priority)</w:t>
      </w:r>
    </w:p>
    <w:p w14:paraId="3D0BFFD9" w14:textId="3F894913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4A2172F1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</w:rPr>
        <w:t>For 100% grid shift and baseline assumption, interference is acceptable for the case when NR TDD UL interfere SBFD UL and DL</w:t>
      </w:r>
    </w:p>
    <w:p w14:paraId="00437360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lastRenderedPageBreak/>
        <w:t>4.7 Scenario 7 FR2 Urban Hotspot -&gt; Urban Hotspot (down-select)</w:t>
      </w:r>
    </w:p>
    <w:p w14:paraId="764664BB" w14:textId="7FA291B8" w:rsidR="005554BB" w:rsidRPr="005554BB" w:rsidRDefault="005554BB" w:rsidP="005554BB">
      <w:pPr>
        <w:spacing w:after="180" w:line="256" w:lineRule="auto"/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/>
        </w:rPr>
      </w:pPr>
      <w:r>
        <w:rPr>
          <w:rFonts w:ascii="Times New Roman" w:eastAsia="等线" w:hAnsi="Times New Roman" w:cs="Times New Roman"/>
          <w:b/>
          <w:bCs/>
          <w:color w:val="0070C0"/>
          <w:kern w:val="0"/>
          <w:sz w:val="20"/>
          <w:szCs w:val="20"/>
          <w:u w:val="single"/>
          <w:lang w:eastAsia="zh-CN" w:bidi="ar"/>
        </w:rPr>
        <w:t>Agreements:</w:t>
      </w:r>
    </w:p>
    <w:p w14:paraId="36ADEBF6" w14:textId="77777777" w:rsidR="00BB7AED" w:rsidRDefault="00000000">
      <w:pPr>
        <w:pStyle w:val="af1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Down-select this scenario 7 from the study given the FR2</w:t>
      </w:r>
    </w:p>
    <w:p w14:paraId="49421E26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4.8 Scenario 8 FR2 Urban Micro -&gt; Urban Micro (2nd priority)</w:t>
      </w:r>
    </w:p>
    <w:p w14:paraId="088B819B" w14:textId="77777777" w:rsidR="00BB7AED" w:rsidRDefault="00000000">
      <w:pPr>
        <w:rPr>
          <w:rFonts w:ascii="Times New Roman" w:hAnsi="Times New Roman" w:cs="Times New Roman"/>
          <w:lang w:eastAsia="zh-CN" w:bidi="ar"/>
        </w:rPr>
      </w:pPr>
      <w:r>
        <w:rPr>
          <w:rFonts w:ascii="Times New Roman" w:hAnsi="Times New Roman" w:cs="Times New Roman"/>
          <w:lang w:eastAsia="zh-CN" w:bidi="ar"/>
        </w:rPr>
        <w:t>Draw conclusion on simulation results in next meeting.</w:t>
      </w:r>
    </w:p>
    <w:p w14:paraId="6AF7DD11" w14:textId="77777777" w:rsidR="00BB7AED" w:rsidRDefault="00000000">
      <w:pPr>
        <w:keepNext/>
        <w:keepLines/>
        <w:tabs>
          <w:tab w:val="left" w:pos="432"/>
          <w:tab w:val="left" w:pos="576"/>
        </w:tabs>
        <w:spacing w:before="180" w:after="180" w:line="240" w:lineRule="auto"/>
        <w:outlineLvl w:val="1"/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Arial" w:eastAsia="宋体" w:hAnsi="Arial" w:cs="Times New Roman" w:hint="eastAsia"/>
          <w:kern w:val="0"/>
          <w:sz w:val="32"/>
          <w:szCs w:val="20"/>
          <w:lang w:eastAsia="zh-CN"/>
        </w:rPr>
        <w:t>4.9 Scenario 9 FR2 Indoor -&gt; Indoor (2nd priority)</w:t>
      </w:r>
    </w:p>
    <w:p w14:paraId="41E8B323" w14:textId="77777777" w:rsidR="00BB7AED" w:rsidRDefault="00000000">
      <w:pPr>
        <w:rPr>
          <w:rFonts w:ascii="Arial" w:eastAsia="宋体" w:hAnsi="Arial" w:cs="Times New Roman"/>
          <w:kern w:val="0"/>
          <w:sz w:val="32"/>
          <w:szCs w:val="20"/>
          <w:lang w:eastAsia="zh-CN"/>
        </w:rPr>
      </w:pPr>
      <w:r>
        <w:rPr>
          <w:rFonts w:ascii="Times New Roman" w:hAnsi="Times New Roman" w:cs="Times New Roman"/>
          <w:lang w:eastAsia="zh-CN" w:bidi="ar"/>
        </w:rPr>
        <w:t>Draw conclusion on simulation results in next meeting.</w:t>
      </w:r>
    </w:p>
    <w:p w14:paraId="172D172A" w14:textId="77777777" w:rsidR="00BB7AED" w:rsidRDefault="00000000">
      <w:pPr>
        <w:spacing w:after="180" w:line="240" w:lineRule="auto"/>
        <w:rPr>
          <w:rFonts w:ascii="Times New Roman" w:eastAsia="等线" w:hAnsi="Times New Roman" w:cs="Times New Roman"/>
          <w:iCs/>
          <w:color w:val="0070C0"/>
          <w:kern w:val="0"/>
          <w:sz w:val="20"/>
          <w:szCs w:val="20"/>
          <w:lang w:eastAsia="zh-CN" w:bidi="ar"/>
        </w:rPr>
      </w:pPr>
      <w:r>
        <w:rPr>
          <w:rFonts w:ascii="Times New Roman" w:eastAsia="等线" w:hAnsi="Times New Roman" w:cs="Times New Roman" w:hint="eastAsia"/>
          <w:iCs/>
          <w:color w:val="0070C0"/>
          <w:kern w:val="0"/>
          <w:sz w:val="20"/>
          <w:szCs w:val="20"/>
          <w:lang w:eastAsia="zh-CN" w:bidi="ar"/>
        </w:rPr>
        <w:t xml:space="preserve">  </w:t>
      </w:r>
    </w:p>
    <w:sectPr w:rsidR="00BB7A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C288" w14:textId="77777777" w:rsidR="00D83A48" w:rsidRDefault="00D83A48">
      <w:pPr>
        <w:spacing w:line="240" w:lineRule="auto"/>
      </w:pPr>
      <w:r>
        <w:separator/>
      </w:r>
    </w:p>
  </w:endnote>
  <w:endnote w:type="continuationSeparator" w:id="0">
    <w:p w14:paraId="28D824B9" w14:textId="77777777" w:rsidR="00D83A48" w:rsidRDefault="00D83A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DB4AE" w14:textId="77777777" w:rsidR="00D83A48" w:rsidRDefault="00D83A48">
      <w:pPr>
        <w:spacing w:after="0"/>
      </w:pPr>
      <w:r>
        <w:separator/>
      </w:r>
    </w:p>
  </w:footnote>
  <w:footnote w:type="continuationSeparator" w:id="0">
    <w:p w14:paraId="0957E9D7" w14:textId="77777777" w:rsidR="00D83A48" w:rsidRDefault="00D83A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1E783E"/>
    <w:multiLevelType w:val="singleLevel"/>
    <w:tmpl w:val="A91E78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FD1D795"/>
    <w:multiLevelType w:val="singleLevel"/>
    <w:tmpl w:val="AFD1D7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A441493"/>
    <w:multiLevelType w:val="multilevel"/>
    <w:tmpl w:val="0A44149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0A6E6E4"/>
    <w:multiLevelType w:val="singleLevel"/>
    <w:tmpl w:val="20A6E6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27A6F6A2"/>
    <w:multiLevelType w:val="singleLevel"/>
    <w:tmpl w:val="27A6F6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2C2BFC3E"/>
    <w:multiLevelType w:val="singleLevel"/>
    <w:tmpl w:val="2C2BFC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776430"/>
    <w:multiLevelType w:val="multilevel"/>
    <w:tmpl w:val="5D776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99422686">
    <w:abstractNumId w:val="6"/>
  </w:num>
  <w:num w:numId="2" w16cid:durableId="1894122140">
    <w:abstractNumId w:val="8"/>
  </w:num>
  <w:num w:numId="3" w16cid:durableId="1895848676">
    <w:abstractNumId w:val="9"/>
  </w:num>
  <w:num w:numId="4" w16cid:durableId="314798004">
    <w:abstractNumId w:val="7"/>
  </w:num>
  <w:num w:numId="5" w16cid:durableId="1106848387">
    <w:abstractNumId w:val="0"/>
  </w:num>
  <w:num w:numId="6" w16cid:durableId="414715011">
    <w:abstractNumId w:val="3"/>
  </w:num>
  <w:num w:numId="7" w16cid:durableId="1403603206">
    <w:abstractNumId w:val="5"/>
  </w:num>
  <w:num w:numId="8" w16cid:durableId="2064253490">
    <w:abstractNumId w:val="2"/>
  </w:num>
  <w:num w:numId="9" w16cid:durableId="1166284563">
    <w:abstractNumId w:val="1"/>
  </w:num>
  <w:num w:numId="10" w16cid:durableId="292097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6D0"/>
    <w:rsid w:val="0005448B"/>
    <w:rsid w:val="00063059"/>
    <w:rsid w:val="000A5B5F"/>
    <w:rsid w:val="000D214D"/>
    <w:rsid w:val="00136A54"/>
    <w:rsid w:val="00136D8F"/>
    <w:rsid w:val="00157073"/>
    <w:rsid w:val="0017318C"/>
    <w:rsid w:val="00240733"/>
    <w:rsid w:val="002624E9"/>
    <w:rsid w:val="0028244D"/>
    <w:rsid w:val="003011E3"/>
    <w:rsid w:val="003446D5"/>
    <w:rsid w:val="003B6EE5"/>
    <w:rsid w:val="003D16D0"/>
    <w:rsid w:val="00402201"/>
    <w:rsid w:val="004603FB"/>
    <w:rsid w:val="004D128E"/>
    <w:rsid w:val="004E0BE9"/>
    <w:rsid w:val="00502AF3"/>
    <w:rsid w:val="005121E5"/>
    <w:rsid w:val="005312FB"/>
    <w:rsid w:val="005365E6"/>
    <w:rsid w:val="00542CAC"/>
    <w:rsid w:val="00543FDA"/>
    <w:rsid w:val="005554BB"/>
    <w:rsid w:val="005E31E6"/>
    <w:rsid w:val="006057B9"/>
    <w:rsid w:val="006126E5"/>
    <w:rsid w:val="0063056A"/>
    <w:rsid w:val="00637045"/>
    <w:rsid w:val="006605AE"/>
    <w:rsid w:val="0069408A"/>
    <w:rsid w:val="006A4DE8"/>
    <w:rsid w:val="006C1A4F"/>
    <w:rsid w:val="006F4BBD"/>
    <w:rsid w:val="006F65B0"/>
    <w:rsid w:val="0075232D"/>
    <w:rsid w:val="007A78E8"/>
    <w:rsid w:val="0087023F"/>
    <w:rsid w:val="008B00F3"/>
    <w:rsid w:val="008E15E4"/>
    <w:rsid w:val="00947EEA"/>
    <w:rsid w:val="00954CC9"/>
    <w:rsid w:val="00954F98"/>
    <w:rsid w:val="00971FC1"/>
    <w:rsid w:val="009A730C"/>
    <w:rsid w:val="00A13907"/>
    <w:rsid w:val="00A229D0"/>
    <w:rsid w:val="00A77BE7"/>
    <w:rsid w:val="00AC1BAE"/>
    <w:rsid w:val="00AF017B"/>
    <w:rsid w:val="00BB7AED"/>
    <w:rsid w:val="00C23B95"/>
    <w:rsid w:val="00D10932"/>
    <w:rsid w:val="00D42CCD"/>
    <w:rsid w:val="00D43CC7"/>
    <w:rsid w:val="00D62477"/>
    <w:rsid w:val="00D641A7"/>
    <w:rsid w:val="00D83A48"/>
    <w:rsid w:val="00D92F3E"/>
    <w:rsid w:val="00DE4F55"/>
    <w:rsid w:val="00E36FB6"/>
    <w:rsid w:val="00E61565"/>
    <w:rsid w:val="00ED7574"/>
    <w:rsid w:val="00EF3CA2"/>
    <w:rsid w:val="00EF509B"/>
    <w:rsid w:val="00F15747"/>
    <w:rsid w:val="00F15AF9"/>
    <w:rsid w:val="00F236FF"/>
    <w:rsid w:val="00F67C7A"/>
    <w:rsid w:val="00FC683A"/>
    <w:rsid w:val="01395B91"/>
    <w:rsid w:val="030B000A"/>
    <w:rsid w:val="03557185"/>
    <w:rsid w:val="04953DEB"/>
    <w:rsid w:val="055E4FDC"/>
    <w:rsid w:val="057D5890"/>
    <w:rsid w:val="05BB3177"/>
    <w:rsid w:val="07A07E27"/>
    <w:rsid w:val="08105385"/>
    <w:rsid w:val="08AB5A48"/>
    <w:rsid w:val="09D354AA"/>
    <w:rsid w:val="0AB66DA2"/>
    <w:rsid w:val="0B2F1C6A"/>
    <w:rsid w:val="0C1F2AF1"/>
    <w:rsid w:val="0C3044EE"/>
    <w:rsid w:val="0CDF76AC"/>
    <w:rsid w:val="0D1A620C"/>
    <w:rsid w:val="0D4C225E"/>
    <w:rsid w:val="0DBD186E"/>
    <w:rsid w:val="0DC0001E"/>
    <w:rsid w:val="0DC40C23"/>
    <w:rsid w:val="0E1C70B3"/>
    <w:rsid w:val="0F0C223F"/>
    <w:rsid w:val="0F8C796C"/>
    <w:rsid w:val="10320D75"/>
    <w:rsid w:val="10426A38"/>
    <w:rsid w:val="11887E43"/>
    <w:rsid w:val="142C0628"/>
    <w:rsid w:val="15A85596"/>
    <w:rsid w:val="16443216"/>
    <w:rsid w:val="17B44371"/>
    <w:rsid w:val="187A2E35"/>
    <w:rsid w:val="19011E15"/>
    <w:rsid w:val="19811D23"/>
    <w:rsid w:val="1A1254D5"/>
    <w:rsid w:val="1B394F38"/>
    <w:rsid w:val="1B4667CC"/>
    <w:rsid w:val="1B543563"/>
    <w:rsid w:val="1B59326E"/>
    <w:rsid w:val="1D170829"/>
    <w:rsid w:val="1DA11264"/>
    <w:rsid w:val="1DB807CF"/>
    <w:rsid w:val="1DE2466D"/>
    <w:rsid w:val="20733ECA"/>
    <w:rsid w:val="230F6562"/>
    <w:rsid w:val="25965402"/>
    <w:rsid w:val="27187EB1"/>
    <w:rsid w:val="274A3B83"/>
    <w:rsid w:val="27AB4EA2"/>
    <w:rsid w:val="27F41D78"/>
    <w:rsid w:val="29F959EB"/>
    <w:rsid w:val="2BA14AA2"/>
    <w:rsid w:val="2BCC3368"/>
    <w:rsid w:val="2C2A50C3"/>
    <w:rsid w:val="2C9917B7"/>
    <w:rsid w:val="2D517B39"/>
    <w:rsid w:val="2DCC08AF"/>
    <w:rsid w:val="2FA76EBB"/>
    <w:rsid w:val="32BF1407"/>
    <w:rsid w:val="32EB4A9A"/>
    <w:rsid w:val="32FD49B4"/>
    <w:rsid w:val="356F08D5"/>
    <w:rsid w:val="35D80965"/>
    <w:rsid w:val="366D1D6E"/>
    <w:rsid w:val="36701DDD"/>
    <w:rsid w:val="373B602E"/>
    <w:rsid w:val="37941874"/>
    <w:rsid w:val="387B3137"/>
    <w:rsid w:val="38984C65"/>
    <w:rsid w:val="38D160C4"/>
    <w:rsid w:val="38FB6F08"/>
    <w:rsid w:val="3A5D10CE"/>
    <w:rsid w:val="3AF90F4C"/>
    <w:rsid w:val="3B8943BC"/>
    <w:rsid w:val="3C741ABD"/>
    <w:rsid w:val="3DA56C70"/>
    <w:rsid w:val="3E8C68AA"/>
    <w:rsid w:val="3FE5694E"/>
    <w:rsid w:val="40574C1C"/>
    <w:rsid w:val="40E12601"/>
    <w:rsid w:val="4185788C"/>
    <w:rsid w:val="42D0402B"/>
    <w:rsid w:val="438163CD"/>
    <w:rsid w:val="44C60C63"/>
    <w:rsid w:val="45857D9C"/>
    <w:rsid w:val="45921630"/>
    <w:rsid w:val="45BB49F3"/>
    <w:rsid w:val="4774459C"/>
    <w:rsid w:val="47CF31CE"/>
    <w:rsid w:val="47F17E95"/>
    <w:rsid w:val="49935043"/>
    <w:rsid w:val="4A225BAC"/>
    <w:rsid w:val="4A500C79"/>
    <w:rsid w:val="4AEC1EF8"/>
    <w:rsid w:val="4B367C72"/>
    <w:rsid w:val="4C671669"/>
    <w:rsid w:val="4CE51F37"/>
    <w:rsid w:val="4F2946F0"/>
    <w:rsid w:val="4F8E6612"/>
    <w:rsid w:val="4FF31BBA"/>
    <w:rsid w:val="50C2318C"/>
    <w:rsid w:val="518C0657"/>
    <w:rsid w:val="52566E26"/>
    <w:rsid w:val="5389269B"/>
    <w:rsid w:val="53FF00DB"/>
    <w:rsid w:val="5510379B"/>
    <w:rsid w:val="55AE459E"/>
    <w:rsid w:val="56C4796A"/>
    <w:rsid w:val="59103CAB"/>
    <w:rsid w:val="5A062F3F"/>
    <w:rsid w:val="5A0709C0"/>
    <w:rsid w:val="5B1326AF"/>
    <w:rsid w:val="5CDE5656"/>
    <w:rsid w:val="5D3259F5"/>
    <w:rsid w:val="5D774E64"/>
    <w:rsid w:val="5FAB07FC"/>
    <w:rsid w:val="61A34F3F"/>
    <w:rsid w:val="61D84114"/>
    <w:rsid w:val="6258386D"/>
    <w:rsid w:val="62B83782"/>
    <w:rsid w:val="64511325"/>
    <w:rsid w:val="652C245D"/>
    <w:rsid w:val="657213FC"/>
    <w:rsid w:val="67130B29"/>
    <w:rsid w:val="672310FD"/>
    <w:rsid w:val="67777690"/>
    <w:rsid w:val="677B7253"/>
    <w:rsid w:val="68685BD7"/>
    <w:rsid w:val="686C45DD"/>
    <w:rsid w:val="69AC6C79"/>
    <w:rsid w:val="6B1854C0"/>
    <w:rsid w:val="6DDD4D4F"/>
    <w:rsid w:val="6EA27F90"/>
    <w:rsid w:val="6F0D763F"/>
    <w:rsid w:val="70344EA3"/>
    <w:rsid w:val="70647BF1"/>
    <w:rsid w:val="70A67761"/>
    <w:rsid w:val="71465FE5"/>
    <w:rsid w:val="71A90288"/>
    <w:rsid w:val="739F77A0"/>
    <w:rsid w:val="74DB6E46"/>
    <w:rsid w:val="76A10D30"/>
    <w:rsid w:val="779A2EE6"/>
    <w:rsid w:val="784C45E4"/>
    <w:rsid w:val="78715728"/>
    <w:rsid w:val="790A0849"/>
    <w:rsid w:val="79615030"/>
    <w:rsid w:val="7A103967"/>
    <w:rsid w:val="7AF244C2"/>
    <w:rsid w:val="7D242386"/>
    <w:rsid w:val="7D626BBC"/>
    <w:rsid w:val="7EFD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ADA8B"/>
  <w15:docId w15:val="{B91B001E-CFD6-48F9-909A-8B164769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uiPriority w:val="9"/>
    <w:unhideWhenUsed/>
    <w:qFormat/>
    <w:pPr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d">
    <w:name w:val="annotation subject"/>
    <w:basedOn w:val="a5"/>
    <w:next w:val="a5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6">
    <w:name w:val="批注文字 字符"/>
    <w:basedOn w:val="a0"/>
    <w:link w:val="a5"/>
    <w:uiPriority w:val="99"/>
    <w:semiHidden/>
    <w:qFormat/>
    <w:rPr>
      <w:sz w:val="20"/>
      <w:szCs w:val="20"/>
    </w:rPr>
  </w:style>
  <w:style w:type="character" w:customStyle="1" w:styleId="ae">
    <w:name w:val="批注主题 字符"/>
    <w:basedOn w:val="a6"/>
    <w:link w:val="ad"/>
    <w:uiPriority w:val="99"/>
    <w:semiHidden/>
    <w:qFormat/>
    <w:rPr>
      <w:b/>
      <w:bCs/>
      <w:sz w:val="20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table" w:customStyle="1" w:styleId="10">
    <w:name w:val="普通表格1"/>
    <w:basedOn w:val="a1"/>
    <w:semiHidden/>
    <w:qFormat/>
    <w:rPr>
      <w:rFonts w:ascii="Calibri" w:eastAsia="Times New Roman" w:hAnsi="Calibri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1263</Words>
  <Characters>7203</Characters>
  <Application>Microsoft Office Word</Application>
  <DocSecurity>0</DocSecurity>
  <Lines>60</Lines>
  <Paragraphs>16</Paragraphs>
  <ScaleCrop>false</ScaleCrop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2</cp:revision>
  <dcterms:created xsi:type="dcterms:W3CDTF">2023-08-24T13:51:00Z</dcterms:created>
  <dcterms:modified xsi:type="dcterms:W3CDTF">2023-08-24T13:51:00Z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695138681804471295F6F34342687E29</vt:lpwstr>
  </property>
</Properties>
</file>