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2C2AE747"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#10</w:t>
      </w:r>
      <w:r w:rsidR="002A0659">
        <w:rPr>
          <w:rFonts w:cs="Arial"/>
          <w:sz w:val="24"/>
          <w:szCs w:val="24"/>
          <w:lang w:val="de-DE"/>
        </w:rPr>
        <w:t>8</w:t>
      </w:r>
      <w:r w:rsidRPr="00385A1F">
        <w:rPr>
          <w:rFonts w:cs="Arial"/>
          <w:sz w:val="24"/>
          <w:szCs w:val="24"/>
          <w:lang w:val="de-DE"/>
        </w:rPr>
        <w:tab/>
        <w:t>R4-23</w:t>
      </w:r>
      <w:r w:rsidR="009B6FA5">
        <w:rPr>
          <w:rFonts w:cs="Arial"/>
          <w:sz w:val="24"/>
          <w:szCs w:val="24"/>
          <w:lang w:val="de-DE"/>
        </w:rPr>
        <w:t>13788</w:t>
      </w:r>
    </w:p>
    <w:p w14:paraId="33D6E127" w14:textId="77290331" w:rsidR="00A34B80" w:rsidRPr="00385A1F" w:rsidRDefault="00C62EB0" w:rsidP="00A34B80">
      <w:pPr>
        <w:pStyle w:val="Header"/>
        <w:tabs>
          <w:tab w:val="left" w:pos="6521"/>
        </w:tabs>
        <w:rPr>
          <w:rFonts w:cs="Arial"/>
          <w:sz w:val="24"/>
          <w:szCs w:val="24"/>
        </w:rPr>
      </w:pPr>
      <w:r>
        <w:rPr>
          <w:rFonts w:cs="Arial"/>
          <w:sz w:val="24"/>
          <w:szCs w:val="24"/>
        </w:rPr>
        <w:t>August</w:t>
      </w:r>
      <w:r w:rsidR="00A34B80" w:rsidRPr="00385A1F">
        <w:rPr>
          <w:rFonts w:cs="Arial"/>
          <w:sz w:val="24"/>
          <w:szCs w:val="24"/>
        </w:rPr>
        <w:t xml:space="preserve"> 2</w:t>
      </w:r>
      <w:r w:rsidR="00E44D09">
        <w:rPr>
          <w:rFonts w:cs="Arial"/>
          <w:sz w:val="24"/>
          <w:szCs w:val="24"/>
        </w:rPr>
        <w:t>1</w:t>
      </w:r>
      <w:r w:rsidR="00E44D09">
        <w:rPr>
          <w:rFonts w:cs="Arial"/>
          <w:sz w:val="24"/>
          <w:szCs w:val="24"/>
          <w:vertAlign w:val="superscript"/>
        </w:rPr>
        <w:t>st</w:t>
      </w:r>
      <w:r w:rsidR="00A34B80" w:rsidRPr="00385A1F">
        <w:rPr>
          <w:rFonts w:cs="Arial"/>
          <w:sz w:val="24"/>
          <w:szCs w:val="24"/>
        </w:rPr>
        <w:t xml:space="preserve"> ‒ 2</w:t>
      </w:r>
      <w:r w:rsidR="00E44D09">
        <w:rPr>
          <w:rFonts w:cs="Arial"/>
          <w:sz w:val="24"/>
          <w:szCs w:val="24"/>
        </w:rPr>
        <w:t>5</w:t>
      </w:r>
      <w:r w:rsidR="00A34B80" w:rsidRPr="00385A1F">
        <w:rPr>
          <w:rFonts w:cs="Arial"/>
          <w:sz w:val="24"/>
          <w:szCs w:val="24"/>
          <w:vertAlign w:val="superscript"/>
        </w:rPr>
        <w:t>th</w:t>
      </w:r>
      <w:r w:rsidR="00A34B80" w:rsidRPr="00385A1F">
        <w:rPr>
          <w:rFonts w:cs="Arial"/>
          <w:sz w:val="24"/>
          <w:szCs w:val="24"/>
        </w:rPr>
        <w:t>, 2023</w:t>
      </w:r>
    </w:p>
    <w:p w14:paraId="55886C4F" w14:textId="268C945E" w:rsidR="00A34B80" w:rsidRPr="00DB3907" w:rsidRDefault="00C62EB0" w:rsidP="00A34B80">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C0A711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45502">
        <w:rPr>
          <w:rFonts w:ascii="Arial" w:hAnsi="Arial"/>
          <w:sz w:val="24"/>
          <w:lang w:val="en-US"/>
        </w:rPr>
        <w:t>9.3.4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547663F1"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A0659">
        <w:rPr>
          <w:rFonts w:ascii="Arial" w:hAnsi="Arial"/>
          <w:sz w:val="24"/>
          <w:lang w:val="en-US"/>
        </w:rPr>
        <w:t xml:space="preserve">5G Broadcast </w:t>
      </w:r>
      <w:proofErr w:type="spellStart"/>
      <w:r w:rsidR="002A0659">
        <w:rPr>
          <w:rFonts w:ascii="Arial" w:hAnsi="Arial"/>
          <w:sz w:val="24"/>
          <w:lang w:val="en-US"/>
        </w:rPr>
        <w:t>basestation</w:t>
      </w:r>
      <w:proofErr w:type="spellEnd"/>
      <w:r w:rsidR="002A0659">
        <w:rPr>
          <w:rFonts w:ascii="Arial" w:hAnsi="Arial"/>
          <w:sz w:val="24"/>
          <w:lang w:val="en-US"/>
        </w:rPr>
        <w:t xml:space="preserve"> EVM</w:t>
      </w:r>
    </w:p>
    <w:p w14:paraId="013F978F" w14:textId="04893360"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45502">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4292D9" w14:textId="7051D72E" w:rsidR="00C07CF4" w:rsidRDefault="00BD6F39" w:rsidP="009011AF">
      <w:r>
        <w:t xml:space="preserve">The </w:t>
      </w:r>
      <w:r w:rsidR="00067690">
        <w:t xml:space="preserve">work item for 5G broadcast bands was extended by one quarter </w:t>
      </w:r>
      <w:proofErr w:type="gramStart"/>
      <w:r w:rsidR="00067690">
        <w:t>in order to</w:t>
      </w:r>
      <w:proofErr w:type="gramEnd"/>
      <w:r w:rsidR="00067690">
        <w:t xml:space="preserve"> complete the </w:t>
      </w:r>
      <w:proofErr w:type="spellStart"/>
      <w:r w:rsidR="00067690">
        <w:t>basestation</w:t>
      </w:r>
      <w:proofErr w:type="spellEnd"/>
      <w:r w:rsidR="00067690">
        <w:t xml:space="preserve"> requirements</w:t>
      </w:r>
      <w:r w:rsidR="00A509A4">
        <w:t xml:space="preserve"> [1]</w:t>
      </w:r>
      <w:r w:rsidR="00067690">
        <w:t xml:space="preserve">.  One of these </w:t>
      </w:r>
      <w:r w:rsidR="00A509A4">
        <w:t xml:space="preserve">remaining </w:t>
      </w:r>
      <w:r w:rsidR="00067690">
        <w:t>requirements is the EVM, which is discussed in this contribution.</w:t>
      </w:r>
    </w:p>
    <w:p w14:paraId="10F6602E" w14:textId="33631FB4" w:rsidR="007E1E78" w:rsidRDefault="007E1E78" w:rsidP="0099327E">
      <w:pPr>
        <w:pStyle w:val="Heading1"/>
        <w:tabs>
          <w:tab w:val="clear" w:pos="432"/>
          <w:tab w:val="num" w:pos="522"/>
        </w:tabs>
        <w:ind w:left="522" w:hanging="522"/>
        <w:rPr>
          <w:lang w:val="en-US"/>
        </w:rPr>
      </w:pPr>
      <w:r>
        <w:rPr>
          <w:lang w:val="en-US"/>
        </w:rPr>
        <w:t>Discussion</w:t>
      </w:r>
    </w:p>
    <w:p w14:paraId="383FF3D2" w14:textId="4D64C93C" w:rsidR="0068707E" w:rsidRDefault="0068707E" w:rsidP="0068707E">
      <w:pPr>
        <w:pStyle w:val="Heading2"/>
        <w:rPr>
          <w:lang w:val="en-US"/>
        </w:rPr>
      </w:pPr>
      <w:r>
        <w:rPr>
          <w:lang w:val="en-US"/>
        </w:rPr>
        <w:t>Error vector magnitude (EVM)</w:t>
      </w:r>
    </w:p>
    <w:p w14:paraId="298776C1" w14:textId="511994CC" w:rsidR="00067690" w:rsidRDefault="007A41BF" w:rsidP="00067690">
      <w:pPr>
        <w:rPr>
          <w:lang w:val="en-US"/>
        </w:rPr>
      </w:pPr>
      <w:r>
        <w:rPr>
          <w:lang w:val="en-US"/>
        </w:rPr>
        <w:t xml:space="preserve">The error vector magnitude is a requirement on the </w:t>
      </w:r>
      <w:proofErr w:type="spellStart"/>
      <w:r>
        <w:rPr>
          <w:lang w:val="en-US"/>
        </w:rPr>
        <w:t>basestation</w:t>
      </w:r>
      <w:proofErr w:type="spellEnd"/>
      <w:r>
        <w:rPr>
          <w:lang w:val="en-US"/>
        </w:rPr>
        <w:t xml:space="preserve"> transmitter to ensure modulation fidelity</w:t>
      </w:r>
      <w:r w:rsidR="0098571D">
        <w:rPr>
          <w:lang w:val="en-US"/>
        </w:rPr>
        <w:t xml:space="preserve">.  It is specified in clause </w:t>
      </w:r>
      <w:r w:rsidR="00995147">
        <w:rPr>
          <w:lang w:val="en-US"/>
        </w:rPr>
        <w:t>6.5.</w:t>
      </w:r>
      <w:r w:rsidR="00EB44EE">
        <w:rPr>
          <w:lang w:val="en-US"/>
        </w:rPr>
        <w:t>2</w:t>
      </w:r>
      <w:r w:rsidR="00202FD6">
        <w:rPr>
          <w:lang w:val="en-US"/>
        </w:rPr>
        <w:t xml:space="preserve"> of </w:t>
      </w:r>
      <w:r w:rsidR="00202FD6" w:rsidRPr="00995147">
        <w:rPr>
          <w:lang w:val="en-US"/>
        </w:rPr>
        <w:t>36.10</w:t>
      </w:r>
      <w:r w:rsidR="00EB44EE" w:rsidRPr="00995147">
        <w:rPr>
          <w:lang w:val="en-US"/>
        </w:rPr>
        <w:t>4</w:t>
      </w:r>
      <w:r w:rsidR="00B02C1A">
        <w:rPr>
          <w:lang w:val="en-US"/>
        </w:rPr>
        <w:t xml:space="preserve"> with the minimum requirement as shown </w:t>
      </w:r>
      <w:proofErr w:type="gramStart"/>
      <w:r w:rsidR="00B02C1A">
        <w:rPr>
          <w:lang w:val="en-US"/>
        </w:rPr>
        <w:t>below</w:t>
      </w:r>
      <w:proofErr w:type="gramEnd"/>
    </w:p>
    <w:p w14:paraId="7FC82044" w14:textId="77777777" w:rsidR="00821BF2" w:rsidRPr="00340914" w:rsidRDefault="00821BF2" w:rsidP="00821BF2">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821BF2" w:rsidRPr="00340914" w14:paraId="346AA20B" w14:textId="77777777" w:rsidTr="00DD6D98">
        <w:trPr>
          <w:jc w:val="center"/>
        </w:trPr>
        <w:tc>
          <w:tcPr>
            <w:tcW w:w="3214" w:type="dxa"/>
          </w:tcPr>
          <w:p w14:paraId="3B8AC7FD" w14:textId="77777777" w:rsidR="00821BF2" w:rsidRPr="00340914" w:rsidRDefault="00821BF2" w:rsidP="00DD6D98">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2583" w:type="dxa"/>
          </w:tcPr>
          <w:p w14:paraId="56271558" w14:textId="77777777" w:rsidR="00821BF2" w:rsidRPr="00340914" w:rsidRDefault="00821BF2" w:rsidP="00DD6D98">
            <w:pPr>
              <w:pStyle w:val="TAH"/>
              <w:rPr>
                <w:rFonts w:cs="Arial"/>
              </w:rPr>
            </w:pPr>
            <w:r w:rsidRPr="00340914">
              <w:rPr>
                <w:rFonts w:cs="Arial"/>
              </w:rPr>
              <w:t>Required EVM [%]</w:t>
            </w:r>
          </w:p>
        </w:tc>
      </w:tr>
      <w:tr w:rsidR="00821BF2" w:rsidRPr="00340914" w14:paraId="2C70A1EC" w14:textId="77777777" w:rsidTr="00DD6D98">
        <w:trPr>
          <w:jc w:val="center"/>
        </w:trPr>
        <w:tc>
          <w:tcPr>
            <w:tcW w:w="3214" w:type="dxa"/>
          </w:tcPr>
          <w:p w14:paraId="79D74800" w14:textId="77777777" w:rsidR="00821BF2" w:rsidRPr="00340914" w:rsidRDefault="00821BF2" w:rsidP="00DD6D98">
            <w:pPr>
              <w:pStyle w:val="TAC"/>
              <w:rPr>
                <w:rFonts w:cs="Arial"/>
              </w:rPr>
            </w:pPr>
            <w:r w:rsidRPr="00340914">
              <w:rPr>
                <w:rFonts w:cs="Arial"/>
              </w:rPr>
              <w:t>QPSK</w:t>
            </w:r>
          </w:p>
        </w:tc>
        <w:tc>
          <w:tcPr>
            <w:tcW w:w="2583" w:type="dxa"/>
          </w:tcPr>
          <w:p w14:paraId="52F21731" w14:textId="77777777" w:rsidR="00821BF2" w:rsidRPr="00340914" w:rsidRDefault="00821BF2" w:rsidP="00DD6D98">
            <w:pPr>
              <w:pStyle w:val="TAC"/>
              <w:rPr>
                <w:rFonts w:cs="Arial"/>
              </w:rPr>
            </w:pPr>
            <w:r w:rsidRPr="00340914">
              <w:rPr>
                <w:rFonts w:cs="Arial"/>
              </w:rPr>
              <w:t>17.5 %</w:t>
            </w:r>
          </w:p>
        </w:tc>
      </w:tr>
      <w:tr w:rsidR="00821BF2" w:rsidRPr="00340914" w14:paraId="66151476" w14:textId="77777777" w:rsidTr="00DD6D98">
        <w:trPr>
          <w:jc w:val="center"/>
        </w:trPr>
        <w:tc>
          <w:tcPr>
            <w:tcW w:w="3214" w:type="dxa"/>
          </w:tcPr>
          <w:p w14:paraId="78009C85" w14:textId="77777777" w:rsidR="00821BF2" w:rsidRPr="00340914" w:rsidRDefault="00821BF2" w:rsidP="00DD6D98">
            <w:pPr>
              <w:pStyle w:val="TAC"/>
              <w:rPr>
                <w:rFonts w:cs="Arial"/>
              </w:rPr>
            </w:pPr>
            <w:r w:rsidRPr="00340914">
              <w:rPr>
                <w:rFonts w:cs="Arial"/>
              </w:rPr>
              <w:t>16QAM</w:t>
            </w:r>
          </w:p>
        </w:tc>
        <w:tc>
          <w:tcPr>
            <w:tcW w:w="2583" w:type="dxa"/>
          </w:tcPr>
          <w:p w14:paraId="4A818696" w14:textId="77777777" w:rsidR="00821BF2" w:rsidRPr="00340914" w:rsidRDefault="00821BF2" w:rsidP="00DD6D98">
            <w:pPr>
              <w:pStyle w:val="TAC"/>
              <w:rPr>
                <w:rFonts w:cs="Arial"/>
              </w:rPr>
            </w:pPr>
            <w:r w:rsidRPr="00340914">
              <w:rPr>
                <w:rFonts w:cs="Arial"/>
              </w:rPr>
              <w:t>12.5 %</w:t>
            </w:r>
          </w:p>
        </w:tc>
      </w:tr>
      <w:tr w:rsidR="00821BF2" w:rsidRPr="00340914" w14:paraId="449B8054" w14:textId="77777777" w:rsidTr="00DD6D98">
        <w:trPr>
          <w:jc w:val="center"/>
        </w:trPr>
        <w:tc>
          <w:tcPr>
            <w:tcW w:w="3214" w:type="dxa"/>
          </w:tcPr>
          <w:p w14:paraId="51BEE941" w14:textId="77777777" w:rsidR="00821BF2" w:rsidRPr="00340914" w:rsidRDefault="00821BF2" w:rsidP="00DD6D98">
            <w:pPr>
              <w:pStyle w:val="TAC"/>
              <w:rPr>
                <w:rFonts w:cs="Arial"/>
              </w:rPr>
            </w:pPr>
            <w:r w:rsidRPr="00340914">
              <w:rPr>
                <w:rFonts w:cs="Arial"/>
              </w:rPr>
              <w:t>64QAM</w:t>
            </w:r>
          </w:p>
        </w:tc>
        <w:tc>
          <w:tcPr>
            <w:tcW w:w="2583" w:type="dxa"/>
          </w:tcPr>
          <w:p w14:paraId="24073C28" w14:textId="77777777" w:rsidR="00821BF2" w:rsidRPr="00340914" w:rsidRDefault="00821BF2" w:rsidP="00DD6D98">
            <w:pPr>
              <w:pStyle w:val="TAC"/>
              <w:rPr>
                <w:rFonts w:cs="Arial"/>
              </w:rPr>
            </w:pPr>
            <w:r w:rsidRPr="00340914">
              <w:rPr>
                <w:rFonts w:cs="Arial"/>
              </w:rPr>
              <w:t>8 %</w:t>
            </w:r>
          </w:p>
        </w:tc>
      </w:tr>
      <w:tr w:rsidR="00821BF2" w:rsidRPr="00340914" w14:paraId="018BF7EE" w14:textId="77777777" w:rsidTr="00DD6D98">
        <w:trPr>
          <w:jc w:val="center"/>
        </w:trPr>
        <w:tc>
          <w:tcPr>
            <w:tcW w:w="3214" w:type="dxa"/>
          </w:tcPr>
          <w:p w14:paraId="1C970064" w14:textId="77777777" w:rsidR="00821BF2" w:rsidRPr="00340914" w:rsidRDefault="00821BF2" w:rsidP="00DD6D98">
            <w:pPr>
              <w:pStyle w:val="TAC"/>
              <w:rPr>
                <w:rFonts w:cs="Arial"/>
              </w:rPr>
            </w:pPr>
            <w:r w:rsidRPr="00340914">
              <w:rPr>
                <w:rFonts w:cs="Arial"/>
              </w:rPr>
              <w:t>256QAM</w:t>
            </w:r>
          </w:p>
        </w:tc>
        <w:tc>
          <w:tcPr>
            <w:tcW w:w="2583" w:type="dxa"/>
          </w:tcPr>
          <w:p w14:paraId="67F6C90D" w14:textId="77777777" w:rsidR="00821BF2" w:rsidRPr="00340914" w:rsidRDefault="00821BF2" w:rsidP="00DD6D98">
            <w:pPr>
              <w:pStyle w:val="TAC"/>
              <w:rPr>
                <w:rFonts w:cs="Arial"/>
              </w:rPr>
            </w:pPr>
            <w:r w:rsidRPr="00340914">
              <w:rPr>
                <w:rFonts w:cs="Arial"/>
              </w:rPr>
              <w:t>3.5 %</w:t>
            </w:r>
          </w:p>
        </w:tc>
      </w:tr>
      <w:tr w:rsidR="00821BF2" w:rsidRPr="00340914" w14:paraId="2BF146D8" w14:textId="77777777" w:rsidTr="00DD6D98">
        <w:trPr>
          <w:jc w:val="center"/>
        </w:trPr>
        <w:tc>
          <w:tcPr>
            <w:tcW w:w="3214" w:type="dxa"/>
            <w:tcBorders>
              <w:top w:val="single" w:sz="4" w:space="0" w:color="auto"/>
              <w:left w:val="single" w:sz="4" w:space="0" w:color="auto"/>
              <w:bottom w:val="single" w:sz="4" w:space="0" w:color="auto"/>
              <w:right w:val="single" w:sz="4" w:space="0" w:color="auto"/>
            </w:tcBorders>
          </w:tcPr>
          <w:p w14:paraId="71B310C4" w14:textId="77777777" w:rsidR="00821BF2" w:rsidRPr="00340914" w:rsidRDefault="00821BF2" w:rsidP="00DD6D98">
            <w:pPr>
              <w:pStyle w:val="TAC"/>
              <w:rPr>
                <w:rFonts w:cs="Arial"/>
              </w:rPr>
            </w:pPr>
            <w:r w:rsidRPr="00340914">
              <w:rPr>
                <w:rFonts w:cs="Arial" w:hint="eastAsia"/>
              </w:rPr>
              <w:t>1024</w:t>
            </w:r>
            <w:r w:rsidRPr="0034091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7D972EF4" w14:textId="77777777" w:rsidR="00821BF2" w:rsidRPr="00340914" w:rsidRDefault="00821BF2" w:rsidP="00DD6D98">
            <w:pPr>
              <w:pStyle w:val="TAC"/>
              <w:rPr>
                <w:rFonts w:cs="Arial"/>
              </w:rPr>
            </w:pPr>
            <w:r w:rsidRPr="00340914">
              <w:rPr>
                <w:rFonts w:cs="Arial" w:hint="eastAsia"/>
              </w:rPr>
              <w:t>2</w:t>
            </w:r>
            <w:r w:rsidRPr="00340914">
              <w:rPr>
                <w:rFonts w:cs="Arial"/>
              </w:rPr>
              <w:t>.5 %</w:t>
            </w:r>
          </w:p>
        </w:tc>
      </w:tr>
    </w:tbl>
    <w:p w14:paraId="4D245B2D" w14:textId="77777777" w:rsidR="00B02C1A" w:rsidRDefault="00B02C1A" w:rsidP="00067690">
      <w:pPr>
        <w:rPr>
          <w:lang w:val="en-US"/>
        </w:rPr>
      </w:pPr>
    </w:p>
    <w:p w14:paraId="44B25347" w14:textId="459E7DB2" w:rsidR="00B93858" w:rsidRDefault="00B93858" w:rsidP="00067690">
      <w:pPr>
        <w:rPr>
          <w:lang w:val="en-US"/>
        </w:rPr>
      </w:pPr>
      <w:r>
        <w:rPr>
          <w:lang w:val="en-US"/>
        </w:rPr>
        <w:t xml:space="preserve">Additionally, </w:t>
      </w:r>
      <w:r w:rsidR="00CF1574">
        <w:rPr>
          <w:lang w:val="en-US"/>
        </w:rPr>
        <w:t xml:space="preserve">a description of the EVM measurement procedure and definition of associated parameters is provided in Annex </w:t>
      </w:r>
      <w:r w:rsidR="00EB44EE">
        <w:rPr>
          <w:lang w:val="en-US"/>
        </w:rPr>
        <w:t>E</w:t>
      </w:r>
      <w:r w:rsidR="00CF1574">
        <w:rPr>
          <w:lang w:val="en-US"/>
        </w:rPr>
        <w:t xml:space="preserve"> (normative) of 36.10</w:t>
      </w:r>
      <w:r w:rsidR="00043852">
        <w:rPr>
          <w:lang w:val="en-US"/>
        </w:rPr>
        <w:t>4</w:t>
      </w:r>
      <w:r w:rsidR="00CF1574">
        <w:rPr>
          <w:lang w:val="en-US"/>
        </w:rPr>
        <w:t>.</w:t>
      </w:r>
      <w:r w:rsidR="009751FE">
        <w:rPr>
          <w:lang w:val="en-US"/>
        </w:rPr>
        <w:t xml:space="preserve">  </w:t>
      </w:r>
      <w:r w:rsidR="00CB12A1">
        <w:rPr>
          <w:lang w:val="en-US"/>
        </w:rPr>
        <w:t>T</w:t>
      </w:r>
      <w:r w:rsidR="009751FE">
        <w:rPr>
          <w:lang w:val="en-US"/>
        </w:rPr>
        <w:t xml:space="preserve">he basic EVM function is given </w:t>
      </w:r>
      <w:proofErr w:type="gramStart"/>
      <w:r w:rsidR="009751FE">
        <w:rPr>
          <w:lang w:val="en-US"/>
        </w:rPr>
        <w:t>by</w:t>
      </w:r>
      <w:proofErr w:type="gramEnd"/>
    </w:p>
    <w:p w14:paraId="15C89489" w14:textId="3201D183" w:rsidR="00582B9A" w:rsidRDefault="006620C6" w:rsidP="00CB12A1">
      <w:pPr>
        <w:jc w:val="center"/>
      </w:pPr>
      <w:r w:rsidRPr="00340914">
        <w:rPr>
          <w:position w:val="-56"/>
        </w:rPr>
        <w:object w:dxaOrig="3500" w:dyaOrig="1260" w14:anchorId="79AB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66.7pt" o:ole="">
            <v:imagedata r:id="rId8" o:title=""/>
          </v:shape>
          <o:OLEObject Type="Embed" ProgID="Equation.3" ShapeID="_x0000_i1025" DrawAspect="Content" ObjectID="_1753265785" r:id="rId9"/>
        </w:object>
      </w:r>
    </w:p>
    <w:p w14:paraId="2B6E8724" w14:textId="577E39E7" w:rsidR="00342C2A" w:rsidRDefault="00342C2A" w:rsidP="00067690">
      <w:pPr>
        <w:rPr>
          <w:lang w:val="en-US"/>
        </w:rPr>
      </w:pPr>
      <w:r>
        <w:rPr>
          <w:lang w:val="en-US"/>
        </w:rPr>
        <w:t xml:space="preserve">The signal </w:t>
      </w:r>
      <w:r w:rsidRPr="00342C2A">
        <w:rPr>
          <w:i/>
          <w:iCs/>
          <w:lang w:val="en-US"/>
        </w:rPr>
        <w:t>Z’(</w:t>
      </w:r>
      <w:proofErr w:type="spellStart"/>
      <w:proofErr w:type="gramStart"/>
      <w:r w:rsidRPr="00342C2A">
        <w:rPr>
          <w:i/>
          <w:iCs/>
          <w:lang w:val="en-US"/>
        </w:rPr>
        <w:t>t,f</w:t>
      </w:r>
      <w:proofErr w:type="spellEnd"/>
      <w:proofErr w:type="gramEnd"/>
      <w:r w:rsidRPr="00342C2A">
        <w:rPr>
          <w:i/>
          <w:iCs/>
          <w:lang w:val="en-US"/>
        </w:rPr>
        <w:t>)</w:t>
      </w:r>
      <w:r>
        <w:rPr>
          <w:lang w:val="en-US"/>
        </w:rPr>
        <w:t xml:space="preserve"> has</w:t>
      </w:r>
      <w:r w:rsidR="003F5EA1">
        <w:rPr>
          <w:lang w:val="en-US"/>
        </w:rPr>
        <w:t xml:space="preserve"> had time and frequency correction already applied to it</w:t>
      </w:r>
      <w:r w:rsidR="006A1F02">
        <w:rPr>
          <w:lang w:val="en-US"/>
        </w:rPr>
        <w:t xml:space="preserve"> as well as frequency domain amplitude and phase equalization</w:t>
      </w:r>
      <w:r w:rsidR="0036188C">
        <w:rPr>
          <w:lang w:val="en-US"/>
        </w:rPr>
        <w:t xml:space="preserve">.  </w:t>
      </w:r>
      <w:r w:rsidR="00E54533">
        <w:rPr>
          <w:lang w:val="en-US"/>
        </w:rPr>
        <w:t xml:space="preserve">The basic EVM function is averaged across </w:t>
      </w:r>
      <w:r w:rsidR="00E76BC2">
        <w:rPr>
          <w:lang w:val="en-US"/>
        </w:rPr>
        <w:t>resource blocks and subframes</w:t>
      </w:r>
      <w:r w:rsidR="00E54533">
        <w:rPr>
          <w:lang w:val="en-US"/>
        </w:rPr>
        <w:t xml:space="preserve"> in a radio frame and then </w:t>
      </w:r>
      <w:r w:rsidR="00770959">
        <w:rPr>
          <w:lang w:val="en-US"/>
        </w:rPr>
        <w:t>checked against the minimum requirement.</w:t>
      </w:r>
    </w:p>
    <w:p w14:paraId="61CBC20C" w14:textId="16649AF9" w:rsidR="00E54533" w:rsidRDefault="00E54533" w:rsidP="00E54533">
      <w:pPr>
        <w:jc w:val="center"/>
        <w:rPr>
          <w:lang w:val="en-US"/>
        </w:rPr>
      </w:pPr>
      <w:r w:rsidRPr="00340914">
        <w:rPr>
          <w:rFonts w:eastAsia="×–¾’©‘Ì"/>
          <w:position w:val="-64"/>
        </w:rPr>
        <w:object w:dxaOrig="3280" w:dyaOrig="1120" w14:anchorId="60E04284">
          <v:shape id="_x0000_i1026" type="#_x0000_t75" style="width:164.45pt;height:56.45pt" o:ole="">
            <v:imagedata r:id="rId10" o:title=""/>
          </v:shape>
          <o:OLEObject Type="Embed" ProgID="Equation.3" ShapeID="_x0000_i1026" DrawAspect="Content" ObjectID="_1753265786" r:id="rId11"/>
        </w:object>
      </w:r>
    </w:p>
    <w:p w14:paraId="1624C0BC" w14:textId="632D8201" w:rsidR="00582B9A" w:rsidRDefault="00C9300E" w:rsidP="00067690">
      <w:pPr>
        <w:rPr>
          <w:lang w:val="en-US"/>
        </w:rPr>
      </w:pPr>
      <w:r>
        <w:rPr>
          <w:lang w:val="en-US"/>
        </w:rPr>
        <w:t>Th</w:t>
      </w:r>
      <w:r w:rsidR="00363A99">
        <w:rPr>
          <w:lang w:val="en-US"/>
        </w:rPr>
        <w:t>e</w:t>
      </w:r>
      <w:r>
        <w:rPr>
          <w:lang w:val="en-US"/>
        </w:rPr>
        <w:t xml:space="preserve"> basic </w:t>
      </w:r>
      <w:r w:rsidR="00363A99">
        <w:rPr>
          <w:lang w:val="en-US"/>
        </w:rPr>
        <w:t xml:space="preserve">EVM </w:t>
      </w:r>
      <w:r>
        <w:rPr>
          <w:lang w:val="en-US"/>
        </w:rPr>
        <w:t xml:space="preserve">function is evaluated after RF corrections such as frequency offset and timing adjustment have been applied as well as frequency domain equalization.  </w:t>
      </w:r>
      <w:r w:rsidR="007A430C">
        <w:rPr>
          <w:lang w:val="en-US"/>
        </w:rPr>
        <w:t>Since the LTE-based 5G broadcast transmit waveform is OFDM, the EVM is computed and summed across frequency tones after the FFT operation.  The FFT is only operated over the useful samples of the symbol, discarding the cycle prefix.  The EVM measurement carefully defines a window over which the FFT should be taken</w:t>
      </w:r>
      <w:r w:rsidR="00526C24">
        <w:rPr>
          <w:lang w:val="en-US"/>
        </w:rPr>
        <w:t xml:space="preserve">.  The lower and upper edge of the window indicates two positions where the FFT is </w:t>
      </w:r>
      <w:r w:rsidR="00526C24">
        <w:rPr>
          <w:lang w:val="en-US"/>
        </w:rPr>
        <w:lastRenderedPageBreak/>
        <w:t>taken a</w:t>
      </w:r>
      <w:r w:rsidR="003112BB">
        <w:rPr>
          <w:lang w:val="en-US"/>
        </w:rPr>
        <w:t>nd</w:t>
      </w:r>
      <w:r w:rsidR="00526C24">
        <w:rPr>
          <w:lang w:val="en-US"/>
        </w:rPr>
        <w:t xml:space="preserve"> </w:t>
      </w:r>
      <w:r w:rsidR="003112BB">
        <w:rPr>
          <w:lang w:val="en-US"/>
        </w:rPr>
        <w:t xml:space="preserve">an </w:t>
      </w:r>
      <w:r w:rsidR="00526C24">
        <w:rPr>
          <w:lang w:val="en-US"/>
        </w:rPr>
        <w:t>EVM is evaluated</w:t>
      </w:r>
      <w:r w:rsidR="003112BB">
        <w:rPr>
          <w:lang w:val="en-US"/>
        </w:rPr>
        <w:t>.  The maximum EVM for these two FFT locations is then reported as the EVM</w:t>
      </w:r>
      <w:r w:rsidR="0068707E">
        <w:rPr>
          <w:lang w:val="en-US"/>
        </w:rPr>
        <w:t xml:space="preserve">.  </w:t>
      </w:r>
      <w:proofErr w:type="gramStart"/>
      <w:r w:rsidR="0068707E">
        <w:rPr>
          <w:lang w:val="en-US"/>
        </w:rPr>
        <w:t>All of</w:t>
      </w:r>
      <w:proofErr w:type="gramEnd"/>
      <w:r w:rsidR="0068707E">
        <w:rPr>
          <w:lang w:val="en-US"/>
        </w:rPr>
        <w:t xml:space="preserve"> these parameters including the FFT size and window length are carefully detailed in Annex E of 36.104.  An example is provided </w:t>
      </w:r>
      <w:proofErr w:type="gramStart"/>
      <w:r w:rsidR="0068707E">
        <w:rPr>
          <w:lang w:val="en-US"/>
        </w:rPr>
        <w:t>below</w:t>
      </w:r>
      <w:proofErr w:type="gramEnd"/>
    </w:p>
    <w:p w14:paraId="51529547" w14:textId="77777777" w:rsidR="00E03DE8" w:rsidRDefault="00E03DE8" w:rsidP="00E03DE8">
      <w:pPr>
        <w:pStyle w:val="TH"/>
      </w:pPr>
      <w:r>
        <w:t xml:space="preserve">Table E.5.1-2d EVM window length for extended CP for 0.37 kHz sub-carrier </w:t>
      </w:r>
      <w:proofErr w:type="gramStart"/>
      <w:r>
        <w:t>spacing</w:t>
      </w:r>
      <w:proofErr w:type="gramEnd"/>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
      <w:tr w:rsidR="00E03DE8" w14:paraId="5D591C8B" w14:textId="77777777" w:rsidTr="00DD6D98">
        <w:trPr>
          <w:jc w:val="center"/>
        </w:trPr>
        <w:tc>
          <w:tcPr>
            <w:tcW w:w="1170" w:type="dxa"/>
            <w:shd w:val="clear" w:color="auto" w:fill="F3F3F3"/>
            <w:vAlign w:val="center"/>
          </w:tcPr>
          <w:p w14:paraId="6835A11A" w14:textId="77777777" w:rsidR="00E03DE8" w:rsidRDefault="00E03DE8" w:rsidP="00DD6D98">
            <w:pPr>
              <w:pStyle w:val="TAH"/>
              <w:rPr>
                <w:rFonts w:cs="Arial"/>
              </w:rPr>
            </w:pPr>
            <w:r>
              <w:rPr>
                <w:rFonts w:cs="Arial"/>
              </w:rPr>
              <w:t>Channel Bandwidth [MHz]</w:t>
            </w:r>
          </w:p>
        </w:tc>
        <w:tc>
          <w:tcPr>
            <w:tcW w:w="1170" w:type="dxa"/>
            <w:shd w:val="clear" w:color="auto" w:fill="F3F3F3"/>
            <w:vAlign w:val="center"/>
          </w:tcPr>
          <w:p w14:paraId="6C725A41" w14:textId="77777777" w:rsidR="00E03DE8" w:rsidRDefault="00E03DE8" w:rsidP="00DD6D98">
            <w:pPr>
              <w:pStyle w:val="TAH"/>
              <w:rPr>
                <w:rFonts w:cs="Arial"/>
              </w:rPr>
            </w:pPr>
            <w:r>
              <w:rPr>
                <w:rFonts w:cs="Arial"/>
              </w:rPr>
              <w:t>FFT size</w:t>
            </w:r>
          </w:p>
        </w:tc>
        <w:tc>
          <w:tcPr>
            <w:tcW w:w="1435" w:type="dxa"/>
            <w:shd w:val="clear" w:color="auto" w:fill="F3F3F3"/>
            <w:vAlign w:val="center"/>
          </w:tcPr>
          <w:p w14:paraId="79FD5A75" w14:textId="77777777" w:rsidR="00E03DE8" w:rsidRDefault="00E03DE8" w:rsidP="00DD6D98">
            <w:pPr>
              <w:pStyle w:val="TAH"/>
              <w:rPr>
                <w:rFonts w:cs="Arial"/>
              </w:rPr>
            </w:pPr>
            <w:r>
              <w:rPr>
                <w:rFonts w:cs="Arial"/>
              </w:rPr>
              <w:t>Cyclic prefix in FFT samples</w:t>
            </w:r>
          </w:p>
        </w:tc>
        <w:tc>
          <w:tcPr>
            <w:tcW w:w="1170" w:type="dxa"/>
            <w:shd w:val="clear" w:color="auto" w:fill="F3F3F3"/>
            <w:vAlign w:val="center"/>
          </w:tcPr>
          <w:p w14:paraId="07843B9C" w14:textId="77777777" w:rsidR="00E03DE8" w:rsidRDefault="00E03DE8" w:rsidP="00DD6D9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76EF81F2" w14:textId="77777777" w:rsidR="00E03DE8" w:rsidRDefault="00E03DE8" w:rsidP="00DD6D98">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E03DE8" w14:paraId="7C26CA74" w14:textId="77777777" w:rsidTr="00DD6D98">
        <w:trPr>
          <w:jc w:val="center"/>
        </w:trPr>
        <w:tc>
          <w:tcPr>
            <w:tcW w:w="1170" w:type="dxa"/>
            <w:vAlign w:val="center"/>
          </w:tcPr>
          <w:p w14:paraId="3EA8F59C" w14:textId="77777777" w:rsidR="00E03DE8" w:rsidRDefault="00E03DE8" w:rsidP="00DD6D98">
            <w:pPr>
              <w:pStyle w:val="TAC"/>
              <w:rPr>
                <w:rFonts w:cs="Arial"/>
              </w:rPr>
            </w:pPr>
            <w:r>
              <w:rPr>
                <w:rFonts w:cs="Arial"/>
              </w:rPr>
              <w:t>1.4</w:t>
            </w:r>
          </w:p>
        </w:tc>
        <w:tc>
          <w:tcPr>
            <w:tcW w:w="1170" w:type="dxa"/>
            <w:tcBorders>
              <w:top w:val="single" w:sz="4" w:space="0" w:color="000000"/>
              <w:left w:val="single" w:sz="4" w:space="0" w:color="000000"/>
              <w:bottom w:val="single" w:sz="4" w:space="0" w:color="000000"/>
              <w:right w:val="single" w:sz="4" w:space="0" w:color="000000"/>
            </w:tcBorders>
            <w:vAlign w:val="bottom"/>
          </w:tcPr>
          <w:p w14:paraId="72E337D6" w14:textId="77777777" w:rsidR="00E03DE8" w:rsidRDefault="00E03DE8" w:rsidP="00DD6D98">
            <w:pPr>
              <w:pStyle w:val="TAC"/>
              <w:keepNext w:val="0"/>
              <w:keepLines w:val="0"/>
              <w:jc w:val="right"/>
              <w:textAlignment w:val="bottom"/>
              <w:rPr>
                <w:rFonts w:cs="Arial"/>
                <w:szCs w:val="22"/>
                <w:lang w:val="en-US" w:eastAsia="zh-CN"/>
              </w:rPr>
            </w:pPr>
            <w:r>
              <w:rPr>
                <w:rFonts w:cs="Arial"/>
                <w:szCs w:val="22"/>
                <w:lang w:val="en-US" w:eastAsia="zh-CN" w:bidi="ar"/>
              </w:rPr>
              <w:t>5184</w:t>
            </w:r>
          </w:p>
        </w:tc>
        <w:tc>
          <w:tcPr>
            <w:tcW w:w="1435" w:type="dxa"/>
            <w:tcBorders>
              <w:top w:val="single" w:sz="4" w:space="0" w:color="000000"/>
              <w:left w:val="single" w:sz="4" w:space="0" w:color="000000"/>
              <w:bottom w:val="single" w:sz="4" w:space="0" w:color="000000"/>
              <w:right w:val="single" w:sz="4" w:space="0" w:color="000000"/>
            </w:tcBorders>
            <w:vAlign w:val="bottom"/>
          </w:tcPr>
          <w:p w14:paraId="11E2089A"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576</w:t>
            </w:r>
          </w:p>
        </w:tc>
        <w:tc>
          <w:tcPr>
            <w:tcW w:w="1170" w:type="dxa"/>
            <w:tcBorders>
              <w:top w:val="single" w:sz="4" w:space="0" w:color="000000"/>
              <w:left w:val="single" w:sz="4" w:space="0" w:color="000000"/>
              <w:bottom w:val="single" w:sz="4" w:space="0" w:color="000000"/>
              <w:right w:val="single" w:sz="4" w:space="0" w:color="000000"/>
            </w:tcBorders>
            <w:vAlign w:val="bottom"/>
          </w:tcPr>
          <w:p w14:paraId="2770B92A" w14:textId="77777777" w:rsidR="00E03DE8" w:rsidRDefault="00E03DE8" w:rsidP="00DD6D98">
            <w:pPr>
              <w:pStyle w:val="TAC"/>
              <w:rPr>
                <w:rFonts w:cs="Arial"/>
                <w:lang w:val="en-US" w:eastAsia="zh-CN"/>
              </w:rPr>
            </w:pPr>
            <w:r>
              <w:rPr>
                <w:rFonts w:hint="eastAsia"/>
                <w:color w:val="000000"/>
                <w:lang w:val="en-US" w:eastAsia="zh-CN"/>
              </w:rPr>
              <w:t>504</w:t>
            </w:r>
          </w:p>
        </w:tc>
        <w:tc>
          <w:tcPr>
            <w:tcW w:w="1402" w:type="dxa"/>
          </w:tcPr>
          <w:p w14:paraId="2A7C4318" w14:textId="77777777" w:rsidR="00E03DE8" w:rsidRDefault="00E03DE8" w:rsidP="00DD6D98">
            <w:pPr>
              <w:pStyle w:val="TAC"/>
              <w:rPr>
                <w:rFonts w:cs="Arial"/>
              </w:rPr>
            </w:pPr>
            <w:r>
              <w:rPr>
                <w:rFonts w:cs="Arial"/>
              </w:rPr>
              <w:t>87.5</w:t>
            </w:r>
          </w:p>
        </w:tc>
      </w:tr>
      <w:tr w:rsidR="00E03DE8" w14:paraId="5032E801" w14:textId="77777777" w:rsidTr="00DD6D98">
        <w:trPr>
          <w:jc w:val="center"/>
        </w:trPr>
        <w:tc>
          <w:tcPr>
            <w:tcW w:w="1170" w:type="dxa"/>
            <w:vAlign w:val="center"/>
          </w:tcPr>
          <w:p w14:paraId="7731C311" w14:textId="77777777" w:rsidR="00E03DE8" w:rsidRDefault="00E03DE8" w:rsidP="00DD6D98">
            <w:pPr>
              <w:pStyle w:val="TAC"/>
              <w:rPr>
                <w:rFonts w:cs="Arial"/>
              </w:rPr>
            </w:pPr>
            <w:r>
              <w:rPr>
                <w:rFonts w:cs="Arial"/>
              </w:rPr>
              <w:t>3</w:t>
            </w:r>
          </w:p>
        </w:tc>
        <w:tc>
          <w:tcPr>
            <w:tcW w:w="1170" w:type="dxa"/>
            <w:tcBorders>
              <w:top w:val="single" w:sz="4" w:space="0" w:color="000000"/>
              <w:left w:val="single" w:sz="4" w:space="0" w:color="000000"/>
              <w:bottom w:val="single" w:sz="4" w:space="0" w:color="000000"/>
              <w:right w:val="single" w:sz="4" w:space="0" w:color="000000"/>
            </w:tcBorders>
            <w:vAlign w:val="bottom"/>
          </w:tcPr>
          <w:p w14:paraId="4B1557FD" w14:textId="77777777" w:rsidR="00E03DE8" w:rsidRDefault="00E03DE8" w:rsidP="00DD6D98">
            <w:pPr>
              <w:pStyle w:val="TAC"/>
              <w:keepNext w:val="0"/>
              <w:keepLines w:val="0"/>
              <w:jc w:val="right"/>
              <w:textAlignment w:val="bottom"/>
              <w:rPr>
                <w:rFonts w:cs="Arial"/>
                <w:szCs w:val="22"/>
              </w:rPr>
            </w:pPr>
            <w:r>
              <w:rPr>
                <w:rFonts w:cs="Arial"/>
                <w:szCs w:val="22"/>
                <w:lang w:val="en-US" w:eastAsia="zh-CN" w:bidi="ar"/>
              </w:rPr>
              <w:t>10368</w:t>
            </w:r>
          </w:p>
        </w:tc>
        <w:tc>
          <w:tcPr>
            <w:tcW w:w="1435" w:type="dxa"/>
            <w:tcBorders>
              <w:top w:val="single" w:sz="4" w:space="0" w:color="000000"/>
              <w:left w:val="single" w:sz="4" w:space="0" w:color="000000"/>
              <w:bottom w:val="single" w:sz="4" w:space="0" w:color="000000"/>
              <w:right w:val="single" w:sz="4" w:space="0" w:color="000000"/>
            </w:tcBorders>
            <w:vAlign w:val="bottom"/>
          </w:tcPr>
          <w:p w14:paraId="0CDD65A5"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1152</w:t>
            </w:r>
          </w:p>
        </w:tc>
        <w:tc>
          <w:tcPr>
            <w:tcW w:w="1170" w:type="dxa"/>
            <w:tcBorders>
              <w:top w:val="single" w:sz="4" w:space="0" w:color="000000"/>
              <w:left w:val="single" w:sz="4" w:space="0" w:color="000000"/>
              <w:bottom w:val="single" w:sz="4" w:space="0" w:color="000000"/>
              <w:right w:val="single" w:sz="4" w:space="0" w:color="000000"/>
            </w:tcBorders>
            <w:vAlign w:val="bottom"/>
          </w:tcPr>
          <w:p w14:paraId="24913187" w14:textId="77777777" w:rsidR="00E03DE8" w:rsidRDefault="00E03DE8" w:rsidP="00DD6D98">
            <w:pPr>
              <w:pStyle w:val="TAC"/>
              <w:rPr>
                <w:rFonts w:cs="Arial"/>
                <w:lang w:val="en-US" w:eastAsia="zh-CN"/>
              </w:rPr>
            </w:pPr>
            <w:r>
              <w:rPr>
                <w:rFonts w:hint="eastAsia"/>
                <w:color w:val="000000"/>
                <w:lang w:val="en-US" w:eastAsia="zh-CN"/>
              </w:rPr>
              <w:t>1044</w:t>
            </w:r>
          </w:p>
        </w:tc>
        <w:tc>
          <w:tcPr>
            <w:tcW w:w="1402" w:type="dxa"/>
          </w:tcPr>
          <w:p w14:paraId="7125BF90" w14:textId="77777777" w:rsidR="00E03DE8" w:rsidRDefault="00E03DE8" w:rsidP="00DD6D98">
            <w:pPr>
              <w:pStyle w:val="TAC"/>
              <w:rPr>
                <w:rFonts w:cs="Arial"/>
              </w:rPr>
            </w:pPr>
            <w:r>
              <w:rPr>
                <w:rFonts w:cs="Arial"/>
              </w:rPr>
              <w:t>90.6</w:t>
            </w:r>
          </w:p>
        </w:tc>
      </w:tr>
      <w:tr w:rsidR="00E03DE8" w14:paraId="2F278C76" w14:textId="77777777" w:rsidTr="00DD6D98">
        <w:trPr>
          <w:jc w:val="center"/>
        </w:trPr>
        <w:tc>
          <w:tcPr>
            <w:tcW w:w="1170" w:type="dxa"/>
            <w:vAlign w:val="center"/>
          </w:tcPr>
          <w:p w14:paraId="4BFB4F65" w14:textId="77777777" w:rsidR="00E03DE8" w:rsidRDefault="00E03DE8" w:rsidP="00DD6D98">
            <w:pPr>
              <w:pStyle w:val="TAC"/>
              <w:rPr>
                <w:rFonts w:cs="Arial"/>
              </w:rPr>
            </w:pPr>
            <w:r>
              <w:rPr>
                <w:rFonts w:cs="Arial"/>
              </w:rPr>
              <w:t>5</w:t>
            </w:r>
          </w:p>
        </w:tc>
        <w:tc>
          <w:tcPr>
            <w:tcW w:w="1170" w:type="dxa"/>
            <w:tcBorders>
              <w:top w:val="single" w:sz="4" w:space="0" w:color="000000"/>
              <w:left w:val="single" w:sz="4" w:space="0" w:color="000000"/>
              <w:bottom w:val="single" w:sz="4" w:space="0" w:color="000000"/>
              <w:right w:val="single" w:sz="4" w:space="0" w:color="000000"/>
            </w:tcBorders>
            <w:vAlign w:val="bottom"/>
          </w:tcPr>
          <w:p w14:paraId="0321B827" w14:textId="77777777" w:rsidR="00E03DE8" w:rsidRDefault="00E03DE8" w:rsidP="00DD6D98">
            <w:pPr>
              <w:pStyle w:val="TAC"/>
              <w:keepNext w:val="0"/>
              <w:keepLines w:val="0"/>
              <w:jc w:val="right"/>
              <w:textAlignment w:val="bottom"/>
              <w:rPr>
                <w:rFonts w:cs="Arial"/>
                <w:szCs w:val="22"/>
              </w:rPr>
            </w:pPr>
            <w:r>
              <w:rPr>
                <w:rFonts w:cs="Arial"/>
                <w:szCs w:val="22"/>
                <w:lang w:val="en-US" w:eastAsia="zh-CN" w:bidi="ar"/>
              </w:rPr>
              <w:t>20736</w:t>
            </w:r>
          </w:p>
        </w:tc>
        <w:tc>
          <w:tcPr>
            <w:tcW w:w="1435" w:type="dxa"/>
            <w:tcBorders>
              <w:top w:val="single" w:sz="4" w:space="0" w:color="000000"/>
              <w:left w:val="single" w:sz="4" w:space="0" w:color="000000"/>
              <w:bottom w:val="single" w:sz="4" w:space="0" w:color="000000"/>
              <w:right w:val="single" w:sz="4" w:space="0" w:color="000000"/>
            </w:tcBorders>
            <w:vAlign w:val="bottom"/>
          </w:tcPr>
          <w:p w14:paraId="3FA25735"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2302</w:t>
            </w:r>
          </w:p>
        </w:tc>
        <w:tc>
          <w:tcPr>
            <w:tcW w:w="1170" w:type="dxa"/>
            <w:tcBorders>
              <w:top w:val="single" w:sz="4" w:space="0" w:color="000000"/>
              <w:left w:val="single" w:sz="4" w:space="0" w:color="000000"/>
              <w:bottom w:val="single" w:sz="4" w:space="0" w:color="000000"/>
              <w:right w:val="single" w:sz="4" w:space="0" w:color="000000"/>
            </w:tcBorders>
            <w:vAlign w:val="bottom"/>
          </w:tcPr>
          <w:p w14:paraId="51F85815" w14:textId="77777777" w:rsidR="00E03DE8" w:rsidRDefault="00E03DE8" w:rsidP="00DD6D98">
            <w:pPr>
              <w:pStyle w:val="TAC"/>
              <w:rPr>
                <w:rFonts w:cs="Arial"/>
                <w:lang w:val="en-US" w:eastAsia="zh-CN"/>
              </w:rPr>
            </w:pPr>
            <w:r>
              <w:rPr>
                <w:rFonts w:hint="eastAsia"/>
                <w:color w:val="000000"/>
                <w:lang w:val="en-US" w:eastAsia="zh-CN"/>
              </w:rPr>
              <w:t>2230</w:t>
            </w:r>
          </w:p>
        </w:tc>
        <w:tc>
          <w:tcPr>
            <w:tcW w:w="1402" w:type="dxa"/>
          </w:tcPr>
          <w:p w14:paraId="3F580794" w14:textId="77777777" w:rsidR="00E03DE8" w:rsidRDefault="00E03DE8" w:rsidP="00DD6D98">
            <w:pPr>
              <w:pStyle w:val="TAC"/>
              <w:rPr>
                <w:rFonts w:cs="Arial"/>
              </w:rPr>
            </w:pPr>
            <w:r>
              <w:rPr>
                <w:rFonts w:cs="Arial"/>
              </w:rPr>
              <w:t>96.9</w:t>
            </w:r>
          </w:p>
        </w:tc>
      </w:tr>
      <w:tr w:rsidR="00E03DE8" w14:paraId="2FAFBCB8" w14:textId="77777777" w:rsidTr="00DD6D98">
        <w:trPr>
          <w:jc w:val="center"/>
        </w:trPr>
        <w:tc>
          <w:tcPr>
            <w:tcW w:w="1170" w:type="dxa"/>
            <w:vAlign w:val="center"/>
          </w:tcPr>
          <w:p w14:paraId="1B446096" w14:textId="77777777" w:rsidR="00E03DE8" w:rsidRDefault="00E03DE8" w:rsidP="00DD6D98">
            <w:pPr>
              <w:pStyle w:val="TAC"/>
              <w:rPr>
                <w:rFonts w:cs="Arial"/>
              </w:rPr>
            </w:pPr>
            <w:r>
              <w:rPr>
                <w:rFonts w:cs="Arial"/>
              </w:rPr>
              <w:t>10</w:t>
            </w:r>
          </w:p>
        </w:tc>
        <w:tc>
          <w:tcPr>
            <w:tcW w:w="1170" w:type="dxa"/>
            <w:tcBorders>
              <w:top w:val="single" w:sz="4" w:space="0" w:color="000000"/>
              <w:left w:val="single" w:sz="4" w:space="0" w:color="000000"/>
              <w:bottom w:val="single" w:sz="4" w:space="0" w:color="000000"/>
              <w:right w:val="single" w:sz="4" w:space="0" w:color="000000"/>
            </w:tcBorders>
            <w:vAlign w:val="bottom"/>
          </w:tcPr>
          <w:p w14:paraId="293A2C8A" w14:textId="77777777" w:rsidR="00E03DE8" w:rsidRDefault="00E03DE8" w:rsidP="00DD6D98">
            <w:pPr>
              <w:pStyle w:val="TAC"/>
              <w:keepNext w:val="0"/>
              <w:keepLines w:val="0"/>
              <w:jc w:val="right"/>
              <w:textAlignment w:val="bottom"/>
              <w:rPr>
                <w:rFonts w:cs="Arial"/>
                <w:szCs w:val="22"/>
              </w:rPr>
            </w:pPr>
            <w:r>
              <w:rPr>
                <w:rFonts w:cs="Arial"/>
                <w:szCs w:val="22"/>
                <w:lang w:val="en-US" w:eastAsia="zh-CN" w:bidi="ar"/>
              </w:rPr>
              <w:t>41472</w:t>
            </w:r>
          </w:p>
        </w:tc>
        <w:tc>
          <w:tcPr>
            <w:tcW w:w="1435" w:type="dxa"/>
            <w:tcBorders>
              <w:top w:val="single" w:sz="4" w:space="0" w:color="000000"/>
              <w:left w:val="single" w:sz="4" w:space="0" w:color="000000"/>
              <w:bottom w:val="single" w:sz="4" w:space="0" w:color="000000"/>
              <w:right w:val="single" w:sz="4" w:space="0" w:color="000000"/>
            </w:tcBorders>
            <w:vAlign w:val="bottom"/>
          </w:tcPr>
          <w:p w14:paraId="37CB8000"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4604</w:t>
            </w:r>
          </w:p>
        </w:tc>
        <w:tc>
          <w:tcPr>
            <w:tcW w:w="1170" w:type="dxa"/>
            <w:tcBorders>
              <w:top w:val="single" w:sz="4" w:space="0" w:color="000000"/>
              <w:left w:val="single" w:sz="4" w:space="0" w:color="000000"/>
              <w:bottom w:val="single" w:sz="4" w:space="0" w:color="000000"/>
              <w:right w:val="single" w:sz="4" w:space="0" w:color="000000"/>
            </w:tcBorders>
            <w:vAlign w:val="bottom"/>
          </w:tcPr>
          <w:p w14:paraId="14FA5FFC" w14:textId="77777777" w:rsidR="00E03DE8" w:rsidRDefault="00E03DE8" w:rsidP="00DD6D98">
            <w:pPr>
              <w:pStyle w:val="TAC"/>
              <w:rPr>
                <w:rFonts w:cs="Arial"/>
                <w:lang w:val="en-US" w:eastAsia="zh-CN"/>
              </w:rPr>
            </w:pPr>
            <w:r>
              <w:rPr>
                <w:rFonts w:hint="eastAsia"/>
                <w:color w:val="000000"/>
                <w:lang w:val="en-US" w:eastAsia="zh-CN"/>
              </w:rPr>
              <w:t>4498</w:t>
            </w:r>
          </w:p>
        </w:tc>
        <w:tc>
          <w:tcPr>
            <w:tcW w:w="1402" w:type="dxa"/>
          </w:tcPr>
          <w:p w14:paraId="6441142C" w14:textId="77777777" w:rsidR="00E03DE8" w:rsidRDefault="00E03DE8" w:rsidP="00DD6D98">
            <w:pPr>
              <w:pStyle w:val="TAC"/>
              <w:rPr>
                <w:rFonts w:cs="Arial"/>
              </w:rPr>
            </w:pPr>
            <w:r>
              <w:rPr>
                <w:rFonts w:cs="Arial"/>
              </w:rPr>
              <w:t>97.7</w:t>
            </w:r>
          </w:p>
        </w:tc>
      </w:tr>
      <w:tr w:rsidR="00E03DE8" w14:paraId="6DCE27EE" w14:textId="77777777" w:rsidTr="00DD6D98">
        <w:trPr>
          <w:jc w:val="center"/>
        </w:trPr>
        <w:tc>
          <w:tcPr>
            <w:tcW w:w="1170" w:type="dxa"/>
            <w:vAlign w:val="center"/>
          </w:tcPr>
          <w:p w14:paraId="03E7A56E" w14:textId="77777777" w:rsidR="00E03DE8" w:rsidRDefault="00E03DE8" w:rsidP="00DD6D98">
            <w:pPr>
              <w:pStyle w:val="TAC"/>
              <w:rPr>
                <w:rFonts w:cs="Arial"/>
              </w:rPr>
            </w:pPr>
            <w:r>
              <w:rPr>
                <w:rFonts w:cs="Arial"/>
              </w:rPr>
              <w:t>15</w:t>
            </w:r>
          </w:p>
        </w:tc>
        <w:tc>
          <w:tcPr>
            <w:tcW w:w="1170" w:type="dxa"/>
            <w:tcBorders>
              <w:top w:val="single" w:sz="4" w:space="0" w:color="000000"/>
              <w:left w:val="single" w:sz="4" w:space="0" w:color="000000"/>
              <w:bottom w:val="single" w:sz="4" w:space="0" w:color="000000"/>
              <w:right w:val="single" w:sz="4" w:space="0" w:color="000000"/>
            </w:tcBorders>
            <w:vAlign w:val="bottom"/>
          </w:tcPr>
          <w:p w14:paraId="68C2247B" w14:textId="77777777" w:rsidR="00E03DE8" w:rsidRDefault="00E03DE8" w:rsidP="00DD6D98">
            <w:pPr>
              <w:pStyle w:val="TAC"/>
              <w:keepNext w:val="0"/>
              <w:keepLines w:val="0"/>
              <w:jc w:val="right"/>
              <w:textAlignment w:val="bottom"/>
              <w:rPr>
                <w:rFonts w:cs="Arial"/>
                <w:szCs w:val="22"/>
              </w:rPr>
            </w:pPr>
            <w:r>
              <w:rPr>
                <w:rFonts w:cs="Arial"/>
                <w:szCs w:val="22"/>
                <w:lang w:val="en-US" w:eastAsia="zh-CN" w:bidi="ar"/>
              </w:rPr>
              <w:t>62208</w:t>
            </w:r>
          </w:p>
        </w:tc>
        <w:tc>
          <w:tcPr>
            <w:tcW w:w="1435" w:type="dxa"/>
            <w:tcBorders>
              <w:top w:val="single" w:sz="4" w:space="0" w:color="000000"/>
              <w:left w:val="single" w:sz="4" w:space="0" w:color="000000"/>
              <w:bottom w:val="single" w:sz="4" w:space="0" w:color="000000"/>
              <w:right w:val="single" w:sz="4" w:space="0" w:color="000000"/>
            </w:tcBorders>
            <w:vAlign w:val="bottom"/>
          </w:tcPr>
          <w:p w14:paraId="7AFE735F"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6906</w:t>
            </w:r>
          </w:p>
        </w:tc>
        <w:tc>
          <w:tcPr>
            <w:tcW w:w="1170" w:type="dxa"/>
            <w:tcBorders>
              <w:top w:val="single" w:sz="4" w:space="0" w:color="000000"/>
              <w:left w:val="single" w:sz="4" w:space="0" w:color="000000"/>
              <w:bottom w:val="single" w:sz="4" w:space="0" w:color="000000"/>
              <w:right w:val="single" w:sz="4" w:space="0" w:color="000000"/>
            </w:tcBorders>
            <w:vAlign w:val="bottom"/>
          </w:tcPr>
          <w:p w14:paraId="0E9D0AE9" w14:textId="77777777" w:rsidR="00E03DE8" w:rsidRDefault="00E03DE8" w:rsidP="00DD6D98">
            <w:pPr>
              <w:pStyle w:val="TAC"/>
              <w:rPr>
                <w:rFonts w:cs="Arial"/>
                <w:lang w:val="en-US" w:eastAsia="zh-CN"/>
              </w:rPr>
            </w:pPr>
            <w:r>
              <w:rPr>
                <w:rFonts w:hint="eastAsia"/>
                <w:color w:val="000000"/>
                <w:lang w:val="en-US" w:eastAsia="zh-CN"/>
              </w:rPr>
              <w:t>6796</w:t>
            </w:r>
          </w:p>
        </w:tc>
        <w:tc>
          <w:tcPr>
            <w:tcW w:w="1402" w:type="dxa"/>
          </w:tcPr>
          <w:p w14:paraId="39B848D0" w14:textId="77777777" w:rsidR="00E03DE8" w:rsidRDefault="00E03DE8" w:rsidP="00DD6D98">
            <w:pPr>
              <w:pStyle w:val="TAC"/>
              <w:rPr>
                <w:rFonts w:cs="Arial"/>
              </w:rPr>
            </w:pPr>
            <w:r>
              <w:rPr>
                <w:rFonts w:cs="Arial"/>
              </w:rPr>
              <w:t>98.4</w:t>
            </w:r>
          </w:p>
        </w:tc>
      </w:tr>
      <w:tr w:rsidR="00E03DE8" w14:paraId="02123367" w14:textId="77777777" w:rsidTr="00DD6D98">
        <w:trPr>
          <w:jc w:val="center"/>
        </w:trPr>
        <w:tc>
          <w:tcPr>
            <w:tcW w:w="1170" w:type="dxa"/>
            <w:vAlign w:val="center"/>
          </w:tcPr>
          <w:p w14:paraId="18DEC389" w14:textId="77777777" w:rsidR="00E03DE8" w:rsidRDefault="00E03DE8" w:rsidP="00DD6D98">
            <w:pPr>
              <w:pStyle w:val="TAC"/>
              <w:rPr>
                <w:rFonts w:cs="Arial"/>
              </w:rPr>
            </w:pPr>
            <w:r>
              <w:rPr>
                <w:rFonts w:cs="Arial"/>
              </w:rPr>
              <w:t>20</w:t>
            </w:r>
          </w:p>
        </w:tc>
        <w:tc>
          <w:tcPr>
            <w:tcW w:w="1170" w:type="dxa"/>
            <w:tcBorders>
              <w:top w:val="single" w:sz="4" w:space="0" w:color="000000"/>
              <w:left w:val="single" w:sz="4" w:space="0" w:color="000000"/>
              <w:bottom w:val="single" w:sz="4" w:space="0" w:color="000000"/>
              <w:right w:val="single" w:sz="4" w:space="0" w:color="000000"/>
            </w:tcBorders>
            <w:vAlign w:val="bottom"/>
          </w:tcPr>
          <w:p w14:paraId="35000BCD" w14:textId="77777777" w:rsidR="00E03DE8" w:rsidRDefault="00E03DE8" w:rsidP="00DD6D98">
            <w:pPr>
              <w:pStyle w:val="TAC"/>
              <w:keepNext w:val="0"/>
              <w:keepLines w:val="0"/>
              <w:jc w:val="right"/>
              <w:textAlignment w:val="bottom"/>
              <w:rPr>
                <w:rFonts w:cs="Arial"/>
                <w:szCs w:val="22"/>
              </w:rPr>
            </w:pPr>
            <w:r>
              <w:rPr>
                <w:rFonts w:cs="Arial"/>
                <w:szCs w:val="22"/>
                <w:lang w:val="en-US" w:eastAsia="zh-CN" w:bidi="ar"/>
              </w:rPr>
              <w:t>82944</w:t>
            </w:r>
          </w:p>
        </w:tc>
        <w:tc>
          <w:tcPr>
            <w:tcW w:w="1435" w:type="dxa"/>
            <w:tcBorders>
              <w:top w:val="single" w:sz="4" w:space="0" w:color="000000"/>
              <w:left w:val="single" w:sz="4" w:space="0" w:color="000000"/>
              <w:bottom w:val="single" w:sz="4" w:space="0" w:color="000000"/>
              <w:right w:val="single" w:sz="4" w:space="0" w:color="000000"/>
            </w:tcBorders>
            <w:vAlign w:val="bottom"/>
          </w:tcPr>
          <w:p w14:paraId="5DD197AE" w14:textId="77777777" w:rsidR="00E03DE8" w:rsidRDefault="00E03DE8" w:rsidP="00DD6D98">
            <w:pPr>
              <w:pStyle w:val="TAC"/>
              <w:keepNext w:val="0"/>
              <w:keepLines w:val="0"/>
              <w:jc w:val="right"/>
              <w:textAlignment w:val="bottom"/>
              <w:rPr>
                <w:rFonts w:cs="Arial"/>
                <w:szCs w:val="22"/>
                <w:lang w:val="en-US" w:eastAsia="zh-CN" w:bidi="ar"/>
              </w:rPr>
            </w:pPr>
            <w:r>
              <w:rPr>
                <w:rFonts w:cs="Arial"/>
                <w:szCs w:val="22"/>
                <w:lang w:val="en-US" w:eastAsia="zh-CN" w:bidi="ar"/>
              </w:rPr>
              <w:t>9208</w:t>
            </w:r>
          </w:p>
        </w:tc>
        <w:tc>
          <w:tcPr>
            <w:tcW w:w="1170" w:type="dxa"/>
            <w:tcBorders>
              <w:top w:val="single" w:sz="4" w:space="0" w:color="000000"/>
              <w:left w:val="single" w:sz="4" w:space="0" w:color="000000"/>
              <w:bottom w:val="single" w:sz="4" w:space="0" w:color="000000"/>
              <w:right w:val="single" w:sz="4" w:space="0" w:color="000000"/>
            </w:tcBorders>
            <w:vAlign w:val="bottom"/>
          </w:tcPr>
          <w:p w14:paraId="4CB4D0BE" w14:textId="77777777" w:rsidR="00E03DE8" w:rsidRDefault="00E03DE8" w:rsidP="00DD6D98">
            <w:pPr>
              <w:pStyle w:val="TAC"/>
              <w:rPr>
                <w:rFonts w:cs="Arial"/>
                <w:lang w:val="en-US" w:eastAsia="zh-CN"/>
              </w:rPr>
            </w:pPr>
            <w:r>
              <w:rPr>
                <w:rFonts w:hint="eastAsia"/>
                <w:color w:val="000000"/>
                <w:lang w:val="en-US" w:eastAsia="zh-CN"/>
              </w:rPr>
              <w:t>9060</w:t>
            </w:r>
          </w:p>
        </w:tc>
        <w:tc>
          <w:tcPr>
            <w:tcW w:w="1402" w:type="dxa"/>
          </w:tcPr>
          <w:p w14:paraId="4FB8DD64" w14:textId="77777777" w:rsidR="00E03DE8" w:rsidRDefault="00E03DE8" w:rsidP="00DD6D98">
            <w:pPr>
              <w:pStyle w:val="TAC"/>
              <w:rPr>
                <w:rFonts w:cs="Arial"/>
              </w:rPr>
            </w:pPr>
            <w:r>
              <w:rPr>
                <w:rFonts w:cs="Arial"/>
              </w:rPr>
              <w:t>98.4</w:t>
            </w:r>
          </w:p>
        </w:tc>
      </w:tr>
      <w:tr w:rsidR="00E03DE8" w14:paraId="3D6A731E" w14:textId="77777777" w:rsidTr="00DD6D98">
        <w:trPr>
          <w:jc w:val="center"/>
        </w:trPr>
        <w:tc>
          <w:tcPr>
            <w:tcW w:w="6347" w:type="dxa"/>
            <w:gridSpan w:val="5"/>
            <w:vAlign w:val="center"/>
          </w:tcPr>
          <w:p w14:paraId="0F4AA361" w14:textId="77777777" w:rsidR="00E03DE8" w:rsidRDefault="00E03DE8" w:rsidP="00DD6D98">
            <w:pPr>
              <w:pStyle w:val="TAN"/>
              <w:rPr>
                <w:rFonts w:cs="Arial"/>
              </w:rPr>
            </w:pPr>
            <w:r>
              <w:rPr>
                <w:rFonts w:cs="Arial"/>
              </w:rPr>
              <w:t>Note 1:</w:t>
            </w:r>
            <w:r>
              <w:rPr>
                <w:rFonts w:cs="Arial"/>
              </w:rPr>
              <w:tab/>
              <w:t xml:space="preserve">These percentages are informative. </w:t>
            </w:r>
          </w:p>
        </w:tc>
      </w:tr>
    </w:tbl>
    <w:p w14:paraId="323FB6BF" w14:textId="77777777" w:rsidR="00E03DE8" w:rsidRPr="00067690" w:rsidRDefault="00E03DE8" w:rsidP="00067690">
      <w:pPr>
        <w:rPr>
          <w:lang w:val="en-US"/>
        </w:rPr>
      </w:pPr>
    </w:p>
    <w:p w14:paraId="01C979C7" w14:textId="22E3C6DE" w:rsidR="0030473A" w:rsidRDefault="00067690" w:rsidP="0030473A">
      <w:pPr>
        <w:pStyle w:val="Heading2"/>
        <w:rPr>
          <w:lang w:val="en-US"/>
        </w:rPr>
      </w:pPr>
      <w:r>
        <w:rPr>
          <w:lang w:val="en-US"/>
        </w:rPr>
        <w:t>Modulation error rat</w:t>
      </w:r>
      <w:r w:rsidR="00F565F8">
        <w:rPr>
          <w:lang w:val="en-US"/>
        </w:rPr>
        <w:t>io</w:t>
      </w:r>
      <w:r>
        <w:rPr>
          <w:lang w:val="en-US"/>
        </w:rPr>
        <w:t xml:space="preserve"> (MER)</w:t>
      </w:r>
    </w:p>
    <w:p w14:paraId="75DB0639" w14:textId="0357CFC1" w:rsidR="00C07968" w:rsidRDefault="00E03DE8" w:rsidP="00BC694E">
      <w:pPr>
        <w:rPr>
          <w:lang w:val="en-US"/>
        </w:rPr>
      </w:pPr>
      <w:r>
        <w:rPr>
          <w:lang w:val="en-US"/>
        </w:rPr>
        <w:t>A new figure of merit denoted as modulation error rat</w:t>
      </w:r>
      <w:r w:rsidR="00F565F8">
        <w:rPr>
          <w:lang w:val="en-US"/>
        </w:rPr>
        <w:t>io</w:t>
      </w:r>
      <w:r>
        <w:rPr>
          <w:lang w:val="en-US"/>
        </w:rPr>
        <w:t xml:space="preserve"> (MER) has been proposed in [</w:t>
      </w:r>
      <w:r w:rsidR="00B32491">
        <w:rPr>
          <w:lang w:val="en-US"/>
        </w:rPr>
        <w:t>2</w:t>
      </w:r>
      <w:r w:rsidR="00647F60">
        <w:rPr>
          <w:lang w:val="en-US"/>
        </w:rPr>
        <w:t>]</w:t>
      </w:r>
      <w:r>
        <w:rPr>
          <w:lang w:val="en-US"/>
        </w:rPr>
        <w:t>.</w:t>
      </w:r>
      <w:r w:rsidR="00647F60">
        <w:rPr>
          <w:lang w:val="en-US"/>
        </w:rPr>
        <w:t xml:space="preserve">  The MER is more commonly used in the broadcast industry in lieu of </w:t>
      </w:r>
      <w:proofErr w:type="gramStart"/>
      <w:r w:rsidR="00647F60">
        <w:rPr>
          <w:lang w:val="en-US"/>
        </w:rPr>
        <w:t>EVM, but</w:t>
      </w:r>
      <w:proofErr w:type="gramEnd"/>
      <w:r w:rsidR="00647F60">
        <w:rPr>
          <w:lang w:val="en-US"/>
        </w:rPr>
        <w:t xml:space="preserve"> conveys the same basic information.  In fact, it is argued in [</w:t>
      </w:r>
      <w:r w:rsidR="00FE22F6">
        <w:rPr>
          <w:lang w:val="en-US"/>
        </w:rPr>
        <w:t>1</w:t>
      </w:r>
      <w:r w:rsidR="00647F60">
        <w:rPr>
          <w:lang w:val="en-US"/>
        </w:rPr>
        <w:t xml:space="preserve">] that EVM and MER are related by a simple </w:t>
      </w:r>
      <w:proofErr w:type="gramStart"/>
      <w:r w:rsidR="00427533">
        <w:rPr>
          <w:lang w:val="en-US"/>
        </w:rPr>
        <w:t>conversion</w:t>
      </w:r>
      <w:proofErr w:type="gramEnd"/>
    </w:p>
    <w:p w14:paraId="6E8AAF8A" w14:textId="77777777" w:rsidR="00C07968" w:rsidRPr="00B23C8C" w:rsidRDefault="00C07968" w:rsidP="00C07968">
      <w:pPr>
        <w:rPr>
          <w:lang w:val="de-DE"/>
        </w:rPr>
      </w:pPr>
      <m:oMathPara>
        <m:oMathParaPr>
          <m:jc m:val="centerGroup"/>
        </m:oMathParaPr>
        <m:oMath>
          <m:r>
            <w:rPr>
              <w:rFonts w:ascii="Cambria Math" w:hAnsi="Cambria Math"/>
            </w:rPr>
            <m:t>MER=-20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EVM</m:t>
              </m:r>
            </m:e>
          </m:func>
        </m:oMath>
      </m:oMathPara>
    </w:p>
    <w:p w14:paraId="6D50DAA3" w14:textId="7F4555AC" w:rsidR="00E03DE8" w:rsidRDefault="00CE26A7" w:rsidP="00BC694E">
      <w:pPr>
        <w:rPr>
          <w:lang w:val="en-US"/>
        </w:rPr>
      </w:pPr>
      <w:r>
        <w:rPr>
          <w:lang w:val="en-US"/>
        </w:rPr>
        <w:t xml:space="preserve">ETSI EN 302 296 </w:t>
      </w:r>
      <w:r w:rsidR="00580C2F">
        <w:rPr>
          <w:lang w:val="en-US"/>
        </w:rPr>
        <w:t>[</w:t>
      </w:r>
      <w:r w:rsidR="00B32491">
        <w:rPr>
          <w:lang w:val="en-US"/>
        </w:rPr>
        <w:t>3</w:t>
      </w:r>
      <w:r w:rsidR="00580C2F">
        <w:rPr>
          <w:lang w:val="en-US"/>
        </w:rPr>
        <w:t xml:space="preserve">] </w:t>
      </w:r>
      <w:r>
        <w:rPr>
          <w:lang w:val="en-US"/>
        </w:rPr>
        <w:t xml:space="preserve">and ETSI TR 101 290 </w:t>
      </w:r>
      <w:r w:rsidR="003F20CA">
        <w:rPr>
          <w:lang w:val="en-US"/>
        </w:rPr>
        <w:t>[</w:t>
      </w:r>
      <w:r w:rsidR="00B32491">
        <w:rPr>
          <w:lang w:val="en-US"/>
        </w:rPr>
        <w:t>4</w:t>
      </w:r>
      <w:r w:rsidR="003F20CA">
        <w:rPr>
          <w:lang w:val="en-US"/>
        </w:rPr>
        <w:t xml:space="preserve">] </w:t>
      </w:r>
      <w:r>
        <w:rPr>
          <w:lang w:val="en-US"/>
        </w:rPr>
        <w:t>are cited as providing</w:t>
      </w:r>
      <w:r w:rsidR="00C07968">
        <w:rPr>
          <w:lang w:val="en-US"/>
        </w:rPr>
        <w:t xml:space="preserve"> details of MER</w:t>
      </w:r>
      <w:r>
        <w:rPr>
          <w:lang w:val="en-US"/>
        </w:rPr>
        <w:t>.</w:t>
      </w:r>
      <w:r w:rsidR="00F565F8">
        <w:rPr>
          <w:lang w:val="en-US"/>
        </w:rPr>
        <w:t xml:space="preserve">  The first reference </w:t>
      </w:r>
      <w:r w:rsidR="00007288">
        <w:rPr>
          <w:lang w:val="en-US"/>
        </w:rPr>
        <w:t xml:space="preserve">EN 302 296 </w:t>
      </w:r>
      <w:r w:rsidR="00F565F8">
        <w:rPr>
          <w:lang w:val="en-US"/>
        </w:rPr>
        <w:t xml:space="preserve">does not provide any definition or requirement for MER.  </w:t>
      </w:r>
      <w:r w:rsidR="002B6374">
        <w:rPr>
          <w:lang w:val="en-US"/>
        </w:rPr>
        <w:t>MER is only mentioned in an informative Annex E where</w:t>
      </w:r>
      <w:r w:rsidR="008275A6">
        <w:rPr>
          <w:lang w:val="en-US"/>
        </w:rPr>
        <w:t xml:space="preserve"> </w:t>
      </w:r>
      <w:r w:rsidR="001B5207">
        <w:rPr>
          <w:lang w:val="en-US"/>
        </w:rPr>
        <w:t xml:space="preserve">the impact of </w:t>
      </w:r>
      <w:r w:rsidR="008275A6">
        <w:rPr>
          <w:lang w:val="en-US"/>
        </w:rPr>
        <w:t>adjacent channel ACLR</w:t>
      </w:r>
      <w:r w:rsidR="001B5207">
        <w:rPr>
          <w:lang w:val="en-US"/>
        </w:rPr>
        <w:t xml:space="preserve"> to a victim channel’s MER is empirically studied.  </w:t>
      </w:r>
      <w:r w:rsidR="00007288">
        <w:rPr>
          <w:lang w:val="en-US"/>
        </w:rPr>
        <w:t>Thus, this first reference is not relevant to the definition of a requirement in the 3GPP specification.  The second reference</w:t>
      </w:r>
      <w:r w:rsidR="006D7F20">
        <w:rPr>
          <w:lang w:val="en-US"/>
        </w:rPr>
        <w:t xml:space="preserve"> TR 101 290</w:t>
      </w:r>
      <w:r w:rsidR="00305F54">
        <w:rPr>
          <w:lang w:val="en-US"/>
        </w:rPr>
        <w:t xml:space="preserve"> is a technical report and hence does not provide requirements</w:t>
      </w:r>
      <w:r w:rsidR="00B11E69">
        <w:rPr>
          <w:lang w:val="en-US"/>
        </w:rPr>
        <w:t>; rather, it provides measurement guidelines for DVB broadcast systems.</w:t>
      </w:r>
      <w:r w:rsidR="0034686E">
        <w:rPr>
          <w:lang w:val="en-US"/>
        </w:rPr>
        <w:t xml:space="preserve">  </w:t>
      </w:r>
      <w:r w:rsidR="008E3E3B">
        <w:rPr>
          <w:lang w:val="en-US"/>
        </w:rPr>
        <w:t>Specifically for DVB-T terrestrial systems, the MER measurement is defined in clause 9.18.2 of this TR.</w:t>
      </w:r>
      <w:r w:rsidR="0034686E">
        <w:rPr>
          <w:lang w:val="en-US"/>
        </w:rPr>
        <w:t xml:space="preserve">  </w:t>
      </w:r>
      <w:r w:rsidR="0081031D">
        <w:rPr>
          <w:lang w:val="en-US"/>
        </w:rPr>
        <w:t xml:space="preserve">Similar to 3GPP EVM, the RF impairments such as frequency and </w:t>
      </w:r>
      <w:r w:rsidR="006E35B6">
        <w:rPr>
          <w:lang w:val="en-US"/>
        </w:rPr>
        <w:t>phase</w:t>
      </w:r>
      <w:r w:rsidR="0081031D">
        <w:rPr>
          <w:lang w:val="en-US"/>
        </w:rPr>
        <w:t xml:space="preserve"> offset are first </w:t>
      </w:r>
      <w:proofErr w:type="gramStart"/>
      <w:r w:rsidR="0081031D">
        <w:rPr>
          <w:lang w:val="en-US"/>
        </w:rPr>
        <w:t>removed</w:t>
      </w:r>
      <w:proofErr w:type="gramEnd"/>
      <w:r w:rsidR="0081031D">
        <w:rPr>
          <w:lang w:val="en-US"/>
        </w:rPr>
        <w:t xml:space="preserve"> and symbol timing is recovered.  </w:t>
      </w:r>
      <w:r w:rsidR="001E5779">
        <w:rPr>
          <w:lang w:val="en-US"/>
        </w:rPr>
        <w:t xml:space="preserve">However, </w:t>
      </w:r>
      <w:r w:rsidR="00AD3323">
        <w:rPr>
          <w:lang w:val="en-US"/>
        </w:rPr>
        <w:t>frequency domain equalization is not applied</w:t>
      </w:r>
      <w:r w:rsidR="00071F73">
        <w:rPr>
          <w:lang w:val="en-US"/>
        </w:rPr>
        <w:t xml:space="preserve">.  A time record of I and Q samples are collected, but it is not specified whether this time record is obtained in the frequency domain after an FFT operation or otherwise.  Assuming that these samples are in the frequency domain for an OFDM signal, the size and location of the FFT is not specified.  The location of the FFT is relevant since </w:t>
      </w:r>
      <w:r w:rsidR="00D20E02">
        <w:rPr>
          <w:lang w:val="en-US"/>
        </w:rPr>
        <w:t xml:space="preserve">time domain </w:t>
      </w:r>
      <w:r w:rsidR="00071F73">
        <w:rPr>
          <w:lang w:val="en-US"/>
        </w:rPr>
        <w:t xml:space="preserve">overlap-and-add or FIR waveform shaping across symbols is often used </w:t>
      </w:r>
      <w:r w:rsidR="000835B0">
        <w:rPr>
          <w:lang w:val="en-US"/>
        </w:rPr>
        <w:t xml:space="preserve">in LTE-based system </w:t>
      </w:r>
      <w:r w:rsidR="00071F73">
        <w:rPr>
          <w:lang w:val="en-US"/>
        </w:rPr>
        <w:t xml:space="preserve">to contain spectral emissions.  Yet, this waveform shaping can degrade the waveform quality at the beginning or end of the </w:t>
      </w:r>
      <w:r w:rsidR="000835B0">
        <w:rPr>
          <w:lang w:val="en-US"/>
        </w:rPr>
        <w:t xml:space="preserve">OFDM time-domain </w:t>
      </w:r>
      <w:r w:rsidR="00071F73">
        <w:rPr>
          <w:lang w:val="en-US"/>
        </w:rPr>
        <w:t>symbol.  Therefore, the 3GPP EVM requirement specif</w:t>
      </w:r>
      <w:r w:rsidR="00D92A77">
        <w:rPr>
          <w:lang w:val="en-US"/>
        </w:rPr>
        <w:t>i</w:t>
      </w:r>
      <w:r w:rsidR="00071F73">
        <w:rPr>
          <w:lang w:val="en-US"/>
        </w:rPr>
        <w:t>es the window placement to capture this degradation.  This artifact does not appear to be captured in the MER procedure.  The MER procedure also does not appear to specify</w:t>
      </w:r>
      <w:r w:rsidR="006D2DF9">
        <w:rPr>
          <w:lang w:val="en-US"/>
        </w:rPr>
        <w:t xml:space="preserve"> the length of integration or averaging.  The TR states that N symbol</w:t>
      </w:r>
      <w:r w:rsidR="002E7BA6">
        <w:rPr>
          <w:lang w:val="en-US"/>
        </w:rPr>
        <w:t xml:space="preserve"> pairs (I and Q)</w:t>
      </w:r>
      <w:r w:rsidR="006D2DF9">
        <w:rPr>
          <w:lang w:val="en-US"/>
        </w:rPr>
        <w:t xml:space="preserve"> are </w:t>
      </w:r>
      <w:proofErr w:type="gramStart"/>
      <w:r w:rsidR="006D2DF9">
        <w:rPr>
          <w:lang w:val="en-US"/>
        </w:rPr>
        <w:t>captured</w:t>
      </w:r>
      <w:proofErr w:type="gramEnd"/>
      <w:r w:rsidR="006D2DF9">
        <w:rPr>
          <w:lang w:val="en-US"/>
        </w:rPr>
        <w:t xml:space="preserve"> an</w:t>
      </w:r>
      <w:r w:rsidR="002E7BA6">
        <w:rPr>
          <w:lang w:val="en-US"/>
        </w:rPr>
        <w:t>d</w:t>
      </w:r>
      <w:r w:rsidR="006D2DF9">
        <w:rPr>
          <w:lang w:val="en-US"/>
        </w:rPr>
        <w:t xml:space="preserve"> the MER is a summation over these N symbols</w:t>
      </w:r>
    </w:p>
    <w:p w14:paraId="7D64F7EE" w14:textId="30CF940C" w:rsidR="006E5DA4" w:rsidRDefault="006E5DA4" w:rsidP="006E5DA4">
      <w:pPr>
        <w:jc w:val="center"/>
        <w:rPr>
          <w:lang w:val="en-US"/>
        </w:rPr>
      </w:pPr>
      <w:r w:rsidRPr="006E5DA4">
        <w:rPr>
          <w:noProof/>
          <w:lang w:val="en-US"/>
        </w:rPr>
        <w:drawing>
          <wp:inline distT="0" distB="0" distL="0" distR="0" wp14:anchorId="2D5035A6" wp14:editId="4F3E0E4C">
            <wp:extent cx="1869081" cy="93265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7870" cy="942030"/>
                    </a:xfrm>
                    <a:prstGeom prst="rect">
                      <a:avLst/>
                    </a:prstGeom>
                    <a:noFill/>
                    <a:ln>
                      <a:noFill/>
                    </a:ln>
                  </pic:spPr>
                </pic:pic>
              </a:graphicData>
            </a:graphic>
          </wp:inline>
        </w:drawing>
      </w:r>
    </w:p>
    <w:p w14:paraId="3832EADC" w14:textId="31D5849F" w:rsidR="002A0CAB" w:rsidRDefault="002E7BA6" w:rsidP="00686401">
      <w:pPr>
        <w:rPr>
          <w:lang w:val="en-US"/>
        </w:rPr>
      </w:pPr>
      <w:r>
        <w:rPr>
          <w:lang w:val="en-US"/>
        </w:rPr>
        <w:t xml:space="preserve">Assuming that the N </w:t>
      </w:r>
      <w:r w:rsidR="00686401">
        <w:rPr>
          <w:lang w:val="en-US"/>
        </w:rPr>
        <w:t>(</w:t>
      </w:r>
      <w:proofErr w:type="gramStart"/>
      <w:r w:rsidR="00686401">
        <w:rPr>
          <w:lang w:val="en-US"/>
        </w:rPr>
        <w:t>I,Q</w:t>
      </w:r>
      <w:proofErr w:type="gramEnd"/>
      <w:r w:rsidR="00686401">
        <w:rPr>
          <w:lang w:val="en-US"/>
        </w:rPr>
        <w:t xml:space="preserve">) </w:t>
      </w:r>
      <w:r>
        <w:rPr>
          <w:lang w:val="en-US"/>
        </w:rPr>
        <w:t>symbols</w:t>
      </w:r>
      <w:r w:rsidR="00686401">
        <w:rPr>
          <w:lang w:val="en-US"/>
        </w:rPr>
        <w:t xml:space="preserve"> in the MER evaluation corresponds to the same set of symbols in the sets T and F(t) of the 3GPP EVM equation, then the MER = -20log</w:t>
      </w:r>
      <w:r w:rsidR="00686401" w:rsidRPr="00686401">
        <w:rPr>
          <w:vertAlign w:val="subscript"/>
          <w:lang w:val="en-US"/>
        </w:rPr>
        <w:t>10</w:t>
      </w:r>
      <w:r w:rsidR="00686401">
        <w:rPr>
          <w:lang w:val="en-US"/>
        </w:rPr>
        <w:t xml:space="preserve">EVM relationship can be observed.  However, the 3GPP EVM proceeds to average the basic EVM measurement over </w:t>
      </w:r>
      <w:r w:rsidR="000835B0">
        <w:rPr>
          <w:lang w:val="en-US"/>
        </w:rPr>
        <w:t>the period of a radio frame using RMS averaging</w:t>
      </w:r>
      <w:r w:rsidR="00CB62A3">
        <w:rPr>
          <w:lang w:val="en-US"/>
        </w:rPr>
        <w:t xml:space="preserve">.  </w:t>
      </w:r>
      <w:r w:rsidR="002A0CAB">
        <w:rPr>
          <w:lang w:val="en-US"/>
        </w:rPr>
        <w:t>It is not clear if the MER is also averaged or whether only the basic MER is reported, and whether the averaging is RMS or linear</w:t>
      </w:r>
      <w:r w:rsidR="000835B0">
        <w:rPr>
          <w:lang w:val="en-US"/>
        </w:rPr>
        <w:t>, which symbols are included, which resource blocks, etc</w:t>
      </w:r>
      <w:r w:rsidR="002A0CAB">
        <w:rPr>
          <w:lang w:val="en-US"/>
        </w:rPr>
        <w:t xml:space="preserve">.  </w:t>
      </w:r>
    </w:p>
    <w:p w14:paraId="6C15BF7E" w14:textId="634F879D" w:rsidR="002A0CAB" w:rsidRDefault="002A0CAB" w:rsidP="002A0CAB">
      <w:pPr>
        <w:rPr>
          <w:lang w:val="en-US"/>
        </w:rPr>
      </w:pPr>
      <w:r>
        <w:rPr>
          <w:lang w:val="en-US"/>
        </w:rPr>
        <w:t xml:space="preserve">Therefore, while the EVM and MER fundamentally provide similar information about waveform quality, there are a few differences that may lead to different reported values beyond </w:t>
      </w:r>
      <w:r w:rsidR="00CE0219">
        <w:rPr>
          <w:lang w:val="en-US"/>
        </w:rPr>
        <w:t>a</w:t>
      </w:r>
      <w:r>
        <w:rPr>
          <w:lang w:val="en-US"/>
        </w:rPr>
        <w:t xml:space="preserve"> </w:t>
      </w:r>
      <w:r w:rsidR="00CE0219">
        <w:rPr>
          <w:lang w:val="en-US"/>
        </w:rPr>
        <w:t xml:space="preserve">simple </w:t>
      </w:r>
      <w:r>
        <w:rPr>
          <w:lang w:val="en-US"/>
        </w:rPr>
        <w:t>20</w:t>
      </w:r>
      <w:proofErr w:type="gramStart"/>
      <w:r>
        <w:rPr>
          <w:lang w:val="en-US"/>
        </w:rPr>
        <w:t>log(</w:t>
      </w:r>
      <w:proofErr w:type="gramEnd"/>
      <w:r>
        <w:rPr>
          <w:lang w:val="en-US"/>
        </w:rPr>
        <w:t>) conversion.  These may include</w:t>
      </w:r>
      <w:r w:rsidR="00EC3B56">
        <w:rPr>
          <w:lang w:val="en-US"/>
        </w:rPr>
        <w:t xml:space="preserve"> at least the </w:t>
      </w:r>
      <w:proofErr w:type="gramStart"/>
      <w:r w:rsidR="00EC3B56">
        <w:rPr>
          <w:lang w:val="en-US"/>
        </w:rPr>
        <w:t>following</w:t>
      </w:r>
      <w:proofErr w:type="gramEnd"/>
    </w:p>
    <w:p w14:paraId="4C50D54B" w14:textId="77777777" w:rsidR="002A0CAB" w:rsidRPr="005A2E1C" w:rsidRDefault="002A0CAB" w:rsidP="002A0CAB">
      <w:pPr>
        <w:pStyle w:val="ListParagraph"/>
        <w:numPr>
          <w:ilvl w:val="0"/>
          <w:numId w:val="20"/>
        </w:numPr>
        <w:rPr>
          <w:iCs/>
          <w:lang w:val="en-US"/>
        </w:rPr>
      </w:pPr>
      <w:r w:rsidRPr="005A2E1C">
        <w:rPr>
          <w:iCs/>
        </w:rPr>
        <w:t>Frequency domain equalizer is not included in MER,</w:t>
      </w:r>
    </w:p>
    <w:p w14:paraId="75468C16" w14:textId="77777777" w:rsidR="00D20E02" w:rsidRPr="005A2E1C" w:rsidRDefault="002A0CAB" w:rsidP="002A0CAB">
      <w:pPr>
        <w:pStyle w:val="ListParagraph"/>
        <w:numPr>
          <w:ilvl w:val="0"/>
          <w:numId w:val="20"/>
        </w:numPr>
        <w:rPr>
          <w:iCs/>
          <w:lang w:val="en-US"/>
        </w:rPr>
      </w:pPr>
      <w:r w:rsidRPr="005A2E1C">
        <w:rPr>
          <w:iCs/>
        </w:rPr>
        <w:t xml:space="preserve">FFT placement is not specified so the </w:t>
      </w:r>
      <w:r w:rsidR="00D20E02" w:rsidRPr="005A2E1C">
        <w:rPr>
          <w:iCs/>
        </w:rPr>
        <w:t>degradation due to</w:t>
      </w:r>
      <w:r w:rsidRPr="005A2E1C">
        <w:rPr>
          <w:iCs/>
        </w:rPr>
        <w:t xml:space="preserve"> </w:t>
      </w:r>
      <w:r w:rsidR="00D20E02" w:rsidRPr="005A2E1C">
        <w:rPr>
          <w:iCs/>
        </w:rPr>
        <w:t>overlap-and-add shaping is not captured,</w:t>
      </w:r>
    </w:p>
    <w:p w14:paraId="66348B3C" w14:textId="77777777" w:rsidR="005A2E1C" w:rsidRPr="005A2E1C" w:rsidRDefault="00D20E02" w:rsidP="000C0557">
      <w:pPr>
        <w:pStyle w:val="ListParagraph"/>
        <w:numPr>
          <w:ilvl w:val="0"/>
          <w:numId w:val="20"/>
        </w:numPr>
        <w:rPr>
          <w:iCs/>
          <w:lang w:val="en-US"/>
        </w:rPr>
      </w:pPr>
      <w:r w:rsidRPr="005A2E1C">
        <w:rPr>
          <w:iCs/>
        </w:rPr>
        <w:t>Averaging over a radio frame (</w:t>
      </w:r>
      <w:r w:rsidR="005A2E1C" w:rsidRPr="005A2E1C">
        <w:rPr>
          <w:iCs/>
        </w:rPr>
        <w:t xml:space="preserve">i.e., </w:t>
      </w:r>
      <w:r w:rsidRPr="005A2E1C">
        <w:rPr>
          <w:iCs/>
        </w:rPr>
        <w:t>10ms or 40ms)</w:t>
      </w:r>
      <w:r w:rsidR="005A2E1C" w:rsidRPr="005A2E1C">
        <w:rPr>
          <w:iCs/>
        </w:rPr>
        <w:t xml:space="preserve"> may not be the same between EVM and MER</w:t>
      </w:r>
    </w:p>
    <w:p w14:paraId="73B28546" w14:textId="77777777" w:rsidR="005A2E1C" w:rsidRPr="005A2E1C" w:rsidRDefault="005A2E1C" w:rsidP="005A2E1C">
      <w:pPr>
        <w:pStyle w:val="ListParagraph"/>
        <w:rPr>
          <w:iCs/>
          <w:lang w:val="en-US"/>
        </w:rPr>
      </w:pPr>
    </w:p>
    <w:p w14:paraId="34E6213F" w14:textId="1A673206" w:rsidR="005A2E1C" w:rsidRDefault="005A2E1C" w:rsidP="005A2E1C">
      <w:pPr>
        <w:rPr>
          <w:iCs/>
          <w:lang w:val="en-US"/>
        </w:rPr>
      </w:pPr>
      <w:r w:rsidRPr="005A2E1C">
        <w:rPr>
          <w:iCs/>
          <w:lang w:val="en-US"/>
        </w:rPr>
        <w:t xml:space="preserve">There may be other differences as well such as </w:t>
      </w:r>
      <w:r>
        <w:rPr>
          <w:iCs/>
          <w:lang w:val="en-US"/>
        </w:rPr>
        <w:t xml:space="preserve">for shortened symbols, etc.  </w:t>
      </w:r>
      <w:r w:rsidR="002D36CC">
        <w:rPr>
          <w:iCs/>
          <w:lang w:val="en-US"/>
        </w:rPr>
        <w:t xml:space="preserve">Thus, the MER if included into the specification should be “enhanced” with </w:t>
      </w:r>
      <w:proofErr w:type="gramStart"/>
      <w:r w:rsidR="002D36CC">
        <w:rPr>
          <w:iCs/>
          <w:lang w:val="en-US"/>
        </w:rPr>
        <w:t>all of</w:t>
      </w:r>
      <w:proofErr w:type="gramEnd"/>
      <w:r w:rsidR="002D36CC">
        <w:rPr>
          <w:iCs/>
          <w:lang w:val="en-US"/>
        </w:rPr>
        <w:t xml:space="preserve"> the details specified for EVM.  In so doing, then the -20</w:t>
      </w:r>
      <w:proofErr w:type="gramStart"/>
      <w:r w:rsidR="002D36CC">
        <w:rPr>
          <w:iCs/>
          <w:lang w:val="en-US"/>
        </w:rPr>
        <w:t>log(</w:t>
      </w:r>
      <w:proofErr w:type="gramEnd"/>
      <w:r w:rsidR="002D36CC">
        <w:rPr>
          <w:iCs/>
          <w:lang w:val="en-US"/>
        </w:rPr>
        <w:t xml:space="preserve">) equivalency can be applied.  Otherwise, the equivalency will only be approximate subject to the differences in measurement approach between EVM and MER.  </w:t>
      </w:r>
      <w:r w:rsidR="00805FEB">
        <w:rPr>
          <w:iCs/>
          <w:lang w:val="en-US"/>
        </w:rPr>
        <w:t xml:space="preserve">Insufficient details are provided in the ETSI TR document to fully understand </w:t>
      </w:r>
      <w:proofErr w:type="spellStart"/>
      <w:r w:rsidR="00805FEB">
        <w:rPr>
          <w:iCs/>
          <w:lang w:val="en-US"/>
        </w:rPr>
        <w:t>howt</w:t>
      </w:r>
      <w:proofErr w:type="spellEnd"/>
      <w:r w:rsidR="00805FEB">
        <w:rPr>
          <w:iCs/>
          <w:lang w:val="en-US"/>
        </w:rPr>
        <w:t xml:space="preserve"> the broadcast test equipment measures MER.  </w:t>
      </w:r>
      <w:r w:rsidR="002D36CC">
        <w:rPr>
          <w:iCs/>
          <w:lang w:val="en-US"/>
        </w:rPr>
        <w:t xml:space="preserve">It may be possible to compute or estimate the difference between MER and EVM and include this either as a tolerance </w:t>
      </w:r>
      <w:r w:rsidR="00805FEB">
        <w:rPr>
          <w:iCs/>
          <w:lang w:val="en-US"/>
        </w:rPr>
        <w:t xml:space="preserve">to account for known differences or uncertainties, </w:t>
      </w:r>
      <w:r w:rsidR="002D36CC">
        <w:rPr>
          <w:iCs/>
          <w:lang w:val="en-US"/>
        </w:rPr>
        <w:t xml:space="preserve">or to </w:t>
      </w:r>
      <w:r w:rsidR="00805FEB">
        <w:rPr>
          <w:iCs/>
          <w:lang w:val="en-US"/>
        </w:rPr>
        <w:t xml:space="preserve">directly </w:t>
      </w:r>
      <w:r w:rsidR="002D36CC">
        <w:rPr>
          <w:iCs/>
          <w:lang w:val="en-US"/>
        </w:rPr>
        <w:t xml:space="preserve">adjust the core requirement, but this would not be a straightforward exercise.  </w:t>
      </w:r>
    </w:p>
    <w:p w14:paraId="4CAA43E0" w14:textId="046D7BC6" w:rsidR="00F779FD" w:rsidRDefault="00F779FD" w:rsidP="005A2E1C">
      <w:pPr>
        <w:rPr>
          <w:iCs/>
          <w:lang w:val="en-US"/>
        </w:rPr>
      </w:pPr>
      <w:r>
        <w:rPr>
          <w:iCs/>
          <w:lang w:val="en-US"/>
        </w:rPr>
        <w:t xml:space="preserve">Moreover, the </w:t>
      </w:r>
      <w:r w:rsidR="00805FEB">
        <w:rPr>
          <w:iCs/>
          <w:lang w:val="en-US"/>
        </w:rPr>
        <w:t xml:space="preserve">additional </w:t>
      </w:r>
      <w:r>
        <w:rPr>
          <w:iCs/>
          <w:lang w:val="en-US"/>
        </w:rPr>
        <w:t xml:space="preserve">value </w:t>
      </w:r>
      <w:r w:rsidR="00805FEB">
        <w:rPr>
          <w:iCs/>
          <w:lang w:val="en-US"/>
        </w:rPr>
        <w:t xml:space="preserve">to the specification of including </w:t>
      </w:r>
      <w:r>
        <w:rPr>
          <w:iCs/>
          <w:lang w:val="en-US"/>
        </w:rPr>
        <w:t>MER is not clear.  The benefit of an MER is to maintain consistency with the broadcast conventions</w:t>
      </w:r>
      <w:r w:rsidR="00805FEB">
        <w:rPr>
          <w:iCs/>
          <w:lang w:val="en-US"/>
        </w:rPr>
        <w:t>, but the value is dubious</w:t>
      </w:r>
      <w:r>
        <w:rPr>
          <w:iCs/>
          <w:lang w:val="en-US"/>
        </w:rPr>
        <w:t xml:space="preserve">.  The TR </w:t>
      </w:r>
      <w:r w:rsidR="00960026">
        <w:rPr>
          <w:iCs/>
          <w:lang w:val="en-US"/>
        </w:rPr>
        <w:t xml:space="preserve">101 290 states the following </w:t>
      </w:r>
    </w:p>
    <w:p w14:paraId="0876A98F" w14:textId="3DB761FF" w:rsidR="00C05F1D" w:rsidRDefault="00C05F1D" w:rsidP="005A2E1C">
      <w:pPr>
        <w:rPr>
          <w:iCs/>
          <w:lang w:val="en-US"/>
        </w:rPr>
      </w:pPr>
      <w:r w:rsidRPr="00C05F1D">
        <w:rPr>
          <w:iCs/>
          <w:noProof/>
          <w:lang w:val="en-US"/>
        </w:rPr>
        <w:drawing>
          <wp:inline distT="0" distB="0" distL="0" distR="0" wp14:anchorId="4F8AAAFF" wp14:editId="0491785A">
            <wp:extent cx="6115685" cy="1684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684020"/>
                    </a:xfrm>
                    <a:prstGeom prst="rect">
                      <a:avLst/>
                    </a:prstGeom>
                    <a:noFill/>
                    <a:ln>
                      <a:noFill/>
                    </a:ln>
                  </pic:spPr>
                </pic:pic>
              </a:graphicData>
            </a:graphic>
          </wp:inline>
        </w:drawing>
      </w:r>
    </w:p>
    <w:p w14:paraId="58050E7F" w14:textId="7CE55119" w:rsidR="00C05F1D" w:rsidRDefault="00C05F1D" w:rsidP="005A2E1C">
      <w:pPr>
        <w:rPr>
          <w:iCs/>
          <w:lang w:val="en-US"/>
        </w:rPr>
      </w:pPr>
      <w:r>
        <w:rPr>
          <w:iCs/>
          <w:lang w:val="en-US"/>
        </w:rPr>
        <w:t>Thus, the preference for MER stems from familiarity with C/N or SNR measurements rather than for technical reasons.</w:t>
      </w:r>
      <w:r w:rsidR="00AE1E43">
        <w:rPr>
          <w:iCs/>
          <w:lang w:val="en-US"/>
        </w:rPr>
        <w:t xml:space="preserve">  If familiarity is the primary motivator, the EVM measurement computed according to 3GPP specification can also be converted to an MER by an inverse of the 20</w:t>
      </w:r>
      <w:proofErr w:type="gramStart"/>
      <w:r w:rsidR="00AE1E43">
        <w:rPr>
          <w:iCs/>
          <w:lang w:val="en-US"/>
        </w:rPr>
        <w:t>log(</w:t>
      </w:r>
      <w:proofErr w:type="gramEnd"/>
      <w:r w:rsidR="00AE1E43">
        <w:rPr>
          <w:iCs/>
          <w:lang w:val="en-US"/>
        </w:rPr>
        <w:t xml:space="preserve">) relationship.  </w:t>
      </w:r>
      <w:r w:rsidR="00805FEB">
        <w:rPr>
          <w:iCs/>
          <w:lang w:val="en-US"/>
        </w:rPr>
        <w:t>This conversion would be for information only, not as a requirement in the 3GPP specification.  Moreover,</w:t>
      </w:r>
      <w:r w:rsidR="00AE1E43">
        <w:rPr>
          <w:iCs/>
          <w:lang w:val="en-US"/>
        </w:rPr>
        <w:t xml:space="preserve"> it should be recognized that due to uncertainties or differences in measurement procedure, such a conversion may not produce the same result a legacy broadcast tester who has implemented a MER measurement would provide.  </w:t>
      </w:r>
    </w:p>
    <w:p w14:paraId="60785653" w14:textId="4AACB17B" w:rsidR="002D36CC" w:rsidRPr="005A2E1C" w:rsidRDefault="002D36CC" w:rsidP="005A2E1C">
      <w:pPr>
        <w:rPr>
          <w:iCs/>
          <w:lang w:val="en-US"/>
        </w:rPr>
      </w:pPr>
      <w:r>
        <w:rPr>
          <w:iCs/>
          <w:lang w:val="en-US"/>
        </w:rPr>
        <w:t xml:space="preserve">Based on the above discussion, it is proposed to keep only the 3GPP EVM requirement in the specification.  If a 5G broadcast </w:t>
      </w:r>
      <w:proofErr w:type="spellStart"/>
      <w:r>
        <w:rPr>
          <w:iCs/>
          <w:lang w:val="en-US"/>
        </w:rPr>
        <w:t>basestation</w:t>
      </w:r>
      <w:proofErr w:type="spellEnd"/>
      <w:r>
        <w:rPr>
          <w:iCs/>
          <w:lang w:val="en-US"/>
        </w:rPr>
        <w:t xml:space="preserve"> vendor chooses to test and qualify his equipment based on a different metric such as MER, then </w:t>
      </w:r>
      <w:r w:rsidR="00EC3B56">
        <w:rPr>
          <w:iCs/>
          <w:lang w:val="en-US"/>
        </w:rPr>
        <w:t xml:space="preserve">as with any other deviation from 3GPP specifications, </w:t>
      </w:r>
      <w:r>
        <w:rPr>
          <w:iCs/>
          <w:lang w:val="en-US"/>
        </w:rPr>
        <w:t xml:space="preserve">it </w:t>
      </w:r>
      <w:r w:rsidR="00EC3B56">
        <w:rPr>
          <w:iCs/>
          <w:lang w:val="en-US"/>
        </w:rPr>
        <w:t xml:space="preserve">is at the discretion of the broadcast operator and network planner whether to accept the </w:t>
      </w:r>
      <w:proofErr w:type="spellStart"/>
      <w:r w:rsidR="00EC3B56">
        <w:rPr>
          <w:iCs/>
          <w:lang w:val="en-US"/>
        </w:rPr>
        <w:t>basestation</w:t>
      </w:r>
      <w:proofErr w:type="spellEnd"/>
      <w:r w:rsidR="00EC3B56">
        <w:rPr>
          <w:iCs/>
          <w:lang w:val="en-US"/>
        </w:rPr>
        <w:t xml:space="preserve"> if it can be understood that EVM as defined by 3GPP is not regulatory in nature.</w:t>
      </w:r>
    </w:p>
    <w:p w14:paraId="3DF01F97" w14:textId="2215913D" w:rsidR="00007288" w:rsidRDefault="00EC3B56" w:rsidP="00BC694E">
      <w:pPr>
        <w:rPr>
          <w:b/>
          <w:bCs/>
          <w:lang w:val="en-US"/>
        </w:rPr>
      </w:pPr>
      <w:r w:rsidRPr="00EC3B56">
        <w:rPr>
          <w:b/>
          <w:bCs/>
          <w:lang w:val="en-US"/>
        </w:rPr>
        <w:t>Proposal:  Keep the 3GPP EVM requirement for 5G broadcast.  Do not replace with or add a new MER requirement in its place.</w:t>
      </w:r>
    </w:p>
    <w:p w14:paraId="6CD54275" w14:textId="09058596" w:rsidR="007A7ACB" w:rsidRDefault="007A7ACB" w:rsidP="00BC694E">
      <w:pPr>
        <w:rPr>
          <w:lang w:val="en-US"/>
        </w:rPr>
      </w:pPr>
      <w:r>
        <w:rPr>
          <w:lang w:val="en-US"/>
        </w:rPr>
        <w:t>As a sidenote, it is observed that Annex C of TR 101 290 provides</w:t>
      </w:r>
      <w:r w:rsidR="00DC5422">
        <w:rPr>
          <w:lang w:val="en-US"/>
        </w:rPr>
        <w:t xml:space="preserve"> a comparison between MER and EVM.  However, the EVM definition used in TR 101 290</w:t>
      </w:r>
      <w:r w:rsidR="00BE73A3">
        <w:rPr>
          <w:lang w:val="en-US"/>
        </w:rPr>
        <w:t xml:space="preserve"> shown below is not consistent with the 3GPP EVM.</w:t>
      </w:r>
    </w:p>
    <w:p w14:paraId="14A930B3" w14:textId="51A602DA" w:rsidR="00BE73A3" w:rsidRDefault="00BE73A3" w:rsidP="00BE73A3">
      <w:pPr>
        <w:jc w:val="center"/>
        <w:rPr>
          <w:lang w:val="en-US"/>
        </w:rPr>
      </w:pPr>
      <w:r w:rsidRPr="00BE73A3">
        <w:rPr>
          <w:noProof/>
          <w:lang w:val="en-US"/>
        </w:rPr>
        <w:drawing>
          <wp:inline distT="0" distB="0" distL="0" distR="0" wp14:anchorId="6D2760B2" wp14:editId="6E8F42E0">
            <wp:extent cx="2209668" cy="80488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2398" cy="809519"/>
                    </a:xfrm>
                    <a:prstGeom prst="rect">
                      <a:avLst/>
                    </a:prstGeom>
                    <a:noFill/>
                    <a:ln>
                      <a:noFill/>
                    </a:ln>
                  </pic:spPr>
                </pic:pic>
              </a:graphicData>
            </a:graphic>
          </wp:inline>
        </w:drawing>
      </w:r>
    </w:p>
    <w:p w14:paraId="66BC5BB4" w14:textId="642B5C59" w:rsidR="00BE73A3" w:rsidRPr="00537701" w:rsidRDefault="00BE73A3" w:rsidP="00BE73A3">
      <w:pPr>
        <w:rPr>
          <w:vertAlign w:val="superscript"/>
          <w:lang w:val="en-US"/>
        </w:rPr>
      </w:pPr>
      <w:r>
        <w:rPr>
          <w:lang w:val="en-US"/>
        </w:rPr>
        <w:t xml:space="preserve">In particular, the definition of EVM provided in the TR </w:t>
      </w:r>
      <w:r w:rsidR="00537701">
        <w:rPr>
          <w:lang w:val="en-US"/>
        </w:rPr>
        <w:t>101 290 applies a normalization acco</w:t>
      </w:r>
      <w:r w:rsidR="00070E06">
        <w:rPr>
          <w:lang w:val="en-US"/>
        </w:rPr>
        <w:t xml:space="preserve">rding to the furthest constellation point from the origin in the IQ plane.  The 3GPP EVM definition normalizes according to the average of vector length of actual transmitted symbols; in the case where the EVM is measured over </w:t>
      </w:r>
      <w:proofErr w:type="gramStart"/>
      <w:r w:rsidR="00070E06">
        <w:rPr>
          <w:lang w:val="en-US"/>
        </w:rPr>
        <w:t>a large number of</w:t>
      </w:r>
      <w:proofErr w:type="gramEnd"/>
      <w:r w:rsidR="00070E06">
        <w:rPr>
          <w:lang w:val="en-US"/>
        </w:rPr>
        <w:t xml:space="preserve"> samples, this normalization converges to the average power of the constellation points rather than the maximum.  Thus, the comparisons and conclusions in Annex C of TR 101 290 do not directly apply to 3GPP EVM.</w:t>
      </w:r>
    </w:p>
    <w:p w14:paraId="1050F057" w14:textId="24D30FDB" w:rsidR="00830055" w:rsidRDefault="00830055" w:rsidP="00830055">
      <w:pPr>
        <w:pStyle w:val="Heading2"/>
        <w:rPr>
          <w:lang w:val="en-US"/>
        </w:rPr>
      </w:pPr>
      <w:r>
        <w:rPr>
          <w:lang w:val="en-US"/>
        </w:rPr>
        <w:t>Window length</w:t>
      </w:r>
      <w:r w:rsidR="00825372">
        <w:rPr>
          <w:lang w:val="en-US"/>
        </w:rPr>
        <w:t xml:space="preserve"> parameters</w:t>
      </w:r>
    </w:p>
    <w:p w14:paraId="72AB749F" w14:textId="08371B53" w:rsidR="00C96D43" w:rsidRDefault="00211B53" w:rsidP="00211B53">
      <w:pPr>
        <w:rPr>
          <w:lang w:val="en-US"/>
        </w:rPr>
      </w:pPr>
      <w:r>
        <w:rPr>
          <w:lang w:val="en-US"/>
        </w:rPr>
        <w:t xml:space="preserve">The window length for FFT placement in the EVM calculation is specified in Tables of </w:t>
      </w:r>
      <w:r w:rsidR="00BD3A25">
        <w:rPr>
          <w:lang w:val="en-US"/>
        </w:rPr>
        <w:t xml:space="preserve">clause E.5.1 in 36.104.  The </w:t>
      </w:r>
      <w:r w:rsidR="00C96D43">
        <w:rPr>
          <w:lang w:val="en-US"/>
        </w:rPr>
        <w:t xml:space="preserve">relevant </w:t>
      </w:r>
      <w:r w:rsidR="00BD3A25">
        <w:rPr>
          <w:lang w:val="en-US"/>
        </w:rPr>
        <w:t xml:space="preserve">tables </w:t>
      </w:r>
      <w:r w:rsidR="00C96D43">
        <w:rPr>
          <w:lang w:val="en-US"/>
        </w:rPr>
        <w:t>for 5G broadcast are those for 15 kHz, 2.5 kHz, 1.25 kHz, and 370 Hz SCS with extended CP</w:t>
      </w:r>
      <w:r w:rsidR="00430746">
        <w:rPr>
          <w:lang w:val="en-US"/>
        </w:rPr>
        <w:t>; that is, Table E.</w:t>
      </w:r>
      <w:r w:rsidR="00E56D98">
        <w:rPr>
          <w:lang w:val="en-US"/>
        </w:rPr>
        <w:t xml:space="preserve">5.1-2, Table E.5.1-2a, </w:t>
      </w:r>
      <w:r w:rsidR="005D4796">
        <w:rPr>
          <w:lang w:val="en-US"/>
        </w:rPr>
        <w:t xml:space="preserve">Table E.5.1-2b, Table E.5.1-2c, and Table E.5.1-2d.  These tables include rows for the LTE channel bandwidths of 1.4, 3, 5, 10, 15, and 20 </w:t>
      </w:r>
      <w:proofErr w:type="spellStart"/>
      <w:r w:rsidR="005D4796">
        <w:rPr>
          <w:lang w:val="en-US"/>
        </w:rPr>
        <w:t>MHz.</w:t>
      </w:r>
      <w:proofErr w:type="spellEnd"/>
      <w:r w:rsidR="005D4796">
        <w:rPr>
          <w:lang w:val="en-US"/>
        </w:rPr>
        <w:t xml:space="preserve">  For 5G broadcast, however, it has been agreed that the </w:t>
      </w:r>
      <w:proofErr w:type="spellStart"/>
      <w:r w:rsidR="005D4796">
        <w:rPr>
          <w:lang w:val="en-US"/>
        </w:rPr>
        <w:t>pmch</w:t>
      </w:r>
      <w:proofErr w:type="spellEnd"/>
      <w:r w:rsidR="005D4796">
        <w:rPr>
          <w:lang w:val="en-US"/>
        </w:rPr>
        <w:t xml:space="preserve">-Bandwidth would be configured to 6, 7, or 8 </w:t>
      </w:r>
      <w:proofErr w:type="spellStart"/>
      <w:r w:rsidR="005D4796">
        <w:rPr>
          <w:lang w:val="en-US"/>
        </w:rPr>
        <w:t>MHz</w:t>
      </w:r>
      <w:r w:rsidR="00BD07EF">
        <w:rPr>
          <w:lang w:val="en-US"/>
        </w:rPr>
        <w:t>.</w:t>
      </w:r>
      <w:proofErr w:type="spellEnd"/>
      <w:r w:rsidR="00BD07EF">
        <w:rPr>
          <w:lang w:val="en-US"/>
        </w:rPr>
        <w:t xml:space="preserve">  Therefore, either new rows should be added to these tables </w:t>
      </w:r>
      <w:r w:rsidR="00BD07EF">
        <w:rPr>
          <w:lang w:val="en-US"/>
        </w:rPr>
        <w:lastRenderedPageBreak/>
        <w:t xml:space="preserve">for 6, 7, and 8 MHz, or one of the existing LTE channel bandwidths should be used for the purpose of EVM specification (note that the implementation is not restricted).  </w:t>
      </w:r>
      <w:proofErr w:type="gramStart"/>
      <w:r w:rsidR="00A563D0">
        <w:rPr>
          <w:lang w:val="en-US"/>
        </w:rPr>
        <w:t>Similar to</w:t>
      </w:r>
      <w:proofErr w:type="gramEnd"/>
      <w:r w:rsidR="00A563D0">
        <w:rPr>
          <w:lang w:val="en-US"/>
        </w:rPr>
        <w:t xml:space="preserve"> the treatment for the UE, it is proposed to use the 10 MHz channel bandwidth parameters for the 6, 7, and 8 MHz </w:t>
      </w:r>
      <w:proofErr w:type="spellStart"/>
      <w:r w:rsidR="00A563D0">
        <w:rPr>
          <w:lang w:val="en-US"/>
        </w:rPr>
        <w:t>pmch</w:t>
      </w:r>
      <w:proofErr w:type="spellEnd"/>
      <w:r w:rsidR="00A563D0">
        <w:rPr>
          <w:lang w:val="en-US"/>
        </w:rPr>
        <w:t xml:space="preserve">-Bandwidth configurations.  The impact is potentially the FFT size according to channel bandwidth but since the FFT size is quantized to </w:t>
      </w:r>
      <w:r w:rsidR="00146554">
        <w:rPr>
          <w:lang w:val="en-US"/>
        </w:rPr>
        <w:t xml:space="preserve">factors consisting of </w:t>
      </w:r>
      <w:r w:rsidR="00A563D0">
        <w:rPr>
          <w:lang w:val="en-US"/>
        </w:rPr>
        <w:t>power of 2 and</w:t>
      </w:r>
      <w:r w:rsidR="00146554">
        <w:rPr>
          <w:lang w:val="en-US"/>
        </w:rPr>
        <w:t xml:space="preserve"> power of</w:t>
      </w:r>
      <w:r w:rsidR="00A563D0">
        <w:rPr>
          <w:lang w:val="en-US"/>
        </w:rPr>
        <w:t xml:space="preserve"> 3</w:t>
      </w:r>
      <w:r w:rsidR="00146554">
        <w:rPr>
          <w:lang w:val="en-US"/>
        </w:rPr>
        <w:t xml:space="preserve">, the options are limited and are not expected to affect either the EVM result or the test complexity.  </w:t>
      </w:r>
    </w:p>
    <w:p w14:paraId="76EAEDCD" w14:textId="568901AD" w:rsidR="00146554" w:rsidRPr="00825372" w:rsidRDefault="00146554" w:rsidP="00211B53">
      <w:pPr>
        <w:rPr>
          <w:b/>
          <w:bCs/>
          <w:lang w:val="en-US"/>
        </w:rPr>
      </w:pPr>
      <w:r w:rsidRPr="00825372">
        <w:rPr>
          <w:b/>
          <w:bCs/>
          <w:lang w:val="en-US"/>
        </w:rPr>
        <w:t xml:space="preserve">Proposal:  Use the 10 MHz channel bandwidth window length parameters for 5G broadcast configured with </w:t>
      </w:r>
      <w:proofErr w:type="spellStart"/>
      <w:r w:rsidRPr="00825372">
        <w:rPr>
          <w:b/>
          <w:bCs/>
          <w:lang w:val="en-US"/>
        </w:rPr>
        <w:t>pmch</w:t>
      </w:r>
      <w:proofErr w:type="spellEnd"/>
      <w:r w:rsidRPr="00825372">
        <w:rPr>
          <w:b/>
          <w:bCs/>
          <w:lang w:val="en-US"/>
        </w:rPr>
        <w:t xml:space="preserve">-Bandwidth of 6, 7, and 8 </w:t>
      </w:r>
      <w:proofErr w:type="spellStart"/>
      <w:r w:rsidRPr="00825372">
        <w:rPr>
          <w:b/>
          <w:bCs/>
          <w:lang w:val="en-US"/>
        </w:rPr>
        <w:t>MHz.</w:t>
      </w:r>
      <w:proofErr w:type="spellEnd"/>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1D6C5BAF" w14:textId="0B5CAA55" w:rsidR="002F5E50" w:rsidRDefault="002F5E50" w:rsidP="002F5E50">
      <w:pPr>
        <w:rPr>
          <w:lang w:val="en-US"/>
        </w:rPr>
      </w:pPr>
      <w:r>
        <w:rPr>
          <w:lang w:val="en-US"/>
        </w:rPr>
        <w:t xml:space="preserve">In this contribution, the EVM requirement for the 5G broadcast </w:t>
      </w:r>
      <w:proofErr w:type="spellStart"/>
      <w:r>
        <w:rPr>
          <w:lang w:val="en-US"/>
        </w:rPr>
        <w:t>basestation</w:t>
      </w:r>
      <w:proofErr w:type="spellEnd"/>
      <w:r>
        <w:rPr>
          <w:lang w:val="en-US"/>
        </w:rPr>
        <w:t xml:space="preserve"> has been studied.  </w:t>
      </w:r>
      <w:proofErr w:type="gramStart"/>
      <w:r>
        <w:rPr>
          <w:lang w:val="en-US"/>
        </w:rPr>
        <w:t>In particular, a</w:t>
      </w:r>
      <w:proofErr w:type="gramEnd"/>
      <w:r>
        <w:rPr>
          <w:lang w:val="en-US"/>
        </w:rPr>
        <w:t xml:space="preserve"> comparison between the conventional 3GPP defined EVM against a MER requirement more commonplace in the broadcast ecosystem has been presented.  Based on the study reported in this contribution, the EVM and MER are similar, but may not be strictly equivalent according to a simple 20</w:t>
      </w:r>
      <w:proofErr w:type="gramStart"/>
      <w:r>
        <w:rPr>
          <w:lang w:val="en-US"/>
        </w:rPr>
        <w:t>log(</w:t>
      </w:r>
      <w:proofErr w:type="gramEnd"/>
      <w:r>
        <w:rPr>
          <w:lang w:val="en-US"/>
        </w:rPr>
        <w:t>) relationship.  The measurement procedures differ such that a recorded value of MER according to ETSI TR 101 290 may not transform directly to the 3GPP EVM value after applying a 20</w:t>
      </w:r>
      <w:proofErr w:type="gramStart"/>
      <w:r>
        <w:rPr>
          <w:lang w:val="en-US"/>
        </w:rPr>
        <w:t>log(</w:t>
      </w:r>
      <w:proofErr w:type="gramEnd"/>
      <w:r>
        <w:rPr>
          <w:lang w:val="en-US"/>
        </w:rPr>
        <w:t>) conversion.</w:t>
      </w:r>
    </w:p>
    <w:p w14:paraId="11282527" w14:textId="77777777" w:rsidR="002F5E50" w:rsidRDefault="002F5E50" w:rsidP="002F5E50">
      <w:pPr>
        <w:rPr>
          <w:b/>
          <w:bCs/>
          <w:lang w:val="en-US"/>
        </w:rPr>
      </w:pPr>
      <w:r w:rsidRPr="00EC3B56">
        <w:rPr>
          <w:b/>
          <w:bCs/>
          <w:lang w:val="en-US"/>
        </w:rPr>
        <w:t>Proposal:  Keep the 3GPP EVM requirement for 5G broadcast.  Do not replace with or add a new MER requirement in its place.</w:t>
      </w:r>
    </w:p>
    <w:p w14:paraId="43C25448" w14:textId="58386BD8" w:rsidR="002F5E50" w:rsidRDefault="002F5E50" w:rsidP="002F5E50">
      <w:pPr>
        <w:rPr>
          <w:lang w:val="en-US"/>
        </w:rPr>
      </w:pPr>
      <w:r>
        <w:rPr>
          <w:lang w:val="en-US"/>
        </w:rPr>
        <w:t xml:space="preserve">The window length specification for EVM was also studied.  The 5G broadcast may be configured for a 6, 7, or 8 MHz </w:t>
      </w:r>
      <w:proofErr w:type="spellStart"/>
      <w:r>
        <w:rPr>
          <w:lang w:val="en-US"/>
        </w:rPr>
        <w:t>pmch</w:t>
      </w:r>
      <w:proofErr w:type="spellEnd"/>
      <w:r>
        <w:rPr>
          <w:lang w:val="en-US"/>
        </w:rPr>
        <w:t xml:space="preserve">-Bandwidth, but the existing window length definitions only apply to existing LTE channel bandwidths.  It is proposed to reuse the 10 MHz channel bandwidth EVM window length parameters for 6, 7, and 8 MHz configured </w:t>
      </w:r>
      <w:proofErr w:type="spellStart"/>
      <w:r>
        <w:rPr>
          <w:lang w:val="en-US"/>
        </w:rPr>
        <w:t>pmch</w:t>
      </w:r>
      <w:proofErr w:type="spellEnd"/>
      <w:r>
        <w:rPr>
          <w:lang w:val="en-US"/>
        </w:rPr>
        <w:t>-Bandwidth channels.  No impact to the minimum requirement is expected.</w:t>
      </w:r>
    </w:p>
    <w:p w14:paraId="7196DE11" w14:textId="77777777" w:rsidR="002F5E50" w:rsidRPr="00825372" w:rsidRDefault="002F5E50" w:rsidP="002F5E50">
      <w:pPr>
        <w:rPr>
          <w:b/>
          <w:bCs/>
          <w:lang w:val="en-US"/>
        </w:rPr>
      </w:pPr>
      <w:r w:rsidRPr="00825372">
        <w:rPr>
          <w:b/>
          <w:bCs/>
          <w:lang w:val="en-US"/>
        </w:rPr>
        <w:t xml:space="preserve">Proposal:  Use the 10 MHz channel bandwidth window length parameters for 5G broadcast configured with </w:t>
      </w:r>
      <w:proofErr w:type="spellStart"/>
      <w:r w:rsidRPr="00825372">
        <w:rPr>
          <w:b/>
          <w:bCs/>
          <w:lang w:val="en-US"/>
        </w:rPr>
        <w:t>pmch</w:t>
      </w:r>
      <w:proofErr w:type="spellEnd"/>
      <w:r w:rsidRPr="00825372">
        <w:rPr>
          <w:b/>
          <w:bCs/>
          <w:lang w:val="en-US"/>
        </w:rPr>
        <w:t xml:space="preserve">-Bandwidth of 6, 7, and 8 </w:t>
      </w:r>
      <w:proofErr w:type="spellStart"/>
      <w:r w:rsidRPr="00825372">
        <w:rPr>
          <w:b/>
          <w:bCs/>
          <w:lang w:val="en-US"/>
        </w:rPr>
        <w:t>MHz.</w:t>
      </w:r>
      <w:proofErr w:type="spellEnd"/>
    </w:p>
    <w:p w14:paraId="370EE77B" w14:textId="77777777" w:rsidR="0090577D" w:rsidRDefault="0090577D" w:rsidP="00505D2D">
      <w:pPr>
        <w:pStyle w:val="Heading1"/>
        <w:numPr>
          <w:ilvl w:val="0"/>
          <w:numId w:val="0"/>
        </w:numPr>
        <w:ind w:left="432" w:hanging="432"/>
        <w:rPr>
          <w:lang w:val="en-US"/>
        </w:rPr>
      </w:pPr>
      <w:r>
        <w:rPr>
          <w:lang w:val="en-US"/>
        </w:rPr>
        <w:t>Reference</w:t>
      </w:r>
    </w:p>
    <w:p w14:paraId="68785A30" w14:textId="12143F45" w:rsidR="00A509A4" w:rsidRDefault="00A509A4" w:rsidP="004327CF">
      <w:pPr>
        <w:numPr>
          <w:ilvl w:val="0"/>
          <w:numId w:val="2"/>
        </w:numPr>
        <w:tabs>
          <w:tab w:val="left" w:pos="1080"/>
        </w:tabs>
        <w:rPr>
          <w:lang w:val="en-US" w:eastAsia="x-none"/>
        </w:rPr>
      </w:pPr>
      <w:r>
        <w:rPr>
          <w:lang w:val="en-US" w:eastAsia="x-none"/>
        </w:rPr>
        <w:t>RP-231216, “</w:t>
      </w:r>
      <w:r w:rsidR="00B32491" w:rsidRPr="00B32491">
        <w:rPr>
          <w:lang w:val="en-US" w:eastAsia="x-none"/>
        </w:rPr>
        <w:t>Revised WID on New bands and bandwidth allocation for LTE based 5G terrestrial broadcast - part 2</w:t>
      </w:r>
      <w:r w:rsidR="00B32491">
        <w:rPr>
          <w:lang w:val="en-US" w:eastAsia="x-none"/>
        </w:rPr>
        <w:t>,” Qualcomm Incorporated</w:t>
      </w:r>
    </w:p>
    <w:p w14:paraId="73BE5A0F" w14:textId="0EB8F414" w:rsidR="00512F77" w:rsidRDefault="00351E10" w:rsidP="004327CF">
      <w:pPr>
        <w:numPr>
          <w:ilvl w:val="0"/>
          <w:numId w:val="2"/>
        </w:numPr>
        <w:tabs>
          <w:tab w:val="left" w:pos="1080"/>
        </w:tabs>
        <w:rPr>
          <w:lang w:val="en-US" w:eastAsia="x-none"/>
        </w:rPr>
      </w:pPr>
      <w:r w:rsidRPr="00512F77">
        <w:rPr>
          <w:lang w:val="en-US"/>
        </w:rPr>
        <w:t>R4-2300635</w:t>
      </w:r>
      <w:r>
        <w:rPr>
          <w:lang w:val="en-US"/>
        </w:rPr>
        <w:t xml:space="preserve">, </w:t>
      </w:r>
      <w:r w:rsidR="00512F77">
        <w:rPr>
          <w:lang w:val="en-US"/>
        </w:rPr>
        <w:t>“Discussion on BS RF requirements for 5G Broadcast,” Rohde &amp; Schwarz</w:t>
      </w:r>
    </w:p>
    <w:p w14:paraId="17CD92FB" w14:textId="35F71BB7" w:rsidR="00580C2F" w:rsidRDefault="00580C2F" w:rsidP="004327CF">
      <w:pPr>
        <w:numPr>
          <w:ilvl w:val="0"/>
          <w:numId w:val="2"/>
        </w:numPr>
        <w:tabs>
          <w:tab w:val="left" w:pos="1080"/>
        </w:tabs>
        <w:rPr>
          <w:lang w:val="en-US" w:eastAsia="x-none"/>
        </w:rPr>
      </w:pPr>
      <w:r>
        <w:rPr>
          <w:lang w:val="en-US"/>
        </w:rPr>
        <w:t>ETSI EN 302 296, v2.2.1, “Digital Terrestrial TV Transmitters; Harmonized Standard for access to radio spectrum,” (2021-06)</w:t>
      </w:r>
    </w:p>
    <w:p w14:paraId="02413452" w14:textId="68470725" w:rsidR="006A0BB0" w:rsidRDefault="006A0BB0" w:rsidP="004327CF">
      <w:pPr>
        <w:numPr>
          <w:ilvl w:val="0"/>
          <w:numId w:val="2"/>
        </w:numPr>
        <w:tabs>
          <w:tab w:val="left" w:pos="1080"/>
        </w:tabs>
        <w:rPr>
          <w:lang w:val="en-US" w:eastAsia="x-none"/>
        </w:rPr>
      </w:pPr>
      <w:r>
        <w:rPr>
          <w:lang w:val="en-US"/>
        </w:rPr>
        <w:t>ETSI TR 101 290, v1.4.1</w:t>
      </w:r>
      <w:r w:rsidR="00BC5EB8">
        <w:rPr>
          <w:lang w:val="en-US"/>
        </w:rPr>
        <w:t>, “Digital Video Broadcasting (DVB); Measurement guidelines for DVB systems,”</w:t>
      </w:r>
      <w:r>
        <w:rPr>
          <w:lang w:val="en-US"/>
        </w:rPr>
        <w:t xml:space="preserve"> (2020-06)</w:t>
      </w:r>
    </w:p>
    <w:p w14:paraId="37F28674" w14:textId="77777777" w:rsidR="00BC5EB8" w:rsidRDefault="00BC5EB8" w:rsidP="00580C2F">
      <w:pPr>
        <w:tabs>
          <w:tab w:val="left" w:pos="1080"/>
        </w:tabs>
        <w:ind w:left="360"/>
        <w:rPr>
          <w:lang w:val="en-US" w:eastAsia="x-none"/>
        </w:rPr>
      </w:pPr>
    </w:p>
    <w:p w14:paraId="4554CE56" w14:textId="77777777" w:rsidR="007C5C1C" w:rsidRDefault="007C5C1C" w:rsidP="007C5C1C">
      <w:pPr>
        <w:tabs>
          <w:tab w:val="left" w:pos="1080"/>
        </w:tabs>
        <w:rPr>
          <w:lang w:val="en-US" w:eastAsia="x-none"/>
        </w:rPr>
      </w:pPr>
    </w:p>
    <w:sectPr w:rsidR="007C5C1C"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0995" w14:textId="77777777" w:rsidR="00C9729D" w:rsidRDefault="00C9729D">
      <w:r>
        <w:separator/>
      </w:r>
    </w:p>
  </w:endnote>
  <w:endnote w:type="continuationSeparator" w:id="0">
    <w:p w14:paraId="411A0552" w14:textId="77777777" w:rsidR="00C9729D" w:rsidRDefault="00C9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¾’©‘Ì">
    <w:altName w:val="MS Mincho"/>
    <w:charset w:val="80"/>
    <w:family w:val="auto"/>
    <w:pitch w:val="default"/>
    <w:sig w:usb0="00000000" w:usb1="0000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6567" w14:textId="77777777" w:rsidR="00C9729D" w:rsidRDefault="00C9729D">
      <w:r>
        <w:separator/>
      </w:r>
    </w:p>
  </w:footnote>
  <w:footnote w:type="continuationSeparator" w:id="0">
    <w:p w14:paraId="3B8E9F72" w14:textId="77777777" w:rsidR="00C9729D" w:rsidRDefault="00C97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12560D"/>
    <w:multiLevelType w:val="hybridMultilevel"/>
    <w:tmpl w:val="4C3E7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3733B4"/>
    <w:multiLevelType w:val="hybridMultilevel"/>
    <w:tmpl w:val="3B0C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8"/>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9"/>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 w:numId="19" w16cid:durableId="1149053548">
    <w:abstractNumId w:val="17"/>
  </w:num>
  <w:num w:numId="20" w16cid:durableId="153985801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4F"/>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1EA"/>
    <w:rsid w:val="000062E4"/>
    <w:rsid w:val="00006351"/>
    <w:rsid w:val="000065AA"/>
    <w:rsid w:val="0000667F"/>
    <w:rsid w:val="00006710"/>
    <w:rsid w:val="00006818"/>
    <w:rsid w:val="00006C4A"/>
    <w:rsid w:val="00006F97"/>
    <w:rsid w:val="0000702C"/>
    <w:rsid w:val="000071B2"/>
    <w:rsid w:val="00007288"/>
    <w:rsid w:val="00007C8E"/>
    <w:rsid w:val="00010EE0"/>
    <w:rsid w:val="000113CC"/>
    <w:rsid w:val="0001181D"/>
    <w:rsid w:val="00011ADF"/>
    <w:rsid w:val="00011B0B"/>
    <w:rsid w:val="00011C44"/>
    <w:rsid w:val="00011C8C"/>
    <w:rsid w:val="00011DB3"/>
    <w:rsid w:val="0001267B"/>
    <w:rsid w:val="00012960"/>
    <w:rsid w:val="00012B14"/>
    <w:rsid w:val="00012EFB"/>
    <w:rsid w:val="00013086"/>
    <w:rsid w:val="000131B1"/>
    <w:rsid w:val="0001387F"/>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B35"/>
    <w:rsid w:val="00017CD3"/>
    <w:rsid w:val="00017DB2"/>
    <w:rsid w:val="00017FD2"/>
    <w:rsid w:val="00020424"/>
    <w:rsid w:val="00020464"/>
    <w:rsid w:val="0002046E"/>
    <w:rsid w:val="00020690"/>
    <w:rsid w:val="0002074A"/>
    <w:rsid w:val="00020B64"/>
    <w:rsid w:val="00020D38"/>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8EE"/>
    <w:rsid w:val="00025989"/>
    <w:rsid w:val="00025A2F"/>
    <w:rsid w:val="00025D54"/>
    <w:rsid w:val="00026854"/>
    <w:rsid w:val="00026BDF"/>
    <w:rsid w:val="00026DB4"/>
    <w:rsid w:val="00027229"/>
    <w:rsid w:val="00027407"/>
    <w:rsid w:val="00027527"/>
    <w:rsid w:val="000276A8"/>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52"/>
    <w:rsid w:val="0004387C"/>
    <w:rsid w:val="0004387D"/>
    <w:rsid w:val="00043C98"/>
    <w:rsid w:val="00043D07"/>
    <w:rsid w:val="00043D1F"/>
    <w:rsid w:val="00043E36"/>
    <w:rsid w:val="000440F2"/>
    <w:rsid w:val="000440FF"/>
    <w:rsid w:val="0004463E"/>
    <w:rsid w:val="000446FD"/>
    <w:rsid w:val="00044B59"/>
    <w:rsid w:val="0004511D"/>
    <w:rsid w:val="00045318"/>
    <w:rsid w:val="00045502"/>
    <w:rsid w:val="00045774"/>
    <w:rsid w:val="00045AB4"/>
    <w:rsid w:val="00045BDB"/>
    <w:rsid w:val="00045F4E"/>
    <w:rsid w:val="00046794"/>
    <w:rsid w:val="0004795F"/>
    <w:rsid w:val="000479F8"/>
    <w:rsid w:val="00047A40"/>
    <w:rsid w:val="00050CD1"/>
    <w:rsid w:val="00051030"/>
    <w:rsid w:val="00051601"/>
    <w:rsid w:val="0005186B"/>
    <w:rsid w:val="000518DD"/>
    <w:rsid w:val="00051B04"/>
    <w:rsid w:val="00051E24"/>
    <w:rsid w:val="000523C3"/>
    <w:rsid w:val="000526FF"/>
    <w:rsid w:val="0005271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690"/>
    <w:rsid w:val="000677CD"/>
    <w:rsid w:val="000679CF"/>
    <w:rsid w:val="00070561"/>
    <w:rsid w:val="00070E06"/>
    <w:rsid w:val="00070ECC"/>
    <w:rsid w:val="00070F3C"/>
    <w:rsid w:val="00071F73"/>
    <w:rsid w:val="00072354"/>
    <w:rsid w:val="00072470"/>
    <w:rsid w:val="000724BF"/>
    <w:rsid w:val="00072597"/>
    <w:rsid w:val="000725AA"/>
    <w:rsid w:val="00072C0D"/>
    <w:rsid w:val="00072C4C"/>
    <w:rsid w:val="00072E29"/>
    <w:rsid w:val="000735C0"/>
    <w:rsid w:val="000737DA"/>
    <w:rsid w:val="00074103"/>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5B0"/>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C2A"/>
    <w:rsid w:val="00085DB7"/>
    <w:rsid w:val="00085FDE"/>
    <w:rsid w:val="0008682B"/>
    <w:rsid w:val="00086D93"/>
    <w:rsid w:val="00087188"/>
    <w:rsid w:val="000872E8"/>
    <w:rsid w:val="00090BB8"/>
    <w:rsid w:val="0009147A"/>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04"/>
    <w:rsid w:val="000A786A"/>
    <w:rsid w:val="000A794C"/>
    <w:rsid w:val="000A79E3"/>
    <w:rsid w:val="000B00E9"/>
    <w:rsid w:val="000B01E4"/>
    <w:rsid w:val="000B0303"/>
    <w:rsid w:val="000B034D"/>
    <w:rsid w:val="000B0B23"/>
    <w:rsid w:val="000B0F3E"/>
    <w:rsid w:val="000B14FF"/>
    <w:rsid w:val="000B198B"/>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5A6"/>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CC6"/>
    <w:rsid w:val="000C2E7D"/>
    <w:rsid w:val="000C3601"/>
    <w:rsid w:val="000C3974"/>
    <w:rsid w:val="000C4609"/>
    <w:rsid w:val="000C47C2"/>
    <w:rsid w:val="000C4A55"/>
    <w:rsid w:val="000C4A63"/>
    <w:rsid w:val="000C4A8B"/>
    <w:rsid w:val="000C5396"/>
    <w:rsid w:val="000C5610"/>
    <w:rsid w:val="000C577D"/>
    <w:rsid w:val="000C5A31"/>
    <w:rsid w:val="000C5AC1"/>
    <w:rsid w:val="000C5B5A"/>
    <w:rsid w:val="000C5EE5"/>
    <w:rsid w:val="000C655C"/>
    <w:rsid w:val="000C6650"/>
    <w:rsid w:val="000C6CBF"/>
    <w:rsid w:val="000C6E79"/>
    <w:rsid w:val="000C7349"/>
    <w:rsid w:val="000C73B4"/>
    <w:rsid w:val="000C74BD"/>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0CA"/>
    <w:rsid w:val="000D56C9"/>
    <w:rsid w:val="000D5BA2"/>
    <w:rsid w:val="000D5FA8"/>
    <w:rsid w:val="000D6053"/>
    <w:rsid w:val="000D639F"/>
    <w:rsid w:val="000D6C5D"/>
    <w:rsid w:val="000D6F0F"/>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4DF"/>
    <w:rsid w:val="000E2630"/>
    <w:rsid w:val="000E26DD"/>
    <w:rsid w:val="000E2C23"/>
    <w:rsid w:val="000E2EA4"/>
    <w:rsid w:val="000E2F43"/>
    <w:rsid w:val="000E337E"/>
    <w:rsid w:val="000E3644"/>
    <w:rsid w:val="000E3B40"/>
    <w:rsid w:val="000E3D46"/>
    <w:rsid w:val="000E3DD1"/>
    <w:rsid w:val="000E4FBB"/>
    <w:rsid w:val="000E58CF"/>
    <w:rsid w:val="000E59B7"/>
    <w:rsid w:val="000E5C51"/>
    <w:rsid w:val="000E5D80"/>
    <w:rsid w:val="000E60A4"/>
    <w:rsid w:val="000E6208"/>
    <w:rsid w:val="000E6792"/>
    <w:rsid w:val="000E6D31"/>
    <w:rsid w:val="000E6F68"/>
    <w:rsid w:val="000E7110"/>
    <w:rsid w:val="000E7250"/>
    <w:rsid w:val="000E791F"/>
    <w:rsid w:val="000E7A46"/>
    <w:rsid w:val="000E7BD3"/>
    <w:rsid w:val="000E7C59"/>
    <w:rsid w:val="000F00E7"/>
    <w:rsid w:val="000F0E0B"/>
    <w:rsid w:val="000F0FD2"/>
    <w:rsid w:val="000F120F"/>
    <w:rsid w:val="000F1DA5"/>
    <w:rsid w:val="000F267E"/>
    <w:rsid w:val="000F2C1B"/>
    <w:rsid w:val="000F323B"/>
    <w:rsid w:val="000F3D37"/>
    <w:rsid w:val="000F41E3"/>
    <w:rsid w:val="000F4E14"/>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08E"/>
    <w:rsid w:val="00106117"/>
    <w:rsid w:val="00106778"/>
    <w:rsid w:val="001067F4"/>
    <w:rsid w:val="00106995"/>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9A4"/>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27"/>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B31"/>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AFB"/>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524"/>
    <w:rsid w:val="001456C9"/>
    <w:rsid w:val="00145EBE"/>
    <w:rsid w:val="00146554"/>
    <w:rsid w:val="00146597"/>
    <w:rsid w:val="001468D2"/>
    <w:rsid w:val="001469CC"/>
    <w:rsid w:val="001469DA"/>
    <w:rsid w:val="00147307"/>
    <w:rsid w:val="0014774C"/>
    <w:rsid w:val="00147803"/>
    <w:rsid w:val="00150ADC"/>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C10"/>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DC7"/>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C7A"/>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55B"/>
    <w:rsid w:val="001855CC"/>
    <w:rsid w:val="00185893"/>
    <w:rsid w:val="00185895"/>
    <w:rsid w:val="00185F9C"/>
    <w:rsid w:val="00186488"/>
    <w:rsid w:val="0018675F"/>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3AF1"/>
    <w:rsid w:val="00194403"/>
    <w:rsid w:val="00194542"/>
    <w:rsid w:val="00194582"/>
    <w:rsid w:val="00194DEE"/>
    <w:rsid w:val="00194E91"/>
    <w:rsid w:val="00195007"/>
    <w:rsid w:val="00195150"/>
    <w:rsid w:val="00195E87"/>
    <w:rsid w:val="00195F44"/>
    <w:rsid w:val="00196782"/>
    <w:rsid w:val="001968A7"/>
    <w:rsid w:val="00197D1E"/>
    <w:rsid w:val="00197D53"/>
    <w:rsid w:val="00197D5B"/>
    <w:rsid w:val="001A0786"/>
    <w:rsid w:val="001A091D"/>
    <w:rsid w:val="001A1533"/>
    <w:rsid w:val="001A1AB0"/>
    <w:rsid w:val="001A1B9D"/>
    <w:rsid w:val="001A1BED"/>
    <w:rsid w:val="001A1D6F"/>
    <w:rsid w:val="001A1F11"/>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B8F"/>
    <w:rsid w:val="001B0F6F"/>
    <w:rsid w:val="001B1154"/>
    <w:rsid w:val="001B12B5"/>
    <w:rsid w:val="001B180F"/>
    <w:rsid w:val="001B19FE"/>
    <w:rsid w:val="001B2837"/>
    <w:rsid w:val="001B2B7C"/>
    <w:rsid w:val="001B2F8C"/>
    <w:rsid w:val="001B30DD"/>
    <w:rsid w:val="001B3291"/>
    <w:rsid w:val="001B3B22"/>
    <w:rsid w:val="001B447B"/>
    <w:rsid w:val="001B4DD5"/>
    <w:rsid w:val="001B5207"/>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AA"/>
    <w:rsid w:val="001C2AC5"/>
    <w:rsid w:val="001C2D1F"/>
    <w:rsid w:val="001C2FC1"/>
    <w:rsid w:val="001C31FD"/>
    <w:rsid w:val="001C3588"/>
    <w:rsid w:val="001C39F3"/>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3EB7"/>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6AD"/>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79"/>
    <w:rsid w:val="001E57E7"/>
    <w:rsid w:val="001E584A"/>
    <w:rsid w:val="001E5A46"/>
    <w:rsid w:val="001E5D8B"/>
    <w:rsid w:val="001E61F1"/>
    <w:rsid w:val="001E625C"/>
    <w:rsid w:val="001E682F"/>
    <w:rsid w:val="001E6CA2"/>
    <w:rsid w:val="001E73A7"/>
    <w:rsid w:val="001E77A7"/>
    <w:rsid w:val="001E7909"/>
    <w:rsid w:val="001E7979"/>
    <w:rsid w:val="001E7CF7"/>
    <w:rsid w:val="001F0242"/>
    <w:rsid w:val="001F02FC"/>
    <w:rsid w:val="001F0396"/>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65F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2FD6"/>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1B53"/>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0CE4"/>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245"/>
    <w:rsid w:val="002365E3"/>
    <w:rsid w:val="00236663"/>
    <w:rsid w:val="0023677F"/>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617"/>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1DE6"/>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3DC0"/>
    <w:rsid w:val="00274151"/>
    <w:rsid w:val="00274205"/>
    <w:rsid w:val="00274414"/>
    <w:rsid w:val="0027453E"/>
    <w:rsid w:val="00274925"/>
    <w:rsid w:val="00274FBC"/>
    <w:rsid w:val="0027504A"/>
    <w:rsid w:val="002757F6"/>
    <w:rsid w:val="00275B1A"/>
    <w:rsid w:val="00275C3D"/>
    <w:rsid w:val="00275CFF"/>
    <w:rsid w:val="00276223"/>
    <w:rsid w:val="002764A6"/>
    <w:rsid w:val="00276A29"/>
    <w:rsid w:val="00276CC3"/>
    <w:rsid w:val="002778DC"/>
    <w:rsid w:val="00277B68"/>
    <w:rsid w:val="00277BD4"/>
    <w:rsid w:val="00277F2F"/>
    <w:rsid w:val="002801F7"/>
    <w:rsid w:val="00280813"/>
    <w:rsid w:val="00280882"/>
    <w:rsid w:val="00280AE6"/>
    <w:rsid w:val="00280B6F"/>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6186"/>
    <w:rsid w:val="002961A6"/>
    <w:rsid w:val="00296448"/>
    <w:rsid w:val="00296B17"/>
    <w:rsid w:val="00296B7E"/>
    <w:rsid w:val="00296FCC"/>
    <w:rsid w:val="0029735F"/>
    <w:rsid w:val="002976AF"/>
    <w:rsid w:val="00297836"/>
    <w:rsid w:val="00297AA9"/>
    <w:rsid w:val="002A0653"/>
    <w:rsid w:val="002A0659"/>
    <w:rsid w:val="002A0942"/>
    <w:rsid w:val="002A0CAB"/>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74"/>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AE5"/>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6CC"/>
    <w:rsid w:val="002D3A61"/>
    <w:rsid w:val="002D417D"/>
    <w:rsid w:val="002D4919"/>
    <w:rsid w:val="002D4A80"/>
    <w:rsid w:val="002D4F4E"/>
    <w:rsid w:val="002D547C"/>
    <w:rsid w:val="002D5DDD"/>
    <w:rsid w:val="002D727D"/>
    <w:rsid w:val="002D72FC"/>
    <w:rsid w:val="002D7985"/>
    <w:rsid w:val="002D7D2B"/>
    <w:rsid w:val="002E05C2"/>
    <w:rsid w:val="002E0788"/>
    <w:rsid w:val="002E0790"/>
    <w:rsid w:val="002E0DC8"/>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BA6"/>
    <w:rsid w:val="002E7C4B"/>
    <w:rsid w:val="002F037C"/>
    <w:rsid w:val="002F103F"/>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5E50"/>
    <w:rsid w:val="002F659C"/>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73A"/>
    <w:rsid w:val="00304BB7"/>
    <w:rsid w:val="00304EC9"/>
    <w:rsid w:val="00304EE3"/>
    <w:rsid w:val="00305403"/>
    <w:rsid w:val="00305452"/>
    <w:rsid w:val="00305E70"/>
    <w:rsid w:val="00305F54"/>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2BB"/>
    <w:rsid w:val="0031162E"/>
    <w:rsid w:val="00311874"/>
    <w:rsid w:val="00311D14"/>
    <w:rsid w:val="0031208B"/>
    <w:rsid w:val="00312A91"/>
    <w:rsid w:val="00312EF8"/>
    <w:rsid w:val="003138A2"/>
    <w:rsid w:val="00313B84"/>
    <w:rsid w:val="00313CA7"/>
    <w:rsid w:val="00313F7D"/>
    <w:rsid w:val="003149E9"/>
    <w:rsid w:val="00314A72"/>
    <w:rsid w:val="00314DB7"/>
    <w:rsid w:val="00314F09"/>
    <w:rsid w:val="00315017"/>
    <w:rsid w:val="00315C7E"/>
    <w:rsid w:val="00315DD2"/>
    <w:rsid w:val="00315EB5"/>
    <w:rsid w:val="0031601E"/>
    <w:rsid w:val="0031602A"/>
    <w:rsid w:val="0031615D"/>
    <w:rsid w:val="003161A1"/>
    <w:rsid w:val="0031643D"/>
    <w:rsid w:val="00316A23"/>
    <w:rsid w:val="00316AB4"/>
    <w:rsid w:val="00316BDE"/>
    <w:rsid w:val="00317548"/>
    <w:rsid w:val="00317B5B"/>
    <w:rsid w:val="00317C87"/>
    <w:rsid w:val="00317F17"/>
    <w:rsid w:val="00317F3D"/>
    <w:rsid w:val="0032005C"/>
    <w:rsid w:val="0032056E"/>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265"/>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93C"/>
    <w:rsid w:val="00337A5E"/>
    <w:rsid w:val="00337EF9"/>
    <w:rsid w:val="003402F4"/>
    <w:rsid w:val="00340539"/>
    <w:rsid w:val="00340D77"/>
    <w:rsid w:val="0034157C"/>
    <w:rsid w:val="00341735"/>
    <w:rsid w:val="00341D2E"/>
    <w:rsid w:val="00341F00"/>
    <w:rsid w:val="00341FE3"/>
    <w:rsid w:val="003424D6"/>
    <w:rsid w:val="003427F4"/>
    <w:rsid w:val="00342974"/>
    <w:rsid w:val="00342C2A"/>
    <w:rsid w:val="00342D54"/>
    <w:rsid w:val="0034336B"/>
    <w:rsid w:val="00343AE0"/>
    <w:rsid w:val="003441A0"/>
    <w:rsid w:val="003443F9"/>
    <w:rsid w:val="003445DB"/>
    <w:rsid w:val="003446F6"/>
    <w:rsid w:val="00344D9A"/>
    <w:rsid w:val="00344EAF"/>
    <w:rsid w:val="00344FE2"/>
    <w:rsid w:val="00345CDD"/>
    <w:rsid w:val="00345F62"/>
    <w:rsid w:val="00345FDB"/>
    <w:rsid w:val="00345FF9"/>
    <w:rsid w:val="0034613F"/>
    <w:rsid w:val="0034633E"/>
    <w:rsid w:val="00346628"/>
    <w:rsid w:val="0034670C"/>
    <w:rsid w:val="0034686E"/>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1E10"/>
    <w:rsid w:val="0035332A"/>
    <w:rsid w:val="003534A5"/>
    <w:rsid w:val="00353D8F"/>
    <w:rsid w:val="00354733"/>
    <w:rsid w:val="0035475D"/>
    <w:rsid w:val="00354768"/>
    <w:rsid w:val="003550BD"/>
    <w:rsid w:val="003551EF"/>
    <w:rsid w:val="00355206"/>
    <w:rsid w:val="0035577D"/>
    <w:rsid w:val="003557D8"/>
    <w:rsid w:val="003566F9"/>
    <w:rsid w:val="00357183"/>
    <w:rsid w:val="0035730E"/>
    <w:rsid w:val="003573AD"/>
    <w:rsid w:val="00357459"/>
    <w:rsid w:val="003609F7"/>
    <w:rsid w:val="00360B4B"/>
    <w:rsid w:val="003612CF"/>
    <w:rsid w:val="00361435"/>
    <w:rsid w:val="00361788"/>
    <w:rsid w:val="0036188C"/>
    <w:rsid w:val="0036247E"/>
    <w:rsid w:val="003626C2"/>
    <w:rsid w:val="00362CA0"/>
    <w:rsid w:val="00362F30"/>
    <w:rsid w:val="003631D5"/>
    <w:rsid w:val="00363482"/>
    <w:rsid w:val="0036351D"/>
    <w:rsid w:val="003637F6"/>
    <w:rsid w:val="00363A99"/>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2C1"/>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254"/>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0CA"/>
    <w:rsid w:val="003F23F9"/>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5EA1"/>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1B"/>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533"/>
    <w:rsid w:val="004277CF"/>
    <w:rsid w:val="00427FFA"/>
    <w:rsid w:val="00430080"/>
    <w:rsid w:val="00430297"/>
    <w:rsid w:val="004302EB"/>
    <w:rsid w:val="00430746"/>
    <w:rsid w:val="00430D3C"/>
    <w:rsid w:val="00431627"/>
    <w:rsid w:val="00431830"/>
    <w:rsid w:val="00431DD6"/>
    <w:rsid w:val="004322FC"/>
    <w:rsid w:val="00432517"/>
    <w:rsid w:val="004327CF"/>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1F8"/>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AF2"/>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4C"/>
    <w:rsid w:val="00450ECB"/>
    <w:rsid w:val="00451B62"/>
    <w:rsid w:val="00451DF6"/>
    <w:rsid w:val="00452193"/>
    <w:rsid w:val="00452C50"/>
    <w:rsid w:val="00453273"/>
    <w:rsid w:val="0045343F"/>
    <w:rsid w:val="0045399E"/>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E6C"/>
    <w:rsid w:val="00465F0B"/>
    <w:rsid w:val="00466063"/>
    <w:rsid w:val="004663D0"/>
    <w:rsid w:val="0046656B"/>
    <w:rsid w:val="0046693F"/>
    <w:rsid w:val="00466C1F"/>
    <w:rsid w:val="00466C90"/>
    <w:rsid w:val="00466CE2"/>
    <w:rsid w:val="00466DA4"/>
    <w:rsid w:val="00467251"/>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995"/>
    <w:rsid w:val="004A2BDE"/>
    <w:rsid w:val="004A2F56"/>
    <w:rsid w:val="004A38DE"/>
    <w:rsid w:val="004A402B"/>
    <w:rsid w:val="004A40C5"/>
    <w:rsid w:val="004A4481"/>
    <w:rsid w:val="004A454B"/>
    <w:rsid w:val="004A4C62"/>
    <w:rsid w:val="004A50CB"/>
    <w:rsid w:val="004A5393"/>
    <w:rsid w:val="004A559D"/>
    <w:rsid w:val="004A55FE"/>
    <w:rsid w:val="004A5B46"/>
    <w:rsid w:val="004A6126"/>
    <w:rsid w:val="004A6B1D"/>
    <w:rsid w:val="004A6BB2"/>
    <w:rsid w:val="004A6F2A"/>
    <w:rsid w:val="004A6F6E"/>
    <w:rsid w:val="004A71C6"/>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A6C"/>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0F39"/>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AA4"/>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2D9"/>
    <w:rsid w:val="004D6342"/>
    <w:rsid w:val="004D6385"/>
    <w:rsid w:val="004D67CB"/>
    <w:rsid w:val="004D6E33"/>
    <w:rsid w:val="004D71A9"/>
    <w:rsid w:val="004D7367"/>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FF6"/>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8EF"/>
    <w:rsid w:val="00510A25"/>
    <w:rsid w:val="00510AD2"/>
    <w:rsid w:val="0051139E"/>
    <w:rsid w:val="00511476"/>
    <w:rsid w:val="00511EB5"/>
    <w:rsid w:val="00512B93"/>
    <w:rsid w:val="00512F02"/>
    <w:rsid w:val="00512F77"/>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0567"/>
    <w:rsid w:val="00521297"/>
    <w:rsid w:val="005214CB"/>
    <w:rsid w:val="00521ED0"/>
    <w:rsid w:val="0052200E"/>
    <w:rsid w:val="00522216"/>
    <w:rsid w:val="00522393"/>
    <w:rsid w:val="00522F62"/>
    <w:rsid w:val="005235ED"/>
    <w:rsid w:val="00524D75"/>
    <w:rsid w:val="005250B7"/>
    <w:rsid w:val="005250F6"/>
    <w:rsid w:val="005254BE"/>
    <w:rsid w:val="005254F6"/>
    <w:rsid w:val="00525E31"/>
    <w:rsid w:val="00525E5D"/>
    <w:rsid w:val="00526031"/>
    <w:rsid w:val="005266E8"/>
    <w:rsid w:val="00526C24"/>
    <w:rsid w:val="00526D84"/>
    <w:rsid w:val="00526EDC"/>
    <w:rsid w:val="0052707B"/>
    <w:rsid w:val="005270D5"/>
    <w:rsid w:val="005275D0"/>
    <w:rsid w:val="0052782A"/>
    <w:rsid w:val="0052785A"/>
    <w:rsid w:val="00527B8C"/>
    <w:rsid w:val="005313EB"/>
    <w:rsid w:val="00531A02"/>
    <w:rsid w:val="00531B46"/>
    <w:rsid w:val="00532061"/>
    <w:rsid w:val="005320AB"/>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701"/>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3AA"/>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67DE6"/>
    <w:rsid w:val="00570586"/>
    <w:rsid w:val="005706C5"/>
    <w:rsid w:val="005719CC"/>
    <w:rsid w:val="00571E71"/>
    <w:rsid w:val="00572669"/>
    <w:rsid w:val="00572C82"/>
    <w:rsid w:val="0057304C"/>
    <w:rsid w:val="005731F7"/>
    <w:rsid w:val="00574420"/>
    <w:rsid w:val="00575ED0"/>
    <w:rsid w:val="00576B4F"/>
    <w:rsid w:val="00576D83"/>
    <w:rsid w:val="00576F52"/>
    <w:rsid w:val="00576FBD"/>
    <w:rsid w:val="0057702D"/>
    <w:rsid w:val="005770B6"/>
    <w:rsid w:val="00577EB6"/>
    <w:rsid w:val="0058025A"/>
    <w:rsid w:val="00580C2F"/>
    <w:rsid w:val="00580E3C"/>
    <w:rsid w:val="005816AC"/>
    <w:rsid w:val="0058268D"/>
    <w:rsid w:val="005829ED"/>
    <w:rsid w:val="00582B9A"/>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1C"/>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B0A"/>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65"/>
    <w:rsid w:val="005D25B9"/>
    <w:rsid w:val="005D2787"/>
    <w:rsid w:val="005D2B3E"/>
    <w:rsid w:val="005D2EFC"/>
    <w:rsid w:val="005D3511"/>
    <w:rsid w:val="005D3E85"/>
    <w:rsid w:val="005D4796"/>
    <w:rsid w:val="005D4A92"/>
    <w:rsid w:val="005D4C3F"/>
    <w:rsid w:val="005D5961"/>
    <w:rsid w:val="005D6C8C"/>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A90"/>
    <w:rsid w:val="005E7E5C"/>
    <w:rsid w:val="005F0059"/>
    <w:rsid w:val="005F03E6"/>
    <w:rsid w:val="005F0AD0"/>
    <w:rsid w:val="005F0B18"/>
    <w:rsid w:val="005F1025"/>
    <w:rsid w:val="005F135B"/>
    <w:rsid w:val="005F156A"/>
    <w:rsid w:val="005F15A5"/>
    <w:rsid w:val="005F1793"/>
    <w:rsid w:val="005F211C"/>
    <w:rsid w:val="005F24D2"/>
    <w:rsid w:val="005F2549"/>
    <w:rsid w:val="005F2818"/>
    <w:rsid w:val="005F2879"/>
    <w:rsid w:val="005F29AA"/>
    <w:rsid w:val="005F29DB"/>
    <w:rsid w:val="005F2A90"/>
    <w:rsid w:val="005F30B5"/>
    <w:rsid w:val="005F31B2"/>
    <w:rsid w:val="005F3487"/>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AC8"/>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5B4C"/>
    <w:rsid w:val="0061653C"/>
    <w:rsid w:val="00616603"/>
    <w:rsid w:val="006173AF"/>
    <w:rsid w:val="006178BC"/>
    <w:rsid w:val="00617AA7"/>
    <w:rsid w:val="006200A9"/>
    <w:rsid w:val="006205C1"/>
    <w:rsid w:val="00620D81"/>
    <w:rsid w:val="0062180E"/>
    <w:rsid w:val="00621A2F"/>
    <w:rsid w:val="00621FF0"/>
    <w:rsid w:val="006220DB"/>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2AE"/>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47F60"/>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B42"/>
    <w:rsid w:val="00661E36"/>
    <w:rsid w:val="006620C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9C1"/>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401"/>
    <w:rsid w:val="0068689D"/>
    <w:rsid w:val="00686A2D"/>
    <w:rsid w:val="00686AB1"/>
    <w:rsid w:val="00686C73"/>
    <w:rsid w:val="00686E28"/>
    <w:rsid w:val="0068707E"/>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8BA"/>
    <w:rsid w:val="00695D19"/>
    <w:rsid w:val="00696D35"/>
    <w:rsid w:val="00697217"/>
    <w:rsid w:val="0069757C"/>
    <w:rsid w:val="006A05C1"/>
    <w:rsid w:val="006A06F4"/>
    <w:rsid w:val="006A094D"/>
    <w:rsid w:val="006A0A88"/>
    <w:rsid w:val="006A0BB0"/>
    <w:rsid w:val="006A0FC3"/>
    <w:rsid w:val="006A16CD"/>
    <w:rsid w:val="006A16FF"/>
    <w:rsid w:val="006A17A4"/>
    <w:rsid w:val="006A1A4D"/>
    <w:rsid w:val="006A1BF6"/>
    <w:rsid w:val="006A1F02"/>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2DF9"/>
    <w:rsid w:val="006D32D6"/>
    <w:rsid w:val="006D3D0F"/>
    <w:rsid w:val="006D4101"/>
    <w:rsid w:val="006D4A70"/>
    <w:rsid w:val="006D4C88"/>
    <w:rsid w:val="006D5023"/>
    <w:rsid w:val="006D538E"/>
    <w:rsid w:val="006D54CC"/>
    <w:rsid w:val="006D6735"/>
    <w:rsid w:val="006D6CFE"/>
    <w:rsid w:val="006D7134"/>
    <w:rsid w:val="006D7309"/>
    <w:rsid w:val="006D765E"/>
    <w:rsid w:val="006D7813"/>
    <w:rsid w:val="006D7F20"/>
    <w:rsid w:val="006E1113"/>
    <w:rsid w:val="006E1941"/>
    <w:rsid w:val="006E1B28"/>
    <w:rsid w:val="006E1C46"/>
    <w:rsid w:val="006E249F"/>
    <w:rsid w:val="006E27C5"/>
    <w:rsid w:val="006E2A7C"/>
    <w:rsid w:val="006E2BBF"/>
    <w:rsid w:val="006E2C7A"/>
    <w:rsid w:val="006E3112"/>
    <w:rsid w:val="006E35B6"/>
    <w:rsid w:val="006E42B8"/>
    <w:rsid w:val="006E4356"/>
    <w:rsid w:val="006E440C"/>
    <w:rsid w:val="006E46D0"/>
    <w:rsid w:val="006E5206"/>
    <w:rsid w:val="006E5807"/>
    <w:rsid w:val="006E5BD1"/>
    <w:rsid w:val="006E5DA4"/>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436"/>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287"/>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079"/>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67E4"/>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840"/>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909"/>
    <w:rsid w:val="00766A38"/>
    <w:rsid w:val="00766CB7"/>
    <w:rsid w:val="00767356"/>
    <w:rsid w:val="00767F66"/>
    <w:rsid w:val="00770959"/>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1BF"/>
    <w:rsid w:val="007A430C"/>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AC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442"/>
    <w:rsid w:val="007B5846"/>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3EE"/>
    <w:rsid w:val="007C493F"/>
    <w:rsid w:val="007C49ED"/>
    <w:rsid w:val="007C4A89"/>
    <w:rsid w:val="007C4E56"/>
    <w:rsid w:val="007C4EA6"/>
    <w:rsid w:val="007C54FC"/>
    <w:rsid w:val="007C55CC"/>
    <w:rsid w:val="007C599A"/>
    <w:rsid w:val="007C59F9"/>
    <w:rsid w:val="007C5A4E"/>
    <w:rsid w:val="007C5C1C"/>
    <w:rsid w:val="007C5C62"/>
    <w:rsid w:val="007C5D3D"/>
    <w:rsid w:val="007C5E93"/>
    <w:rsid w:val="007C600C"/>
    <w:rsid w:val="007C62CA"/>
    <w:rsid w:val="007C6E00"/>
    <w:rsid w:val="007C72A8"/>
    <w:rsid w:val="007D0421"/>
    <w:rsid w:val="007D0AA9"/>
    <w:rsid w:val="007D12E7"/>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50B"/>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657"/>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A87"/>
    <w:rsid w:val="007F2B2B"/>
    <w:rsid w:val="007F2B6A"/>
    <w:rsid w:val="007F3094"/>
    <w:rsid w:val="007F321F"/>
    <w:rsid w:val="007F33F4"/>
    <w:rsid w:val="007F3CA1"/>
    <w:rsid w:val="007F406C"/>
    <w:rsid w:val="007F40D8"/>
    <w:rsid w:val="007F45DE"/>
    <w:rsid w:val="007F4C7A"/>
    <w:rsid w:val="007F51CC"/>
    <w:rsid w:val="007F5260"/>
    <w:rsid w:val="007F5B69"/>
    <w:rsid w:val="007F5BDC"/>
    <w:rsid w:val="007F5F94"/>
    <w:rsid w:val="007F605B"/>
    <w:rsid w:val="007F69A5"/>
    <w:rsid w:val="007F6CB9"/>
    <w:rsid w:val="007F6F18"/>
    <w:rsid w:val="007F760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C81"/>
    <w:rsid w:val="00802FDB"/>
    <w:rsid w:val="00803A48"/>
    <w:rsid w:val="00803B52"/>
    <w:rsid w:val="00803BB2"/>
    <w:rsid w:val="00803FAD"/>
    <w:rsid w:val="008044C7"/>
    <w:rsid w:val="00804B52"/>
    <w:rsid w:val="00804FE7"/>
    <w:rsid w:val="008056B3"/>
    <w:rsid w:val="00805FEB"/>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1D"/>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1BF2"/>
    <w:rsid w:val="0082276A"/>
    <w:rsid w:val="008238B8"/>
    <w:rsid w:val="00823940"/>
    <w:rsid w:val="008242A2"/>
    <w:rsid w:val="0082472F"/>
    <w:rsid w:val="00824D2A"/>
    <w:rsid w:val="00825372"/>
    <w:rsid w:val="00825760"/>
    <w:rsid w:val="0082667D"/>
    <w:rsid w:val="00826914"/>
    <w:rsid w:val="0082727D"/>
    <w:rsid w:val="008272EC"/>
    <w:rsid w:val="008275A6"/>
    <w:rsid w:val="00827B7C"/>
    <w:rsid w:val="00827F68"/>
    <w:rsid w:val="00830055"/>
    <w:rsid w:val="008302A1"/>
    <w:rsid w:val="0083059D"/>
    <w:rsid w:val="00830633"/>
    <w:rsid w:val="0083089C"/>
    <w:rsid w:val="008310D9"/>
    <w:rsid w:val="00831375"/>
    <w:rsid w:val="0083147E"/>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9EC"/>
    <w:rsid w:val="00836B10"/>
    <w:rsid w:val="00836C03"/>
    <w:rsid w:val="00837AA5"/>
    <w:rsid w:val="00837B5B"/>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48"/>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DA7"/>
    <w:rsid w:val="00885F4D"/>
    <w:rsid w:val="008863FC"/>
    <w:rsid w:val="00886758"/>
    <w:rsid w:val="00886CE2"/>
    <w:rsid w:val="00887156"/>
    <w:rsid w:val="0088717A"/>
    <w:rsid w:val="0088723B"/>
    <w:rsid w:val="00887BA1"/>
    <w:rsid w:val="00887F8B"/>
    <w:rsid w:val="00890197"/>
    <w:rsid w:val="008906E3"/>
    <w:rsid w:val="008909EB"/>
    <w:rsid w:val="00890B68"/>
    <w:rsid w:val="00890DB5"/>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70"/>
    <w:rsid w:val="0089367F"/>
    <w:rsid w:val="008939BE"/>
    <w:rsid w:val="008941FF"/>
    <w:rsid w:val="00894586"/>
    <w:rsid w:val="0089466D"/>
    <w:rsid w:val="00894B1A"/>
    <w:rsid w:val="008951A8"/>
    <w:rsid w:val="008956BD"/>
    <w:rsid w:val="00895737"/>
    <w:rsid w:val="0089624D"/>
    <w:rsid w:val="008964CE"/>
    <w:rsid w:val="0089656A"/>
    <w:rsid w:val="008968D7"/>
    <w:rsid w:val="00896DB2"/>
    <w:rsid w:val="00896EB8"/>
    <w:rsid w:val="00897A69"/>
    <w:rsid w:val="00897C72"/>
    <w:rsid w:val="00897EC4"/>
    <w:rsid w:val="00897F83"/>
    <w:rsid w:val="008A0088"/>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9F0"/>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3D3"/>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1DC4"/>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134"/>
    <w:rsid w:val="008D1432"/>
    <w:rsid w:val="008D1B01"/>
    <w:rsid w:val="008D1E13"/>
    <w:rsid w:val="008D1F48"/>
    <w:rsid w:val="008D1FCC"/>
    <w:rsid w:val="008D207A"/>
    <w:rsid w:val="008D2100"/>
    <w:rsid w:val="008D2319"/>
    <w:rsid w:val="008D23C6"/>
    <w:rsid w:val="008D257E"/>
    <w:rsid w:val="008D31B7"/>
    <w:rsid w:val="008D3324"/>
    <w:rsid w:val="008D3461"/>
    <w:rsid w:val="008D3567"/>
    <w:rsid w:val="008D3952"/>
    <w:rsid w:val="008D3AAB"/>
    <w:rsid w:val="008D3BDE"/>
    <w:rsid w:val="008D3ED1"/>
    <w:rsid w:val="008D3EE4"/>
    <w:rsid w:val="008D3F73"/>
    <w:rsid w:val="008D4234"/>
    <w:rsid w:val="008D4705"/>
    <w:rsid w:val="008D59F7"/>
    <w:rsid w:val="008D5A2D"/>
    <w:rsid w:val="008D5B0A"/>
    <w:rsid w:val="008D6000"/>
    <w:rsid w:val="008D60B2"/>
    <w:rsid w:val="008D6A60"/>
    <w:rsid w:val="008D6BDB"/>
    <w:rsid w:val="008D7109"/>
    <w:rsid w:val="008D7119"/>
    <w:rsid w:val="008D715D"/>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3E3B"/>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89D"/>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2EA"/>
    <w:rsid w:val="009076EC"/>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C1B"/>
    <w:rsid w:val="00922D28"/>
    <w:rsid w:val="00922DE5"/>
    <w:rsid w:val="00922EA0"/>
    <w:rsid w:val="00922F0C"/>
    <w:rsid w:val="009232D9"/>
    <w:rsid w:val="009232E8"/>
    <w:rsid w:val="00923911"/>
    <w:rsid w:val="00923B7C"/>
    <w:rsid w:val="00923BDB"/>
    <w:rsid w:val="00923C16"/>
    <w:rsid w:val="00923C98"/>
    <w:rsid w:val="00923E75"/>
    <w:rsid w:val="0092405A"/>
    <w:rsid w:val="00924086"/>
    <w:rsid w:val="00924655"/>
    <w:rsid w:val="00924B90"/>
    <w:rsid w:val="00925473"/>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92"/>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6B3"/>
    <w:rsid w:val="009428CB"/>
    <w:rsid w:val="00943294"/>
    <w:rsid w:val="009432EE"/>
    <w:rsid w:val="00943794"/>
    <w:rsid w:val="009437DC"/>
    <w:rsid w:val="00943BD7"/>
    <w:rsid w:val="009441D4"/>
    <w:rsid w:val="00944300"/>
    <w:rsid w:val="0094443D"/>
    <w:rsid w:val="0094506E"/>
    <w:rsid w:val="009451EC"/>
    <w:rsid w:val="0094522B"/>
    <w:rsid w:val="00945ECD"/>
    <w:rsid w:val="00945FFB"/>
    <w:rsid w:val="0094654A"/>
    <w:rsid w:val="00946558"/>
    <w:rsid w:val="00946572"/>
    <w:rsid w:val="00946B3E"/>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2EB2"/>
    <w:rsid w:val="00953504"/>
    <w:rsid w:val="00953610"/>
    <w:rsid w:val="009536E5"/>
    <w:rsid w:val="00953893"/>
    <w:rsid w:val="009539C8"/>
    <w:rsid w:val="00953EA9"/>
    <w:rsid w:val="00954725"/>
    <w:rsid w:val="00954B23"/>
    <w:rsid w:val="00954F65"/>
    <w:rsid w:val="009555B0"/>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026"/>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5E3F"/>
    <w:rsid w:val="0096751F"/>
    <w:rsid w:val="0096766A"/>
    <w:rsid w:val="00970040"/>
    <w:rsid w:val="00970564"/>
    <w:rsid w:val="009708D1"/>
    <w:rsid w:val="00970BDC"/>
    <w:rsid w:val="00970CE1"/>
    <w:rsid w:val="00971090"/>
    <w:rsid w:val="00971124"/>
    <w:rsid w:val="0097139E"/>
    <w:rsid w:val="00971980"/>
    <w:rsid w:val="00971DBA"/>
    <w:rsid w:val="00971E1B"/>
    <w:rsid w:val="00971F5E"/>
    <w:rsid w:val="00972D53"/>
    <w:rsid w:val="00972F05"/>
    <w:rsid w:val="00973219"/>
    <w:rsid w:val="0097348A"/>
    <w:rsid w:val="0097388F"/>
    <w:rsid w:val="0097451C"/>
    <w:rsid w:val="00974B5A"/>
    <w:rsid w:val="009751FE"/>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97B"/>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AC"/>
    <w:rsid w:val="00984DF4"/>
    <w:rsid w:val="009850B7"/>
    <w:rsid w:val="00985216"/>
    <w:rsid w:val="0098550E"/>
    <w:rsid w:val="0098571D"/>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86"/>
    <w:rsid w:val="009913AC"/>
    <w:rsid w:val="00991607"/>
    <w:rsid w:val="00992083"/>
    <w:rsid w:val="00992163"/>
    <w:rsid w:val="00992913"/>
    <w:rsid w:val="0099327E"/>
    <w:rsid w:val="00993E0F"/>
    <w:rsid w:val="00994624"/>
    <w:rsid w:val="009947EA"/>
    <w:rsid w:val="00994B6D"/>
    <w:rsid w:val="00994BE2"/>
    <w:rsid w:val="00995147"/>
    <w:rsid w:val="00995415"/>
    <w:rsid w:val="0099567D"/>
    <w:rsid w:val="00995725"/>
    <w:rsid w:val="00995C7C"/>
    <w:rsid w:val="00995E47"/>
    <w:rsid w:val="00996736"/>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6FA5"/>
    <w:rsid w:val="009B700B"/>
    <w:rsid w:val="009B7131"/>
    <w:rsid w:val="009B7262"/>
    <w:rsid w:val="009B73DC"/>
    <w:rsid w:val="009B76CC"/>
    <w:rsid w:val="009B79B7"/>
    <w:rsid w:val="009B7BB8"/>
    <w:rsid w:val="009B7F14"/>
    <w:rsid w:val="009C04FC"/>
    <w:rsid w:val="009C0E12"/>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B25"/>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6DF2"/>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589"/>
    <w:rsid w:val="009E1A75"/>
    <w:rsid w:val="009E1C13"/>
    <w:rsid w:val="009E2636"/>
    <w:rsid w:val="009E27F4"/>
    <w:rsid w:val="009E3A1D"/>
    <w:rsid w:val="009E3FC1"/>
    <w:rsid w:val="009E4033"/>
    <w:rsid w:val="009E40AF"/>
    <w:rsid w:val="009E429A"/>
    <w:rsid w:val="009E42CF"/>
    <w:rsid w:val="009E4351"/>
    <w:rsid w:val="009E43A5"/>
    <w:rsid w:val="009E48F6"/>
    <w:rsid w:val="009E4C74"/>
    <w:rsid w:val="009E5BA5"/>
    <w:rsid w:val="009E5FE9"/>
    <w:rsid w:val="009E6781"/>
    <w:rsid w:val="009E7482"/>
    <w:rsid w:val="009E7D4E"/>
    <w:rsid w:val="009F009A"/>
    <w:rsid w:val="009F02F9"/>
    <w:rsid w:val="009F11C2"/>
    <w:rsid w:val="009F1D9B"/>
    <w:rsid w:val="009F1DC3"/>
    <w:rsid w:val="009F1E72"/>
    <w:rsid w:val="009F1EB2"/>
    <w:rsid w:val="009F1F04"/>
    <w:rsid w:val="009F21BC"/>
    <w:rsid w:val="009F230A"/>
    <w:rsid w:val="009F24A0"/>
    <w:rsid w:val="009F255F"/>
    <w:rsid w:val="009F28FC"/>
    <w:rsid w:val="009F3112"/>
    <w:rsid w:val="009F3232"/>
    <w:rsid w:val="009F3A33"/>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3D41"/>
    <w:rsid w:val="00A04876"/>
    <w:rsid w:val="00A04AB4"/>
    <w:rsid w:val="00A052C5"/>
    <w:rsid w:val="00A0532B"/>
    <w:rsid w:val="00A054B7"/>
    <w:rsid w:val="00A0551F"/>
    <w:rsid w:val="00A05912"/>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26D"/>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04"/>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4FE9"/>
    <w:rsid w:val="00A451D0"/>
    <w:rsid w:val="00A4549F"/>
    <w:rsid w:val="00A45827"/>
    <w:rsid w:val="00A46503"/>
    <w:rsid w:val="00A465DB"/>
    <w:rsid w:val="00A4665E"/>
    <w:rsid w:val="00A46FAA"/>
    <w:rsid w:val="00A473BA"/>
    <w:rsid w:val="00A4745D"/>
    <w:rsid w:val="00A47911"/>
    <w:rsid w:val="00A50607"/>
    <w:rsid w:val="00A50898"/>
    <w:rsid w:val="00A5093A"/>
    <w:rsid w:val="00A509A4"/>
    <w:rsid w:val="00A50CEE"/>
    <w:rsid w:val="00A51202"/>
    <w:rsid w:val="00A51318"/>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3D0"/>
    <w:rsid w:val="00A56A0E"/>
    <w:rsid w:val="00A56CF9"/>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367"/>
    <w:rsid w:val="00A6257E"/>
    <w:rsid w:val="00A6267D"/>
    <w:rsid w:val="00A628CC"/>
    <w:rsid w:val="00A62B3A"/>
    <w:rsid w:val="00A63111"/>
    <w:rsid w:val="00A632B9"/>
    <w:rsid w:val="00A63319"/>
    <w:rsid w:val="00A6391E"/>
    <w:rsid w:val="00A63A66"/>
    <w:rsid w:val="00A63C6D"/>
    <w:rsid w:val="00A63EAA"/>
    <w:rsid w:val="00A64364"/>
    <w:rsid w:val="00A643B1"/>
    <w:rsid w:val="00A64860"/>
    <w:rsid w:val="00A654BB"/>
    <w:rsid w:val="00A65696"/>
    <w:rsid w:val="00A658A0"/>
    <w:rsid w:val="00A658D2"/>
    <w:rsid w:val="00A65A23"/>
    <w:rsid w:val="00A65F8B"/>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695"/>
    <w:rsid w:val="00A71A1F"/>
    <w:rsid w:val="00A71E21"/>
    <w:rsid w:val="00A72085"/>
    <w:rsid w:val="00A722EA"/>
    <w:rsid w:val="00A728D6"/>
    <w:rsid w:val="00A7299B"/>
    <w:rsid w:val="00A72C9D"/>
    <w:rsid w:val="00A73142"/>
    <w:rsid w:val="00A7399B"/>
    <w:rsid w:val="00A73AA7"/>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284"/>
    <w:rsid w:val="00A80A28"/>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3A5"/>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E4"/>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C"/>
    <w:rsid w:val="00AC25CD"/>
    <w:rsid w:val="00AC2C0C"/>
    <w:rsid w:val="00AC2E62"/>
    <w:rsid w:val="00AC328E"/>
    <w:rsid w:val="00AC3B34"/>
    <w:rsid w:val="00AC403D"/>
    <w:rsid w:val="00AC4463"/>
    <w:rsid w:val="00AC4FD8"/>
    <w:rsid w:val="00AC540F"/>
    <w:rsid w:val="00AC5532"/>
    <w:rsid w:val="00AC56FC"/>
    <w:rsid w:val="00AC58B4"/>
    <w:rsid w:val="00AC5BDB"/>
    <w:rsid w:val="00AC607D"/>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323"/>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1E43"/>
    <w:rsid w:val="00AE2021"/>
    <w:rsid w:val="00AE28E9"/>
    <w:rsid w:val="00AE2AED"/>
    <w:rsid w:val="00AE2DBB"/>
    <w:rsid w:val="00AE3305"/>
    <w:rsid w:val="00AE3764"/>
    <w:rsid w:val="00AE3816"/>
    <w:rsid w:val="00AE3AF3"/>
    <w:rsid w:val="00AE3EE8"/>
    <w:rsid w:val="00AE426C"/>
    <w:rsid w:val="00AE5086"/>
    <w:rsid w:val="00AE510D"/>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2FB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6B2"/>
    <w:rsid w:val="00AF7A7E"/>
    <w:rsid w:val="00B007BC"/>
    <w:rsid w:val="00B01117"/>
    <w:rsid w:val="00B0155E"/>
    <w:rsid w:val="00B01816"/>
    <w:rsid w:val="00B01C49"/>
    <w:rsid w:val="00B01F88"/>
    <w:rsid w:val="00B02C1A"/>
    <w:rsid w:val="00B02E4D"/>
    <w:rsid w:val="00B03160"/>
    <w:rsid w:val="00B035C5"/>
    <w:rsid w:val="00B03F17"/>
    <w:rsid w:val="00B044CF"/>
    <w:rsid w:val="00B044D9"/>
    <w:rsid w:val="00B048D4"/>
    <w:rsid w:val="00B04EC5"/>
    <w:rsid w:val="00B05290"/>
    <w:rsid w:val="00B0535D"/>
    <w:rsid w:val="00B0538D"/>
    <w:rsid w:val="00B05452"/>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1E69"/>
    <w:rsid w:val="00B121C9"/>
    <w:rsid w:val="00B1274D"/>
    <w:rsid w:val="00B128D7"/>
    <w:rsid w:val="00B12B67"/>
    <w:rsid w:val="00B12C6E"/>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B4D"/>
    <w:rsid w:val="00B32368"/>
    <w:rsid w:val="00B323F6"/>
    <w:rsid w:val="00B32491"/>
    <w:rsid w:val="00B32606"/>
    <w:rsid w:val="00B3271B"/>
    <w:rsid w:val="00B32EC7"/>
    <w:rsid w:val="00B330D4"/>
    <w:rsid w:val="00B332AB"/>
    <w:rsid w:val="00B33396"/>
    <w:rsid w:val="00B338BB"/>
    <w:rsid w:val="00B33CF4"/>
    <w:rsid w:val="00B33D01"/>
    <w:rsid w:val="00B33E0A"/>
    <w:rsid w:val="00B340A1"/>
    <w:rsid w:val="00B3444F"/>
    <w:rsid w:val="00B34581"/>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25"/>
    <w:rsid w:val="00B45FDD"/>
    <w:rsid w:val="00B46047"/>
    <w:rsid w:val="00B46FD8"/>
    <w:rsid w:val="00B47307"/>
    <w:rsid w:val="00B473BE"/>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3F8D"/>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1D0"/>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87AE4"/>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858"/>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ED0"/>
    <w:rsid w:val="00BA7FAD"/>
    <w:rsid w:val="00BB03B5"/>
    <w:rsid w:val="00BB057B"/>
    <w:rsid w:val="00BB073C"/>
    <w:rsid w:val="00BB07A9"/>
    <w:rsid w:val="00BB0848"/>
    <w:rsid w:val="00BB09C2"/>
    <w:rsid w:val="00BB0E3E"/>
    <w:rsid w:val="00BB0FDD"/>
    <w:rsid w:val="00BB1770"/>
    <w:rsid w:val="00BB17AC"/>
    <w:rsid w:val="00BB1BE9"/>
    <w:rsid w:val="00BB1E35"/>
    <w:rsid w:val="00BB1F8E"/>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5EB8"/>
    <w:rsid w:val="00BC61A9"/>
    <w:rsid w:val="00BC67A2"/>
    <w:rsid w:val="00BC694E"/>
    <w:rsid w:val="00BC7094"/>
    <w:rsid w:val="00BC720D"/>
    <w:rsid w:val="00BC7582"/>
    <w:rsid w:val="00BC76A1"/>
    <w:rsid w:val="00BC7C48"/>
    <w:rsid w:val="00BC7E86"/>
    <w:rsid w:val="00BC7EA8"/>
    <w:rsid w:val="00BD0248"/>
    <w:rsid w:val="00BD06EC"/>
    <w:rsid w:val="00BD07EF"/>
    <w:rsid w:val="00BD0897"/>
    <w:rsid w:val="00BD0AD0"/>
    <w:rsid w:val="00BD0AED"/>
    <w:rsid w:val="00BD0FC7"/>
    <w:rsid w:val="00BD10E4"/>
    <w:rsid w:val="00BD113A"/>
    <w:rsid w:val="00BD1468"/>
    <w:rsid w:val="00BD154F"/>
    <w:rsid w:val="00BD1602"/>
    <w:rsid w:val="00BD1CE1"/>
    <w:rsid w:val="00BD25E8"/>
    <w:rsid w:val="00BD2ABA"/>
    <w:rsid w:val="00BD3361"/>
    <w:rsid w:val="00BD33E3"/>
    <w:rsid w:val="00BD3612"/>
    <w:rsid w:val="00BD384D"/>
    <w:rsid w:val="00BD3974"/>
    <w:rsid w:val="00BD3A25"/>
    <w:rsid w:val="00BD3E95"/>
    <w:rsid w:val="00BD4727"/>
    <w:rsid w:val="00BD47D5"/>
    <w:rsid w:val="00BD5377"/>
    <w:rsid w:val="00BD54ED"/>
    <w:rsid w:val="00BD5737"/>
    <w:rsid w:val="00BD5AF5"/>
    <w:rsid w:val="00BD5C2D"/>
    <w:rsid w:val="00BD5E82"/>
    <w:rsid w:val="00BD69EA"/>
    <w:rsid w:val="00BD6C06"/>
    <w:rsid w:val="00BD6F39"/>
    <w:rsid w:val="00BD735E"/>
    <w:rsid w:val="00BD74BF"/>
    <w:rsid w:val="00BD7C28"/>
    <w:rsid w:val="00BD7F73"/>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B7E"/>
    <w:rsid w:val="00BE6F8D"/>
    <w:rsid w:val="00BE73A3"/>
    <w:rsid w:val="00BE7900"/>
    <w:rsid w:val="00BE7A3A"/>
    <w:rsid w:val="00BF065F"/>
    <w:rsid w:val="00BF082C"/>
    <w:rsid w:val="00BF0A47"/>
    <w:rsid w:val="00BF0B0A"/>
    <w:rsid w:val="00BF0C18"/>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747"/>
    <w:rsid w:val="00C04A67"/>
    <w:rsid w:val="00C04A88"/>
    <w:rsid w:val="00C04F26"/>
    <w:rsid w:val="00C0511F"/>
    <w:rsid w:val="00C0561C"/>
    <w:rsid w:val="00C05DBF"/>
    <w:rsid w:val="00C05F1D"/>
    <w:rsid w:val="00C0793C"/>
    <w:rsid w:val="00C07968"/>
    <w:rsid w:val="00C07CF4"/>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0DE"/>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82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8DF"/>
    <w:rsid w:val="00C46B4E"/>
    <w:rsid w:val="00C4707E"/>
    <w:rsid w:val="00C47419"/>
    <w:rsid w:val="00C50B48"/>
    <w:rsid w:val="00C50C84"/>
    <w:rsid w:val="00C50D18"/>
    <w:rsid w:val="00C510CE"/>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33C"/>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76F"/>
    <w:rsid w:val="00C61B32"/>
    <w:rsid w:val="00C61CE5"/>
    <w:rsid w:val="00C61FEA"/>
    <w:rsid w:val="00C62240"/>
    <w:rsid w:val="00C6255C"/>
    <w:rsid w:val="00C62EB0"/>
    <w:rsid w:val="00C632F1"/>
    <w:rsid w:val="00C63762"/>
    <w:rsid w:val="00C63763"/>
    <w:rsid w:val="00C63F1C"/>
    <w:rsid w:val="00C63F57"/>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47A"/>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A67"/>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00E"/>
    <w:rsid w:val="00C93479"/>
    <w:rsid w:val="00C936B0"/>
    <w:rsid w:val="00C93E4C"/>
    <w:rsid w:val="00C94430"/>
    <w:rsid w:val="00C945BE"/>
    <w:rsid w:val="00C94AF3"/>
    <w:rsid w:val="00C94DC8"/>
    <w:rsid w:val="00C94E77"/>
    <w:rsid w:val="00C955E7"/>
    <w:rsid w:val="00C95B50"/>
    <w:rsid w:val="00C96481"/>
    <w:rsid w:val="00C96C7A"/>
    <w:rsid w:val="00C96D43"/>
    <w:rsid w:val="00C97032"/>
    <w:rsid w:val="00C9729D"/>
    <w:rsid w:val="00C97483"/>
    <w:rsid w:val="00CA078A"/>
    <w:rsid w:val="00CA082F"/>
    <w:rsid w:val="00CA08AF"/>
    <w:rsid w:val="00CA09C2"/>
    <w:rsid w:val="00CA0AB3"/>
    <w:rsid w:val="00CA1130"/>
    <w:rsid w:val="00CA181E"/>
    <w:rsid w:val="00CA183A"/>
    <w:rsid w:val="00CA1978"/>
    <w:rsid w:val="00CA215A"/>
    <w:rsid w:val="00CA24F6"/>
    <w:rsid w:val="00CA29D5"/>
    <w:rsid w:val="00CA3369"/>
    <w:rsid w:val="00CA3558"/>
    <w:rsid w:val="00CA3781"/>
    <w:rsid w:val="00CA3AD9"/>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2A1"/>
    <w:rsid w:val="00CB1732"/>
    <w:rsid w:val="00CB1952"/>
    <w:rsid w:val="00CB19AB"/>
    <w:rsid w:val="00CB1A50"/>
    <w:rsid w:val="00CB1ABD"/>
    <w:rsid w:val="00CB1E40"/>
    <w:rsid w:val="00CB26C4"/>
    <w:rsid w:val="00CB2910"/>
    <w:rsid w:val="00CB2AC8"/>
    <w:rsid w:val="00CB31FF"/>
    <w:rsid w:val="00CB32F7"/>
    <w:rsid w:val="00CB3579"/>
    <w:rsid w:val="00CB3DB0"/>
    <w:rsid w:val="00CB3F04"/>
    <w:rsid w:val="00CB43DD"/>
    <w:rsid w:val="00CB44D3"/>
    <w:rsid w:val="00CB4610"/>
    <w:rsid w:val="00CB4E13"/>
    <w:rsid w:val="00CB4F5D"/>
    <w:rsid w:val="00CB4FEF"/>
    <w:rsid w:val="00CB627D"/>
    <w:rsid w:val="00CB62A3"/>
    <w:rsid w:val="00CB6A42"/>
    <w:rsid w:val="00CB6D97"/>
    <w:rsid w:val="00CB7422"/>
    <w:rsid w:val="00CB742E"/>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3E36"/>
    <w:rsid w:val="00CC417E"/>
    <w:rsid w:val="00CC430F"/>
    <w:rsid w:val="00CC492D"/>
    <w:rsid w:val="00CC4CC5"/>
    <w:rsid w:val="00CC4D71"/>
    <w:rsid w:val="00CC545A"/>
    <w:rsid w:val="00CC592B"/>
    <w:rsid w:val="00CC59BC"/>
    <w:rsid w:val="00CC6037"/>
    <w:rsid w:val="00CC6149"/>
    <w:rsid w:val="00CC63D5"/>
    <w:rsid w:val="00CC68D9"/>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219"/>
    <w:rsid w:val="00CE04BC"/>
    <w:rsid w:val="00CE0757"/>
    <w:rsid w:val="00CE07BF"/>
    <w:rsid w:val="00CE092B"/>
    <w:rsid w:val="00CE0B88"/>
    <w:rsid w:val="00CE0CA0"/>
    <w:rsid w:val="00CE1625"/>
    <w:rsid w:val="00CE18BF"/>
    <w:rsid w:val="00CE1BCB"/>
    <w:rsid w:val="00CE1C3F"/>
    <w:rsid w:val="00CE2106"/>
    <w:rsid w:val="00CE22B6"/>
    <w:rsid w:val="00CE26A7"/>
    <w:rsid w:val="00CE2826"/>
    <w:rsid w:val="00CE2B85"/>
    <w:rsid w:val="00CE325F"/>
    <w:rsid w:val="00CE3AA7"/>
    <w:rsid w:val="00CE3B4C"/>
    <w:rsid w:val="00CE4836"/>
    <w:rsid w:val="00CE5102"/>
    <w:rsid w:val="00CE555B"/>
    <w:rsid w:val="00CE59DF"/>
    <w:rsid w:val="00CE5B9B"/>
    <w:rsid w:val="00CE5EC2"/>
    <w:rsid w:val="00CE63FE"/>
    <w:rsid w:val="00CE7474"/>
    <w:rsid w:val="00CE7554"/>
    <w:rsid w:val="00CE75F6"/>
    <w:rsid w:val="00CE76F4"/>
    <w:rsid w:val="00CE7828"/>
    <w:rsid w:val="00CE7AEE"/>
    <w:rsid w:val="00CE7D4C"/>
    <w:rsid w:val="00CE7F1C"/>
    <w:rsid w:val="00CF0054"/>
    <w:rsid w:val="00CF010A"/>
    <w:rsid w:val="00CF02BE"/>
    <w:rsid w:val="00CF054D"/>
    <w:rsid w:val="00CF0D80"/>
    <w:rsid w:val="00CF14E4"/>
    <w:rsid w:val="00CF157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9B"/>
    <w:rsid w:val="00CF3D07"/>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18"/>
    <w:rsid w:val="00D073B6"/>
    <w:rsid w:val="00D0765D"/>
    <w:rsid w:val="00D07FB0"/>
    <w:rsid w:val="00D100AB"/>
    <w:rsid w:val="00D10B67"/>
    <w:rsid w:val="00D10EA9"/>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0E02"/>
    <w:rsid w:val="00D21008"/>
    <w:rsid w:val="00D211C4"/>
    <w:rsid w:val="00D21232"/>
    <w:rsid w:val="00D2130B"/>
    <w:rsid w:val="00D213CD"/>
    <w:rsid w:val="00D215AC"/>
    <w:rsid w:val="00D21700"/>
    <w:rsid w:val="00D21A8F"/>
    <w:rsid w:val="00D21CA2"/>
    <w:rsid w:val="00D21D17"/>
    <w:rsid w:val="00D21E5D"/>
    <w:rsid w:val="00D22133"/>
    <w:rsid w:val="00D223FF"/>
    <w:rsid w:val="00D22B0F"/>
    <w:rsid w:val="00D22B5C"/>
    <w:rsid w:val="00D22CAC"/>
    <w:rsid w:val="00D22DEA"/>
    <w:rsid w:val="00D22E7A"/>
    <w:rsid w:val="00D23312"/>
    <w:rsid w:val="00D2488F"/>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81B"/>
    <w:rsid w:val="00D27D31"/>
    <w:rsid w:val="00D30328"/>
    <w:rsid w:val="00D3091C"/>
    <w:rsid w:val="00D30A46"/>
    <w:rsid w:val="00D31165"/>
    <w:rsid w:val="00D31226"/>
    <w:rsid w:val="00D31CFD"/>
    <w:rsid w:val="00D31FEA"/>
    <w:rsid w:val="00D3229A"/>
    <w:rsid w:val="00D3265C"/>
    <w:rsid w:val="00D32B40"/>
    <w:rsid w:val="00D32CFC"/>
    <w:rsid w:val="00D32CFE"/>
    <w:rsid w:val="00D32F25"/>
    <w:rsid w:val="00D3301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17"/>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63"/>
    <w:rsid w:val="00D642BF"/>
    <w:rsid w:val="00D642E3"/>
    <w:rsid w:val="00D64324"/>
    <w:rsid w:val="00D64529"/>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2ECB"/>
    <w:rsid w:val="00D72EF7"/>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DD6"/>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296"/>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2CA"/>
    <w:rsid w:val="00D9040B"/>
    <w:rsid w:val="00D90931"/>
    <w:rsid w:val="00D90D9A"/>
    <w:rsid w:val="00D91130"/>
    <w:rsid w:val="00D91310"/>
    <w:rsid w:val="00D9152D"/>
    <w:rsid w:val="00D91DB5"/>
    <w:rsid w:val="00D921CE"/>
    <w:rsid w:val="00D926C8"/>
    <w:rsid w:val="00D926F2"/>
    <w:rsid w:val="00D92A77"/>
    <w:rsid w:val="00D92D00"/>
    <w:rsid w:val="00D92DEC"/>
    <w:rsid w:val="00D9323C"/>
    <w:rsid w:val="00D93303"/>
    <w:rsid w:val="00D93592"/>
    <w:rsid w:val="00D936B0"/>
    <w:rsid w:val="00D93757"/>
    <w:rsid w:val="00D93A6E"/>
    <w:rsid w:val="00D9422C"/>
    <w:rsid w:val="00D9485A"/>
    <w:rsid w:val="00D9497B"/>
    <w:rsid w:val="00D94A81"/>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23C"/>
    <w:rsid w:val="00DA4A98"/>
    <w:rsid w:val="00DA4FBB"/>
    <w:rsid w:val="00DA532E"/>
    <w:rsid w:val="00DA53B7"/>
    <w:rsid w:val="00DA565E"/>
    <w:rsid w:val="00DA5D3D"/>
    <w:rsid w:val="00DA5E58"/>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1C4C"/>
    <w:rsid w:val="00DC226D"/>
    <w:rsid w:val="00DC2307"/>
    <w:rsid w:val="00DC24D4"/>
    <w:rsid w:val="00DC2995"/>
    <w:rsid w:val="00DC2AB7"/>
    <w:rsid w:val="00DC346E"/>
    <w:rsid w:val="00DC3A53"/>
    <w:rsid w:val="00DC4208"/>
    <w:rsid w:val="00DC44D7"/>
    <w:rsid w:val="00DC4D9D"/>
    <w:rsid w:val="00DC4F66"/>
    <w:rsid w:val="00DC5422"/>
    <w:rsid w:val="00DC5754"/>
    <w:rsid w:val="00DC64F5"/>
    <w:rsid w:val="00DC6670"/>
    <w:rsid w:val="00DC719E"/>
    <w:rsid w:val="00DC71C3"/>
    <w:rsid w:val="00DC743A"/>
    <w:rsid w:val="00DC7A31"/>
    <w:rsid w:val="00DD0195"/>
    <w:rsid w:val="00DD0242"/>
    <w:rsid w:val="00DD05BB"/>
    <w:rsid w:val="00DD1079"/>
    <w:rsid w:val="00DD10C7"/>
    <w:rsid w:val="00DD14C1"/>
    <w:rsid w:val="00DD155C"/>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5180"/>
    <w:rsid w:val="00DD637C"/>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1B9"/>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F89"/>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B0C"/>
    <w:rsid w:val="00E03CCB"/>
    <w:rsid w:val="00E03D24"/>
    <w:rsid w:val="00E03DE8"/>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475"/>
    <w:rsid w:val="00E265DB"/>
    <w:rsid w:val="00E26647"/>
    <w:rsid w:val="00E26A6F"/>
    <w:rsid w:val="00E26B6B"/>
    <w:rsid w:val="00E26BEC"/>
    <w:rsid w:val="00E27272"/>
    <w:rsid w:val="00E2797A"/>
    <w:rsid w:val="00E30297"/>
    <w:rsid w:val="00E30460"/>
    <w:rsid w:val="00E30549"/>
    <w:rsid w:val="00E31E1A"/>
    <w:rsid w:val="00E31F40"/>
    <w:rsid w:val="00E32A79"/>
    <w:rsid w:val="00E32B14"/>
    <w:rsid w:val="00E3311C"/>
    <w:rsid w:val="00E335C4"/>
    <w:rsid w:val="00E33CB9"/>
    <w:rsid w:val="00E343BD"/>
    <w:rsid w:val="00E35323"/>
    <w:rsid w:val="00E35962"/>
    <w:rsid w:val="00E35A26"/>
    <w:rsid w:val="00E35B66"/>
    <w:rsid w:val="00E35B6C"/>
    <w:rsid w:val="00E35BC4"/>
    <w:rsid w:val="00E36579"/>
    <w:rsid w:val="00E368EB"/>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D09"/>
    <w:rsid w:val="00E44EAF"/>
    <w:rsid w:val="00E44EE4"/>
    <w:rsid w:val="00E4542B"/>
    <w:rsid w:val="00E458E4"/>
    <w:rsid w:val="00E46035"/>
    <w:rsid w:val="00E46664"/>
    <w:rsid w:val="00E4693F"/>
    <w:rsid w:val="00E474E8"/>
    <w:rsid w:val="00E5033C"/>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33"/>
    <w:rsid w:val="00E545B7"/>
    <w:rsid w:val="00E5470D"/>
    <w:rsid w:val="00E54D84"/>
    <w:rsid w:val="00E54FF0"/>
    <w:rsid w:val="00E55033"/>
    <w:rsid w:val="00E55073"/>
    <w:rsid w:val="00E5537B"/>
    <w:rsid w:val="00E55C5B"/>
    <w:rsid w:val="00E564FD"/>
    <w:rsid w:val="00E56D98"/>
    <w:rsid w:val="00E57073"/>
    <w:rsid w:val="00E57118"/>
    <w:rsid w:val="00E571D5"/>
    <w:rsid w:val="00E57238"/>
    <w:rsid w:val="00E5745E"/>
    <w:rsid w:val="00E57ADD"/>
    <w:rsid w:val="00E57E72"/>
    <w:rsid w:val="00E6010E"/>
    <w:rsid w:val="00E602B8"/>
    <w:rsid w:val="00E604ED"/>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56F"/>
    <w:rsid w:val="00E66730"/>
    <w:rsid w:val="00E6688E"/>
    <w:rsid w:val="00E66892"/>
    <w:rsid w:val="00E66C26"/>
    <w:rsid w:val="00E66F5D"/>
    <w:rsid w:val="00E677AB"/>
    <w:rsid w:val="00E6799B"/>
    <w:rsid w:val="00E706BA"/>
    <w:rsid w:val="00E70769"/>
    <w:rsid w:val="00E70B1B"/>
    <w:rsid w:val="00E70E9E"/>
    <w:rsid w:val="00E70EE9"/>
    <w:rsid w:val="00E71805"/>
    <w:rsid w:val="00E71C4A"/>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49"/>
    <w:rsid w:val="00E76BA3"/>
    <w:rsid w:val="00E76BC2"/>
    <w:rsid w:val="00E76D3A"/>
    <w:rsid w:val="00E76E0B"/>
    <w:rsid w:val="00E77310"/>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238"/>
    <w:rsid w:val="00E83311"/>
    <w:rsid w:val="00E83361"/>
    <w:rsid w:val="00E8344A"/>
    <w:rsid w:val="00E83905"/>
    <w:rsid w:val="00E83C5F"/>
    <w:rsid w:val="00E84551"/>
    <w:rsid w:val="00E848F3"/>
    <w:rsid w:val="00E84DAF"/>
    <w:rsid w:val="00E85107"/>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5EA9"/>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040"/>
    <w:rsid w:val="00EA544B"/>
    <w:rsid w:val="00EA55CA"/>
    <w:rsid w:val="00EA596F"/>
    <w:rsid w:val="00EA59A0"/>
    <w:rsid w:val="00EA5FF9"/>
    <w:rsid w:val="00EA6358"/>
    <w:rsid w:val="00EA643B"/>
    <w:rsid w:val="00EA675F"/>
    <w:rsid w:val="00EA6788"/>
    <w:rsid w:val="00EA6E0C"/>
    <w:rsid w:val="00EA6EB3"/>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3DE6"/>
    <w:rsid w:val="00EB410E"/>
    <w:rsid w:val="00EB420B"/>
    <w:rsid w:val="00EB43B5"/>
    <w:rsid w:val="00EB43BD"/>
    <w:rsid w:val="00EB44EE"/>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917"/>
    <w:rsid w:val="00EC3B56"/>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0CBE"/>
    <w:rsid w:val="00EE124E"/>
    <w:rsid w:val="00EE1502"/>
    <w:rsid w:val="00EE16D9"/>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0063"/>
    <w:rsid w:val="00EF155D"/>
    <w:rsid w:val="00EF1D9C"/>
    <w:rsid w:val="00EF23D5"/>
    <w:rsid w:val="00EF261A"/>
    <w:rsid w:val="00EF2985"/>
    <w:rsid w:val="00EF2A4F"/>
    <w:rsid w:val="00EF2D2A"/>
    <w:rsid w:val="00EF2E5C"/>
    <w:rsid w:val="00EF33ED"/>
    <w:rsid w:val="00EF366C"/>
    <w:rsid w:val="00EF3885"/>
    <w:rsid w:val="00EF3A19"/>
    <w:rsid w:val="00EF3C83"/>
    <w:rsid w:val="00EF3E9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78"/>
    <w:rsid w:val="00EF75AD"/>
    <w:rsid w:val="00EF7C60"/>
    <w:rsid w:val="00F002E7"/>
    <w:rsid w:val="00F00AED"/>
    <w:rsid w:val="00F00C6A"/>
    <w:rsid w:val="00F00CB7"/>
    <w:rsid w:val="00F00D84"/>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117"/>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4DC"/>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4E93"/>
    <w:rsid w:val="00F1506C"/>
    <w:rsid w:val="00F15511"/>
    <w:rsid w:val="00F1596A"/>
    <w:rsid w:val="00F15F85"/>
    <w:rsid w:val="00F163F9"/>
    <w:rsid w:val="00F164B7"/>
    <w:rsid w:val="00F16610"/>
    <w:rsid w:val="00F16BF4"/>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99C"/>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933"/>
    <w:rsid w:val="00F50F32"/>
    <w:rsid w:val="00F50F4B"/>
    <w:rsid w:val="00F5110D"/>
    <w:rsid w:val="00F51233"/>
    <w:rsid w:val="00F5187D"/>
    <w:rsid w:val="00F5204C"/>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65F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40E"/>
    <w:rsid w:val="00F645DF"/>
    <w:rsid w:val="00F64DED"/>
    <w:rsid w:val="00F65345"/>
    <w:rsid w:val="00F65CB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779FD"/>
    <w:rsid w:val="00F802EE"/>
    <w:rsid w:val="00F803E5"/>
    <w:rsid w:val="00F81663"/>
    <w:rsid w:val="00F81B30"/>
    <w:rsid w:val="00F823AA"/>
    <w:rsid w:val="00F823BD"/>
    <w:rsid w:val="00F826CA"/>
    <w:rsid w:val="00F82C66"/>
    <w:rsid w:val="00F8374B"/>
    <w:rsid w:val="00F83DDB"/>
    <w:rsid w:val="00F83F77"/>
    <w:rsid w:val="00F84499"/>
    <w:rsid w:val="00F8478E"/>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979"/>
    <w:rsid w:val="00F97279"/>
    <w:rsid w:val="00F979B7"/>
    <w:rsid w:val="00F97AFF"/>
    <w:rsid w:val="00F97C79"/>
    <w:rsid w:val="00F97E39"/>
    <w:rsid w:val="00FA01C7"/>
    <w:rsid w:val="00FA04F7"/>
    <w:rsid w:val="00FA07B0"/>
    <w:rsid w:val="00FA0AAE"/>
    <w:rsid w:val="00FA0B3D"/>
    <w:rsid w:val="00FA0E5A"/>
    <w:rsid w:val="00FA10CA"/>
    <w:rsid w:val="00FA1345"/>
    <w:rsid w:val="00FA1526"/>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929"/>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38C"/>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2F6"/>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26564442">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6256961">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2023-08-11T20:30:00Z</dcterms:created>
  <dcterms:modified xsi:type="dcterms:W3CDTF">2023-08-11T20:30:00Z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