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3F27" w14:textId="687AE3A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B72751" w:rsidRPr="00B72751">
        <w:rPr>
          <w:rFonts w:ascii="Arial" w:eastAsia="SimSun" w:hAnsi="Arial" w:cs="Times New Roman"/>
          <w:b/>
          <w:bCs/>
          <w:sz w:val="24"/>
          <w:szCs w:val="20"/>
          <w:lang w:eastAsia="ja-JP"/>
        </w:rPr>
        <w:t>R4-231343</w:t>
      </w:r>
      <w:r w:rsidR="00B72751">
        <w:rPr>
          <w:rFonts w:ascii="Arial" w:eastAsia="SimSun" w:hAnsi="Arial" w:cs="Times New Roman"/>
          <w:b/>
          <w:bCs/>
          <w:sz w:val="24"/>
          <w:szCs w:val="20"/>
          <w:lang w:eastAsia="ja-JP"/>
        </w:rPr>
        <w:t>8</w:t>
      </w:r>
    </w:p>
    <w:p w14:paraId="0A23B1B5"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16652DD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29D719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D1AB24D" w14:textId="62D5C1C0" w:rsidR="00841BCD" w:rsidRPr="008D7AFA" w:rsidRDefault="00841BCD" w:rsidP="00841BCD">
      <w:pPr>
        <w:ind w:left="1985" w:hanging="1985"/>
        <w:rPr>
          <w:rFonts w:ascii="Arial" w:eastAsia="Calibri" w:hAnsi="Arial" w:cs="Arial"/>
          <w:b/>
          <w:bCs/>
          <w:sz w:val="24"/>
          <w:lang w:val="en-GB"/>
        </w:rPr>
      </w:pPr>
      <w:r w:rsidRPr="008D7AFA">
        <w:rPr>
          <w:rFonts w:ascii="Arial" w:eastAsia="Calibri" w:hAnsi="Arial" w:cs="Arial"/>
          <w:b/>
          <w:bCs/>
          <w:sz w:val="24"/>
          <w:lang w:val="en-GB"/>
        </w:rPr>
        <w:t>Title:</w:t>
      </w:r>
      <w:r w:rsidRPr="008D7AFA">
        <w:rPr>
          <w:rFonts w:ascii="Arial" w:eastAsia="Calibri" w:hAnsi="Arial" w:cs="Arial"/>
          <w:b/>
          <w:bCs/>
          <w:sz w:val="24"/>
          <w:lang w:val="en-GB"/>
        </w:rPr>
        <w:tab/>
      </w:r>
      <w:r w:rsidR="00A858B8">
        <w:rPr>
          <w:rFonts w:ascii="Arial" w:eastAsia="Calibri" w:hAnsi="Arial" w:cs="Arial"/>
          <w:b/>
          <w:bCs/>
          <w:sz w:val="24"/>
          <w:lang w:val="en-GB"/>
        </w:rPr>
        <w:t>Open Issues on Mobility Requirements for ATG</w:t>
      </w:r>
    </w:p>
    <w:p w14:paraId="7436F9A7" w14:textId="30E734A9" w:rsidR="00841BCD" w:rsidRPr="008D7AFA" w:rsidRDefault="00841BCD" w:rsidP="00841BCD">
      <w:pPr>
        <w:tabs>
          <w:tab w:val="left" w:pos="1985"/>
        </w:tabs>
        <w:spacing w:after="120" w:line="240" w:lineRule="auto"/>
        <w:rPr>
          <w:rFonts w:ascii="Arial" w:eastAsia="MS Mincho" w:hAnsi="Arial" w:cs="Arial"/>
          <w:b/>
          <w:bCs/>
          <w:sz w:val="24"/>
          <w:szCs w:val="20"/>
          <w:lang w:val="en-GB"/>
        </w:rPr>
      </w:pPr>
      <w:r w:rsidRPr="008D7AFA">
        <w:rPr>
          <w:rFonts w:ascii="Arial" w:eastAsia="MS Mincho" w:hAnsi="Arial" w:cs="Arial"/>
          <w:b/>
          <w:bCs/>
          <w:sz w:val="24"/>
          <w:szCs w:val="20"/>
          <w:lang w:val="en-GB"/>
        </w:rPr>
        <w:t>Agenda item:</w:t>
      </w:r>
      <w:r w:rsidRPr="008D7AFA">
        <w:rPr>
          <w:rFonts w:ascii="Arial" w:eastAsia="MS Mincho" w:hAnsi="Arial" w:cs="Arial"/>
          <w:b/>
          <w:bCs/>
          <w:sz w:val="24"/>
          <w:szCs w:val="20"/>
          <w:lang w:val="en-GB"/>
        </w:rPr>
        <w:tab/>
      </w:r>
      <w:r w:rsidR="008D7AFA">
        <w:rPr>
          <w:rFonts w:ascii="Arial" w:eastAsia="MS Mincho" w:hAnsi="Arial" w:cs="Arial"/>
          <w:b/>
          <w:bCs/>
          <w:sz w:val="24"/>
          <w:szCs w:val="20"/>
          <w:lang w:val="en-GB"/>
        </w:rPr>
        <w:t>8.13.4.</w:t>
      </w:r>
      <w:r w:rsidR="00A858B8">
        <w:rPr>
          <w:rFonts w:ascii="Arial" w:eastAsia="MS Mincho" w:hAnsi="Arial" w:cs="Arial"/>
          <w:b/>
          <w:bCs/>
          <w:sz w:val="24"/>
          <w:szCs w:val="20"/>
          <w:lang w:val="en-GB"/>
        </w:rPr>
        <w:t>2</w:t>
      </w:r>
    </w:p>
    <w:p w14:paraId="7C147905" w14:textId="77777777" w:rsidR="00D66188" w:rsidRPr="008D7AFA" w:rsidRDefault="00841BCD" w:rsidP="00841BCD">
      <w:pPr>
        <w:tabs>
          <w:tab w:val="left" w:pos="1985"/>
        </w:tabs>
        <w:rPr>
          <w:rFonts w:ascii="Arial" w:eastAsia="Calibri" w:hAnsi="Arial" w:cs="Arial"/>
          <w:b/>
          <w:bCs/>
          <w:sz w:val="24"/>
          <w:lang w:val="pt-BR"/>
        </w:rPr>
      </w:pPr>
      <w:proofErr w:type="spellStart"/>
      <w:r w:rsidRPr="008D7AFA">
        <w:rPr>
          <w:rFonts w:ascii="Arial" w:eastAsia="Calibri" w:hAnsi="Arial" w:cs="Arial"/>
          <w:b/>
          <w:bCs/>
          <w:sz w:val="24"/>
          <w:lang w:val="pt-BR"/>
        </w:rPr>
        <w:t>Document</w:t>
      </w:r>
      <w:proofErr w:type="spellEnd"/>
      <w:r w:rsidRPr="008D7AFA">
        <w:rPr>
          <w:rFonts w:ascii="Arial" w:eastAsia="Calibri" w:hAnsi="Arial" w:cs="Arial"/>
          <w:b/>
          <w:bCs/>
          <w:sz w:val="24"/>
          <w:lang w:val="pt-BR"/>
        </w:rPr>
        <w:t xml:space="preserve"> for:</w:t>
      </w:r>
      <w:r w:rsidRPr="008D7AFA">
        <w:rPr>
          <w:rFonts w:ascii="Arial" w:eastAsia="Calibri" w:hAnsi="Arial" w:cs="Arial"/>
          <w:b/>
          <w:bCs/>
          <w:sz w:val="24"/>
          <w:lang w:val="pt-BR"/>
        </w:rPr>
        <w:tab/>
      </w:r>
      <w:proofErr w:type="spellStart"/>
      <w:r w:rsidR="00AE6D09" w:rsidRPr="008D7AFA">
        <w:rPr>
          <w:rFonts w:ascii="Arial" w:eastAsia="Calibri" w:hAnsi="Arial" w:cs="Arial"/>
          <w:b/>
          <w:bCs/>
          <w:sz w:val="24"/>
          <w:lang w:val="pt-BR"/>
        </w:rPr>
        <w:t>Discussion</w:t>
      </w:r>
      <w:proofErr w:type="spellEnd"/>
    </w:p>
    <w:p w14:paraId="3873B0AC" w14:textId="77777777" w:rsidR="00E323E9" w:rsidRPr="008D7AFA" w:rsidRDefault="00E323E9" w:rsidP="00841BCD">
      <w:pPr>
        <w:tabs>
          <w:tab w:val="left" w:pos="1985"/>
        </w:tabs>
        <w:rPr>
          <w:rFonts w:ascii="Arial" w:eastAsia="Calibri" w:hAnsi="Arial" w:cs="Arial"/>
          <w:b/>
          <w:bCs/>
          <w:sz w:val="24"/>
          <w:lang w:val="pt-BR"/>
        </w:rPr>
      </w:pPr>
    </w:p>
    <w:p w14:paraId="494D9A10"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C6FDA59" w14:textId="456B5D90" w:rsidR="008D7AFA" w:rsidRDefault="008D7AFA" w:rsidP="008D7AFA">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extremely large inter-site distance, and the list of objectives for RRM discussion include  </w:t>
      </w:r>
      <w:r w:rsidRPr="000E761E">
        <w:rPr>
          <w:i/>
          <w:iCs/>
        </w:rPr>
        <w:t>“</w:t>
      </w:r>
      <w:r>
        <w:rPr>
          <w:i/>
          <w:iCs/>
        </w:rPr>
        <w:t>c</w:t>
      </w:r>
      <w:r w:rsidRPr="000E761E">
        <w:rPr>
          <w:i/>
          <w:iCs/>
        </w:rPr>
        <w:t>onsidering the different nature of ATG UEs and their view of the network, increased cell sizes and other relevant aspects”</w:t>
      </w:r>
      <w:r>
        <w:rPr>
          <w:i/>
          <w:iCs/>
        </w:rPr>
        <w:t xml:space="preserve">. </w:t>
      </w:r>
      <w:r>
        <w:t xml:space="preserve">The work has been progressing in RAN4 since then, and in RAN4 #107, a Way-Forward on the topic was discussed and approved in </w:t>
      </w:r>
      <w:r>
        <w:fldChar w:fldCharType="begin"/>
      </w:r>
      <w:r>
        <w:instrText xml:space="preserve"> REF _Ref131678419 \r \h </w:instrText>
      </w:r>
      <w:r>
        <w:fldChar w:fldCharType="separate"/>
      </w:r>
      <w:r>
        <w:t>[2]</w:t>
      </w:r>
      <w:r>
        <w:fldChar w:fldCharType="end"/>
      </w:r>
      <w:r>
        <w:t xml:space="preserve">. </w:t>
      </w:r>
      <w:r w:rsidR="00DC6211">
        <w:t>There are still relevant open issues identified regarding the mobility requirements in ATG. The present document discusses the following:</w:t>
      </w:r>
    </w:p>
    <w:p w14:paraId="4A186DA3" w14:textId="2C136B73" w:rsidR="008D7AFA" w:rsidRPr="000E761E" w:rsidRDefault="00A858B8" w:rsidP="008D7AFA">
      <w:pPr>
        <w:pStyle w:val="ListParagraph"/>
        <w:numPr>
          <w:ilvl w:val="0"/>
          <w:numId w:val="27"/>
        </w:numPr>
      </w:pPr>
      <w:r>
        <w:t>Cell Reselection Mechanism in ATG</w:t>
      </w:r>
    </w:p>
    <w:p w14:paraId="65E5119F" w14:textId="77777777" w:rsidR="00A520D9" w:rsidRPr="008C39F7" w:rsidRDefault="00A520D9" w:rsidP="005C23A4"/>
    <w:p w14:paraId="1FE1F115" w14:textId="77777777" w:rsidR="0060543D" w:rsidRPr="008C39F7" w:rsidRDefault="0060543D" w:rsidP="005C23A4"/>
    <w:p w14:paraId="39EA70D2" w14:textId="77777777" w:rsidR="003B659E" w:rsidRPr="008C39F7" w:rsidRDefault="003B659E" w:rsidP="00AE56B1">
      <w:pPr>
        <w:pStyle w:val="RAN4H1"/>
      </w:pPr>
      <w:bookmarkStart w:id="4" w:name="_Toc116995842"/>
      <w:r w:rsidRPr="008C39F7">
        <w:t>Discussion</w:t>
      </w:r>
      <w:bookmarkEnd w:id="4"/>
    </w:p>
    <w:p w14:paraId="7C84595F" w14:textId="77777777" w:rsidR="00DC6211" w:rsidRDefault="00DC6211" w:rsidP="008D7AFA">
      <w:r>
        <w:t xml:space="preserve">In the WF presented in </w:t>
      </w:r>
      <w:r>
        <w:fldChar w:fldCharType="begin"/>
      </w:r>
      <w:r>
        <w:instrText xml:space="preserve"> REF _Ref131678419 \r \h </w:instrText>
      </w:r>
      <w:r>
        <w:fldChar w:fldCharType="separate"/>
      </w:r>
      <w:r>
        <w:t>[2]</w:t>
      </w:r>
      <w:r>
        <w:fldChar w:fldCharType="end"/>
      </w:r>
      <w:r>
        <w:t>, a few open issues were left for further investigation regarding ATG mobility:</w:t>
      </w:r>
    </w:p>
    <w:tbl>
      <w:tblPr>
        <w:tblStyle w:val="TableGrid"/>
        <w:tblW w:w="0" w:type="auto"/>
        <w:tblLook w:val="04A0" w:firstRow="1" w:lastRow="0" w:firstColumn="1" w:lastColumn="0" w:noHBand="0" w:noVBand="1"/>
      </w:tblPr>
      <w:tblGrid>
        <w:gridCol w:w="9617"/>
      </w:tblGrid>
      <w:tr w:rsidR="00DC6211" w14:paraId="7AD02936" w14:textId="77777777" w:rsidTr="00DC6211">
        <w:tc>
          <w:tcPr>
            <w:tcW w:w="9617" w:type="dxa"/>
          </w:tcPr>
          <w:p w14:paraId="7A2F0B74" w14:textId="77777777" w:rsidR="00CA7F0A" w:rsidRDefault="00CA7F0A" w:rsidP="00CA7F0A">
            <w:pPr>
              <w:rPr>
                <w:b/>
                <w:szCs w:val="20"/>
                <w:u w:val="single"/>
                <w:lang w:eastAsia="ko-KR"/>
              </w:rPr>
            </w:pPr>
            <w:r>
              <w:rPr>
                <w:b/>
                <w:szCs w:val="20"/>
                <w:u w:val="single"/>
                <w:lang w:eastAsia="ko-KR"/>
              </w:rPr>
              <w:t>Issue 2-1-1: Cell re-selection mechanism</w:t>
            </w:r>
          </w:p>
          <w:p w14:paraId="79D753A1" w14:textId="77777777" w:rsidR="00CA7F0A" w:rsidRDefault="00CA7F0A" w:rsidP="00CA7F0A">
            <w:pPr>
              <w:spacing w:after="60"/>
              <w:rPr>
                <w:rFonts w:eastAsiaTheme="minorEastAsia"/>
                <w:b/>
                <w:bCs/>
                <w:iCs/>
                <w:szCs w:val="20"/>
                <w:lang w:eastAsia="zh-CN"/>
              </w:rPr>
            </w:pPr>
            <w:r>
              <w:rPr>
                <w:rFonts w:eastAsiaTheme="minorEastAsia"/>
                <w:b/>
                <w:bCs/>
                <w:iCs/>
                <w:szCs w:val="20"/>
              </w:rPr>
              <w:t>Agreement</w:t>
            </w:r>
          </w:p>
          <w:p w14:paraId="54B0364E" w14:textId="77777777" w:rsidR="00CA7F0A" w:rsidRDefault="00CA7F0A" w:rsidP="00CA7F0A">
            <w:pPr>
              <w:pStyle w:val="ListParagraph"/>
              <w:numPr>
                <w:ilvl w:val="0"/>
                <w:numId w:val="28"/>
              </w:numPr>
              <w:spacing w:after="120"/>
              <w:contextualSpacing w:val="0"/>
              <w:rPr>
                <w:rFonts w:eastAsia="SimSun" w:cs="Times New Roman"/>
                <w:szCs w:val="20"/>
              </w:rPr>
            </w:pPr>
            <w:r>
              <w:rPr>
                <w:rFonts w:eastAsia="SimSun" w:cs="Times New Roman"/>
                <w:szCs w:val="20"/>
              </w:rPr>
              <w:t>Distance-based solution</w:t>
            </w:r>
          </w:p>
          <w:p w14:paraId="0720410E" w14:textId="77777777" w:rsidR="00CA7F0A" w:rsidRDefault="00CA7F0A" w:rsidP="00CA7F0A">
            <w:pPr>
              <w:pStyle w:val="ListParagraph"/>
              <w:numPr>
                <w:ilvl w:val="1"/>
                <w:numId w:val="28"/>
              </w:numPr>
              <w:spacing w:after="120"/>
              <w:contextualSpacing w:val="0"/>
              <w:rPr>
                <w:rFonts w:eastAsia="SimSun" w:cs="Times New Roman"/>
                <w:szCs w:val="20"/>
              </w:rPr>
            </w:pPr>
            <w:r>
              <w:rPr>
                <w:rFonts w:eastAsia="SimSun" w:cs="Times New Roman"/>
                <w:szCs w:val="20"/>
              </w:rPr>
              <w:t xml:space="preserve">Option 1: Introduce distance-based triggering as an additional condition for intra- and inter-frequency cell measurement as NTN, whether and how to configure the feature is up to network implementation, provided that existing NTN </w:t>
            </w:r>
            <w:proofErr w:type="spellStart"/>
            <w:r>
              <w:rPr>
                <w:rFonts w:eastAsia="SimSun" w:cs="Times New Roman"/>
                <w:szCs w:val="20"/>
              </w:rPr>
              <w:t>signalling</w:t>
            </w:r>
            <w:proofErr w:type="spellEnd"/>
            <w:r>
              <w:rPr>
                <w:rFonts w:eastAsia="SimSun" w:cs="Times New Roman"/>
                <w:szCs w:val="20"/>
              </w:rPr>
              <w:t xml:space="preserve"> is reused.</w:t>
            </w:r>
          </w:p>
          <w:p w14:paraId="7B6C6D14" w14:textId="77777777" w:rsidR="00CA7F0A" w:rsidRDefault="00CA7F0A" w:rsidP="00CA7F0A">
            <w:pPr>
              <w:pStyle w:val="ListParagraph"/>
              <w:numPr>
                <w:ilvl w:val="1"/>
                <w:numId w:val="28"/>
              </w:numPr>
              <w:spacing w:after="120"/>
              <w:contextualSpacing w:val="0"/>
              <w:rPr>
                <w:rFonts w:eastAsia="SimSun" w:cs="Times New Roman"/>
                <w:szCs w:val="20"/>
              </w:rPr>
            </w:pPr>
            <w:r>
              <w:rPr>
                <w:rFonts w:eastAsia="SimSun" w:cs="Times New Roman"/>
                <w:szCs w:val="20"/>
              </w:rPr>
              <w:t xml:space="preserve">Option 2: Do not introduce distance-based triggering measurement. </w:t>
            </w:r>
          </w:p>
          <w:p w14:paraId="09A1A4E9" w14:textId="77777777" w:rsidR="00CA7F0A" w:rsidRDefault="00CA7F0A" w:rsidP="00CA7F0A">
            <w:pPr>
              <w:pStyle w:val="ListParagraph"/>
              <w:numPr>
                <w:ilvl w:val="0"/>
                <w:numId w:val="28"/>
              </w:numPr>
              <w:spacing w:after="120"/>
              <w:contextualSpacing w:val="0"/>
              <w:rPr>
                <w:rFonts w:eastAsia="SimSun" w:cs="Times New Roman"/>
                <w:szCs w:val="20"/>
              </w:rPr>
            </w:pPr>
            <w:r>
              <w:rPr>
                <w:rFonts w:eastAsia="SimSun" w:cs="Times New Roman"/>
                <w:szCs w:val="20"/>
              </w:rPr>
              <w:t>Altitude-based solution</w:t>
            </w:r>
          </w:p>
          <w:p w14:paraId="19402FE0" w14:textId="77777777" w:rsidR="00CA7F0A" w:rsidRDefault="00CA7F0A" w:rsidP="00CA7F0A">
            <w:pPr>
              <w:pStyle w:val="ListParagraph"/>
              <w:numPr>
                <w:ilvl w:val="1"/>
                <w:numId w:val="28"/>
              </w:numPr>
              <w:spacing w:after="120"/>
              <w:contextualSpacing w:val="0"/>
              <w:rPr>
                <w:rFonts w:eastAsia="SimSun" w:cs="Times New Roman"/>
                <w:szCs w:val="20"/>
              </w:rPr>
            </w:pPr>
            <w:r>
              <w:rPr>
                <w:rFonts w:eastAsia="SimSun" w:cs="Times New Roman"/>
                <w:szCs w:val="20"/>
              </w:rPr>
              <w:t xml:space="preserve">Common understanding is that ATG UE is turned off lower 3km altitude. </w:t>
            </w:r>
          </w:p>
          <w:p w14:paraId="4E7964D0" w14:textId="77777777" w:rsidR="00CA7F0A" w:rsidRDefault="00CA7F0A" w:rsidP="00CA7F0A">
            <w:pPr>
              <w:pStyle w:val="ListParagraph"/>
              <w:numPr>
                <w:ilvl w:val="1"/>
                <w:numId w:val="28"/>
              </w:numPr>
              <w:spacing w:after="120"/>
              <w:contextualSpacing w:val="0"/>
              <w:rPr>
                <w:rFonts w:eastAsia="SimSun" w:cs="Times New Roman"/>
                <w:szCs w:val="20"/>
              </w:rPr>
            </w:pPr>
            <w:r>
              <w:rPr>
                <w:rFonts w:eastAsia="SimSun" w:cs="Times New Roman"/>
                <w:szCs w:val="20"/>
              </w:rPr>
              <w:t>The ATG RRM requirements apply for ATG UE operating higher than 3km altitude.</w:t>
            </w:r>
          </w:p>
          <w:p w14:paraId="598039E7" w14:textId="77777777" w:rsidR="00DC6211" w:rsidRDefault="00DC6211" w:rsidP="00CA7F0A">
            <w:pPr>
              <w:spacing w:after="120"/>
            </w:pPr>
          </w:p>
          <w:p w14:paraId="39F80477" w14:textId="77777777" w:rsidR="00A858B8" w:rsidRDefault="00A858B8" w:rsidP="00CA7F0A">
            <w:pPr>
              <w:spacing w:after="120"/>
            </w:pPr>
          </w:p>
        </w:tc>
      </w:tr>
    </w:tbl>
    <w:p w14:paraId="5BF09521" w14:textId="77777777" w:rsidR="00DC6211" w:rsidRDefault="00DC6211" w:rsidP="008D7AFA"/>
    <w:p w14:paraId="37300A9D" w14:textId="270C7AD9" w:rsidR="00CA7F0A" w:rsidRDefault="00DC6211" w:rsidP="00CA7F0A">
      <w:r>
        <w:t>Issue 2-</w:t>
      </w:r>
      <w:r w:rsidR="00CA7F0A">
        <w:t>1</w:t>
      </w:r>
      <w:r>
        <w:t xml:space="preserve">-1 discusses whether to </w:t>
      </w:r>
      <w:r w:rsidR="00CA7F0A">
        <w:t>implement distance-based triggering as an additional condition for intra and inter frequency cell measurement as in NTN. First, it is important to have in mind that the mobility framework in ATG and in NTN is slightly different.  The main justification used in NTN to introduce the distance-based measurement initiation was based on two main arguments:</w:t>
      </w:r>
    </w:p>
    <w:p w14:paraId="4914050C" w14:textId="77777777" w:rsidR="00CA7F0A" w:rsidRDefault="00CA7F0A" w:rsidP="00CA7F0A">
      <w:pPr>
        <w:pStyle w:val="ListParagraph"/>
        <w:numPr>
          <w:ilvl w:val="0"/>
          <w:numId w:val="29"/>
        </w:numPr>
      </w:pPr>
      <w:r>
        <w:t xml:space="preserve">especially in NGSO scenarios, the UE was expected to face several reselections a day, caused by the movement of the </w:t>
      </w:r>
      <w:proofErr w:type="gramStart"/>
      <w:r>
        <w:t>satellite</w:t>
      </w:r>
      <w:proofErr w:type="gramEnd"/>
      <w:r>
        <w:t xml:space="preserve"> </w:t>
      </w:r>
    </w:p>
    <w:p w14:paraId="2012794C" w14:textId="77777777" w:rsidR="00CA7F0A" w:rsidRDefault="00CA7F0A" w:rsidP="00CA7F0A">
      <w:pPr>
        <w:pStyle w:val="ListParagraph"/>
        <w:numPr>
          <w:ilvl w:val="0"/>
          <w:numId w:val="29"/>
        </w:numPr>
      </w:pPr>
      <w:r>
        <w:lastRenderedPageBreak/>
        <w:t xml:space="preserve">The “near-far” effect in NTN is much less pronounced than in previous deployments, as the distances between UE and satellite are so large that there was virtually no difference between the propagation conditions observed between the satellite and the closest or the farthest UE in a cell. </w:t>
      </w:r>
    </w:p>
    <w:p w14:paraId="253F7EDB" w14:textId="67EE321B" w:rsidR="00CA7F0A" w:rsidRDefault="00CA7F0A" w:rsidP="00CA7F0A">
      <w:r>
        <w:t xml:space="preserve">This optimization could prevent a UE in Idle mode to be camped in a cell with degrading conditions, to not jeopardize the UE performance in case this UE makes the transition to RRC connected. It is very unclear whether any of these functionalities </w:t>
      </w:r>
      <w:proofErr w:type="gramStart"/>
      <w:r>
        <w:t>is capable of producing</w:t>
      </w:r>
      <w:proofErr w:type="gramEnd"/>
      <w:r>
        <w:t xml:space="preserve"> any gain for ATG UEs, in special considering that IDLE mode mobility is not especially relevant for ATGs. </w:t>
      </w:r>
    </w:p>
    <w:p w14:paraId="24155FDB" w14:textId="1D6DEEDA" w:rsidR="00CA7F0A" w:rsidRDefault="00CA7F0A" w:rsidP="00CA7F0A">
      <w:r>
        <w:t>A more pressing issue regards the availability of the distance threshold parameter.</w:t>
      </w:r>
      <w:r w:rsidR="00A858B8">
        <w:t xml:space="preserve"> </w:t>
      </w:r>
      <w:r>
        <w:t>RAN2 has sent a LS Reply to RAN4 (</w:t>
      </w:r>
      <w:r w:rsidRPr="00F1433D">
        <w:t>R2-2304565</w:t>
      </w:r>
      <w:r>
        <w:t xml:space="preserve">), indicating that they will provide </w:t>
      </w:r>
      <w:proofErr w:type="spellStart"/>
      <w:r>
        <w:t>signalling</w:t>
      </w:r>
      <w:proofErr w:type="spellEnd"/>
      <w:r>
        <w:t xml:space="preserve"> support for indicating the position of the base station (still under discussion whether the diluted or the real position is to be provided). As the adoption of SIB19 for NTN is not clearly defined, it cannot be expected that the </w:t>
      </w:r>
      <w:proofErr w:type="spellStart"/>
      <w:r>
        <w:t>distanceThresh</w:t>
      </w:r>
      <w:proofErr w:type="spellEnd"/>
      <w:r>
        <w:t xml:space="preserve"> parameter will be available for NTN. </w:t>
      </w:r>
    </w:p>
    <w:p w14:paraId="630B2D59" w14:textId="77777777" w:rsidR="00CA7F0A" w:rsidRPr="00F1433D" w:rsidRDefault="00CA7F0A" w:rsidP="00CA7F0A">
      <w:pPr>
        <w:pStyle w:val="RAN4observation0"/>
      </w:pPr>
      <w:bookmarkStart w:id="5" w:name="_Toc131705481"/>
      <w:bookmarkStart w:id="6" w:name="_Toc135071202"/>
      <w:bookmarkStart w:id="7" w:name="_Toc142676252"/>
      <w:r>
        <w:t xml:space="preserve">The distance threshold parameter for cell reselection is broadcast in SIB19. It is still not clear whether RAN2 will utilize SIB19 to </w:t>
      </w:r>
      <w:proofErr w:type="gramStart"/>
      <w:r>
        <w:t>provide assistance</w:t>
      </w:r>
      <w:proofErr w:type="gramEnd"/>
      <w:r>
        <w:t xml:space="preserve"> information to the ATG UE or if this information will be provided in a different SIB.</w:t>
      </w:r>
      <w:bookmarkEnd w:id="5"/>
      <w:bookmarkEnd w:id="6"/>
      <w:bookmarkEnd w:id="7"/>
      <w:r>
        <w:t xml:space="preserve"> </w:t>
      </w:r>
    </w:p>
    <w:p w14:paraId="3ED7928A" w14:textId="77777777" w:rsidR="00CA7F0A" w:rsidRPr="00CA64B0" w:rsidRDefault="00CA7F0A" w:rsidP="00CA7F0A">
      <w:pPr>
        <w:pStyle w:val="RAN4proposal"/>
      </w:pPr>
      <w:bookmarkStart w:id="8" w:name="_Toc131705483"/>
      <w:bookmarkStart w:id="9" w:name="_Toc135071203"/>
      <w:bookmarkStart w:id="10" w:name="_Toc142676253"/>
      <w:r>
        <w:t xml:space="preserve">As it remains unclear whether the distance threshold parameter will be available in ATG, </w:t>
      </w:r>
      <w:bookmarkEnd w:id="8"/>
      <w:r>
        <w:t xml:space="preserve">not using it as an enhancement for cell </w:t>
      </w:r>
      <w:proofErr w:type="gramStart"/>
      <w:r>
        <w:t>reselection</w:t>
      </w:r>
      <w:bookmarkEnd w:id="9"/>
      <w:bookmarkEnd w:id="10"/>
      <w:proofErr w:type="gramEnd"/>
      <w:r>
        <w:t xml:space="preserve"> </w:t>
      </w:r>
    </w:p>
    <w:p w14:paraId="6F1D7E7D" w14:textId="31BEFBD0" w:rsidR="00CA7F0A" w:rsidRDefault="00CA7F0A" w:rsidP="00CA7F0A">
      <w:r>
        <w:t xml:space="preserve">For </w:t>
      </w:r>
      <w:r w:rsidR="00A858B8">
        <w:t>the altitude-based solution</w:t>
      </w:r>
      <w:r>
        <w:t xml:space="preserve">, it is not clear the gains that are harvested from such implementation. The measurement condition for cell reselection is based on the conditions of the serving cell. If the UE is below a “threshold height” but the radio signal conditions are degrading considerable, there is no reason to prevent this UE to perform measurements and move to a more suitable cell. </w:t>
      </w:r>
    </w:p>
    <w:p w14:paraId="598A70C1" w14:textId="77777777" w:rsidR="00CA7F0A" w:rsidRDefault="00CA7F0A" w:rsidP="00CA7F0A">
      <w:r w:rsidRPr="000A3884">
        <w:t>In IDLE Mode, the U</w:t>
      </w:r>
      <w:r>
        <w:t xml:space="preserve">E only perform measurements to evaluate the condition of the serving cell. The main advantage of reducing the number of measurements collected by the UE is to save UE power. </w:t>
      </w:r>
      <w:proofErr w:type="gramStart"/>
      <w:r>
        <w:t>But,</w:t>
      </w:r>
      <w:proofErr w:type="gramEnd"/>
      <w:r>
        <w:t xml:space="preserve"> this gain is rather limited and almost negligible:</w:t>
      </w:r>
    </w:p>
    <w:p w14:paraId="2F1472F5" w14:textId="77777777" w:rsidR="00CA7F0A" w:rsidRDefault="00CA7F0A" w:rsidP="00CA7F0A">
      <w:pPr>
        <w:pStyle w:val="ListParagraph"/>
        <w:numPr>
          <w:ilvl w:val="0"/>
          <w:numId w:val="30"/>
        </w:numPr>
      </w:pPr>
      <w:r>
        <w:t>Aircrafts on the ground have very low mobility for most of the time. Unless they are landing or taking off, it is unlikely that the ATG UE will be moving in a very significant manner</w:t>
      </w:r>
      <w:r w:rsidRPr="00536E7B">
        <w:rPr>
          <w:b/>
          <w:bCs/>
        </w:rPr>
        <w:t>. Measurement relaxation for UEs with low mobility</w:t>
      </w:r>
      <w:r>
        <w:rPr>
          <w:b/>
          <w:bCs/>
        </w:rPr>
        <w:t xml:space="preserve"> and/or not at cell edge</w:t>
      </w:r>
      <w:r>
        <w:t xml:space="preserve"> can already be used here to minimize the impact of IDLE mode measurements. </w:t>
      </w:r>
    </w:p>
    <w:p w14:paraId="3E8AE87C" w14:textId="77777777" w:rsidR="00CA7F0A" w:rsidRDefault="00CA7F0A" w:rsidP="00CA7F0A">
      <w:pPr>
        <w:pStyle w:val="ListParagraph"/>
        <w:numPr>
          <w:ilvl w:val="0"/>
          <w:numId w:val="30"/>
        </w:numPr>
      </w:pPr>
      <w:r>
        <w:t xml:space="preserve">If the aircrafts are on the </w:t>
      </w:r>
      <w:proofErr w:type="gramStart"/>
      <w:r>
        <w:t>ground</w:t>
      </w:r>
      <w:proofErr w:type="gramEnd"/>
      <w:r>
        <w:t xml:space="preserve"> it is more likely that the CPE will be turned off. It is more likely that the CPE in the aircraft will be turned on when the aircraft is close to start moving. Therefore, creating extra exception for IDLE mode mobility does not seem justifiable here. </w:t>
      </w:r>
    </w:p>
    <w:p w14:paraId="5EC73113" w14:textId="749A26B7" w:rsidR="00A858B8" w:rsidRDefault="00A858B8" w:rsidP="0039562D">
      <w:bookmarkStart w:id="11" w:name="_Toc131688702"/>
      <w:bookmarkStart w:id="12" w:name="_Toc135071204"/>
      <w:r>
        <w:t>Besides, adopting such enhancement for cell reselection procedure would require the involvement of RAN2 (TS 38.331, 38.300 and 38.304). There are no RAN2 allocations for the present WID.</w:t>
      </w:r>
    </w:p>
    <w:p w14:paraId="2D2AE660" w14:textId="78AFB5E5" w:rsidR="00A858B8" w:rsidRPr="00A858B8" w:rsidRDefault="00A858B8" w:rsidP="00A858B8">
      <w:pPr>
        <w:pStyle w:val="RAN4observation0"/>
      </w:pPr>
      <w:bookmarkStart w:id="13" w:name="_Toc142676254"/>
      <w:r>
        <w:t>Adopting such enhancement for cell reselection procedure would require the involvement of RAN2 (TS 38.331, 38.300 and 38.304). There are no RAN2 allocations for the present WID.</w:t>
      </w:r>
      <w:bookmarkEnd w:id="13"/>
    </w:p>
    <w:p w14:paraId="7205C1D3" w14:textId="675263AF" w:rsidR="00CA7F0A" w:rsidRDefault="00CA7F0A" w:rsidP="00CA7F0A">
      <w:pPr>
        <w:pStyle w:val="RAN4proposal"/>
      </w:pPr>
      <w:bookmarkStart w:id="14" w:name="_Toc142676255"/>
      <w:r>
        <w:t>Do not introduce height-dependent requirements for measurement procedures for ATG UES.</w:t>
      </w:r>
      <w:bookmarkEnd w:id="11"/>
      <w:bookmarkEnd w:id="12"/>
      <w:bookmarkEnd w:id="14"/>
    </w:p>
    <w:p w14:paraId="2ABACD71" w14:textId="77777777" w:rsidR="0060543D" w:rsidRDefault="0060543D" w:rsidP="00300956"/>
    <w:p w14:paraId="7E7D3886" w14:textId="77777777" w:rsidR="0060543D" w:rsidRPr="008C39F7" w:rsidRDefault="0060543D" w:rsidP="0060543D"/>
    <w:p w14:paraId="24EE580E" w14:textId="77777777" w:rsidR="0060543D" w:rsidRPr="008C39F7" w:rsidRDefault="0060543D" w:rsidP="0060543D"/>
    <w:p w14:paraId="66B4CFCD" w14:textId="77777777" w:rsidR="00CD7492" w:rsidRPr="008C39F7" w:rsidRDefault="00CD7492" w:rsidP="00A37002">
      <w:pPr>
        <w:pStyle w:val="RAN4H1"/>
      </w:pPr>
      <w:bookmarkStart w:id="15" w:name="_Toc116995848"/>
      <w:r w:rsidRPr="008C39F7">
        <w:t>Conclusion</w:t>
      </w:r>
      <w:bookmarkEnd w:id="15"/>
    </w:p>
    <w:p w14:paraId="4194C696" w14:textId="1440D144" w:rsidR="008B0961" w:rsidRDefault="00B72751" w:rsidP="005C23A4">
      <w:r>
        <w:t>In what concerns the open issues for mobility requirements for ATG, in special related to cell reselection requirements, our technical discussion has led to the following set of observations and proposals as a conclusion:</w:t>
      </w:r>
    </w:p>
    <w:p w14:paraId="07A46C70" w14:textId="77777777" w:rsidR="00B72751" w:rsidRPr="008C39F7" w:rsidRDefault="00B72751" w:rsidP="005C23A4"/>
    <w:bookmarkStart w:id="16" w:name="_Toc116995849"/>
    <w:p w14:paraId="79C09832" w14:textId="6A380847" w:rsidR="0039562D" w:rsidRDefault="00B72751">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76252" w:history="1">
        <w:r w:rsidR="0039562D" w:rsidRPr="00284060">
          <w:rPr>
            <w:rStyle w:val="Hyperlink"/>
          </w:rPr>
          <w:t>Observation 1: The distance threshold parameter for cell reselection is broadcast in SIB19. It is still not clear whether RAN2 will utilize SIB19 to provide assistance information to the ATG UE or if this information will be provided in a different SIB.</w:t>
        </w:r>
      </w:hyperlink>
    </w:p>
    <w:p w14:paraId="6C9BB790" w14:textId="30BC28FE" w:rsidR="0039562D" w:rsidRDefault="0039562D">
      <w:pPr>
        <w:pStyle w:val="TOC1"/>
        <w:rPr>
          <w:rFonts w:asciiTheme="minorHAnsi" w:eastAsiaTheme="minorEastAsia" w:hAnsiTheme="minorHAnsi"/>
          <w:b w:val="0"/>
          <w:iCs w:val="0"/>
          <w:kern w:val="2"/>
          <w:sz w:val="22"/>
          <w:lang w:val="en-GB" w:eastAsia="en-GB"/>
          <w14:ligatures w14:val="standardContextual"/>
        </w:rPr>
      </w:pPr>
      <w:hyperlink w:anchor="_Toc142676253" w:history="1">
        <w:r w:rsidRPr="00284060">
          <w:rPr>
            <w:rStyle w:val="Hyperlink"/>
          </w:rPr>
          <w:t>Proposal 1: As it remains unclear whether the distance threshold parameter will be available in ATG, not using it as an enhancement for cell reselection</w:t>
        </w:r>
      </w:hyperlink>
    </w:p>
    <w:p w14:paraId="2CDE03D4" w14:textId="0D0633F3" w:rsidR="0039562D" w:rsidRDefault="0039562D">
      <w:pPr>
        <w:pStyle w:val="TOC1"/>
        <w:rPr>
          <w:rFonts w:asciiTheme="minorHAnsi" w:eastAsiaTheme="minorEastAsia" w:hAnsiTheme="minorHAnsi"/>
          <w:b w:val="0"/>
          <w:iCs w:val="0"/>
          <w:kern w:val="2"/>
          <w:sz w:val="22"/>
          <w:lang w:val="en-GB" w:eastAsia="en-GB"/>
          <w14:ligatures w14:val="standardContextual"/>
        </w:rPr>
      </w:pPr>
      <w:hyperlink w:anchor="_Toc142676254" w:history="1">
        <w:r w:rsidRPr="00284060">
          <w:rPr>
            <w:rStyle w:val="Hyperlink"/>
          </w:rPr>
          <w:t>Observation 2: Adopting such enhancement for cell reselection procedure would require the involvement of RAN2 (TS 38.331, 38.300 and 38.304). There are no RAN2 allocations for the present WID.</w:t>
        </w:r>
      </w:hyperlink>
    </w:p>
    <w:p w14:paraId="5C45A0E0" w14:textId="24386ABB" w:rsidR="0039562D" w:rsidRDefault="0039562D">
      <w:pPr>
        <w:pStyle w:val="TOC1"/>
        <w:rPr>
          <w:rFonts w:asciiTheme="minorHAnsi" w:eastAsiaTheme="minorEastAsia" w:hAnsiTheme="minorHAnsi"/>
          <w:b w:val="0"/>
          <w:iCs w:val="0"/>
          <w:kern w:val="2"/>
          <w:sz w:val="22"/>
          <w:lang w:val="en-GB" w:eastAsia="en-GB"/>
          <w14:ligatures w14:val="standardContextual"/>
        </w:rPr>
      </w:pPr>
      <w:hyperlink w:anchor="_Toc142676255" w:history="1">
        <w:r w:rsidRPr="00284060">
          <w:rPr>
            <w:rStyle w:val="Hyperlink"/>
          </w:rPr>
          <w:t>Proposal 2: Do not introduce height-dependent requirements for measurement procedures for ATG UES.</w:t>
        </w:r>
      </w:hyperlink>
    </w:p>
    <w:p w14:paraId="30F2C0D2" w14:textId="76398870" w:rsidR="00847264" w:rsidRPr="008C39F7" w:rsidRDefault="00B72751" w:rsidP="008C39F7">
      <w:r>
        <w:fldChar w:fldCharType="end"/>
      </w:r>
    </w:p>
    <w:p w14:paraId="6BDC11C0" w14:textId="77777777" w:rsidR="003B659E" w:rsidRPr="008C39F7" w:rsidRDefault="003B659E" w:rsidP="0060543D">
      <w:pPr>
        <w:pStyle w:val="RAN4H1"/>
        <w:numPr>
          <w:ilvl w:val="0"/>
          <w:numId w:val="0"/>
        </w:numPr>
        <w:ind w:left="360" w:hanging="360"/>
      </w:pPr>
      <w:r w:rsidRPr="008C39F7">
        <w:t>References</w:t>
      </w:r>
      <w:bookmarkEnd w:id="16"/>
    </w:p>
    <w:p w14:paraId="5572B5DD" w14:textId="77777777" w:rsidR="008D7AFA" w:rsidRPr="003C4FDE" w:rsidRDefault="008D7AFA" w:rsidP="008D7AFA">
      <w:pPr>
        <w:pStyle w:val="ListParagraph"/>
        <w:numPr>
          <w:ilvl w:val="0"/>
          <w:numId w:val="21"/>
        </w:numPr>
        <w:ind w:right="-22"/>
      </w:pPr>
      <w:bookmarkStart w:id="17" w:name="_Ref114500673"/>
      <w:bookmarkStart w:id="18" w:name="_Ref131674798"/>
      <w:bookmarkEnd w:id="17"/>
      <w:r w:rsidRPr="00935232">
        <w:t>RP-220962</w:t>
      </w:r>
      <w:r w:rsidRPr="003C4FDE">
        <w:t xml:space="preserve">, </w:t>
      </w:r>
      <w:r>
        <w:t>“</w:t>
      </w:r>
      <w:r w:rsidRPr="00935232">
        <w:rPr>
          <w:i/>
          <w:iCs/>
        </w:rPr>
        <w:t>New WID: Air-to-ground network for NR</w:t>
      </w:r>
      <w:r>
        <w:rPr>
          <w:i/>
          <w:iCs/>
        </w:rPr>
        <w:t>”</w:t>
      </w:r>
      <w:r w:rsidRPr="003C4FDE">
        <w:t xml:space="preserve">, </w:t>
      </w:r>
      <w:r w:rsidRPr="00935232">
        <w:t>CMCC</w:t>
      </w:r>
      <w:r w:rsidRPr="003C4FDE">
        <w:t>, RAN #</w:t>
      </w:r>
      <w:r>
        <w:t>95-e</w:t>
      </w:r>
      <w:r w:rsidRPr="003C4FDE">
        <w:t xml:space="preserve">, </w:t>
      </w:r>
      <w:r>
        <w:t>March 17 – March 23</w:t>
      </w:r>
      <w:r w:rsidRPr="003C4FDE">
        <w:t>, 2022.</w:t>
      </w:r>
      <w:bookmarkEnd w:id="18"/>
      <w:r w:rsidRPr="003C4FDE">
        <w:t xml:space="preserve"> </w:t>
      </w:r>
    </w:p>
    <w:p w14:paraId="2CB7BA06" w14:textId="77777777" w:rsidR="008D7AFA" w:rsidRPr="00893330" w:rsidRDefault="008D7AFA" w:rsidP="008D7AFA">
      <w:pPr>
        <w:pStyle w:val="ListParagraph"/>
        <w:numPr>
          <w:ilvl w:val="0"/>
          <w:numId w:val="21"/>
        </w:numPr>
        <w:ind w:right="-22"/>
      </w:pPr>
      <w:bookmarkStart w:id="19" w:name="_Ref131678419"/>
      <w:r w:rsidRPr="00F1433D">
        <w:t>R4-2306344</w:t>
      </w:r>
      <w:r w:rsidRPr="003C4FDE">
        <w:t xml:space="preserve">, </w:t>
      </w:r>
      <w:r>
        <w:t>“</w:t>
      </w:r>
      <w:r w:rsidRPr="008D142A">
        <w:rPr>
          <w:i/>
          <w:iCs/>
        </w:rPr>
        <w:t>WF on NR ATG RRM requirements</w:t>
      </w:r>
      <w:r>
        <w:rPr>
          <w:i/>
          <w:iCs/>
        </w:rPr>
        <w:t>”</w:t>
      </w:r>
      <w:r w:rsidRPr="003C4FDE">
        <w:t xml:space="preserve">, </w:t>
      </w:r>
      <w:r w:rsidRPr="00935232">
        <w:t>CMCC</w:t>
      </w:r>
      <w:r w:rsidRPr="003C4FDE">
        <w:t>, RAN</w:t>
      </w:r>
      <w:r>
        <w:t>4</w:t>
      </w:r>
      <w:r w:rsidRPr="003C4FDE">
        <w:t xml:space="preserve"> #</w:t>
      </w:r>
      <w:r>
        <w:t>106</w:t>
      </w:r>
      <w:r w:rsidRPr="003C4FDE">
        <w:t xml:space="preserve">, </w:t>
      </w:r>
      <w:r>
        <w:t>Feb 27 – March 03</w:t>
      </w:r>
      <w:r w:rsidRPr="003C4FDE">
        <w:t>, 202</w:t>
      </w:r>
      <w:r>
        <w:t>3, Athens, Greece</w:t>
      </w:r>
      <w:bookmarkEnd w:id="19"/>
      <w:r w:rsidRPr="003C4FDE">
        <w:t xml:space="preserve"> </w:t>
      </w:r>
    </w:p>
    <w:p w14:paraId="03401469" w14:textId="7E31BED4" w:rsidR="000040DC" w:rsidRPr="00847264" w:rsidRDefault="000040DC" w:rsidP="008D7AFA">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1C2D" w14:textId="77777777" w:rsidR="008D7AFA" w:rsidRDefault="008D7AFA" w:rsidP="00001C9B">
      <w:pPr>
        <w:spacing w:after="0" w:line="240" w:lineRule="auto"/>
      </w:pPr>
      <w:r>
        <w:separator/>
      </w:r>
    </w:p>
  </w:endnote>
  <w:endnote w:type="continuationSeparator" w:id="0">
    <w:p w14:paraId="0205A60B" w14:textId="77777777" w:rsidR="008D7AFA" w:rsidRDefault="008D7AF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7C1F" w14:textId="77777777" w:rsidR="008D7AFA" w:rsidRDefault="008D7AFA" w:rsidP="00001C9B">
      <w:pPr>
        <w:spacing w:after="0" w:line="240" w:lineRule="auto"/>
      </w:pPr>
      <w:r>
        <w:separator/>
      </w:r>
    </w:p>
  </w:footnote>
  <w:footnote w:type="continuationSeparator" w:id="0">
    <w:p w14:paraId="0C454EF4" w14:textId="77777777" w:rsidR="008D7AFA" w:rsidRDefault="008D7AF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558BC"/>
    <w:multiLevelType w:val="hybridMultilevel"/>
    <w:tmpl w:val="AC049B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EF03D0F"/>
    <w:multiLevelType w:val="hybridMultilevel"/>
    <w:tmpl w:val="690ED3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38942373">
    <w:abstractNumId w:val="3"/>
  </w:num>
  <w:num w:numId="28" w16cid:durableId="1971981234">
    <w:abstractNumId w:val="12"/>
  </w:num>
  <w:num w:numId="29" w16cid:durableId="883445118">
    <w:abstractNumId w:val="16"/>
  </w:num>
  <w:num w:numId="30" w16cid:durableId="3841863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7AFA"/>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09DF"/>
    <w:rsid w:val="00356F45"/>
    <w:rsid w:val="00366B74"/>
    <w:rsid w:val="0039562D"/>
    <w:rsid w:val="003A710A"/>
    <w:rsid w:val="003B659E"/>
    <w:rsid w:val="003C275E"/>
    <w:rsid w:val="003C4FDE"/>
    <w:rsid w:val="003E58DF"/>
    <w:rsid w:val="00404C4C"/>
    <w:rsid w:val="00410BA8"/>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47264"/>
    <w:rsid w:val="00851A8E"/>
    <w:rsid w:val="0085365B"/>
    <w:rsid w:val="008826C1"/>
    <w:rsid w:val="00883DFD"/>
    <w:rsid w:val="008A1BF7"/>
    <w:rsid w:val="008A5B0E"/>
    <w:rsid w:val="008B0961"/>
    <w:rsid w:val="008C39F7"/>
    <w:rsid w:val="008D7AFA"/>
    <w:rsid w:val="0090091A"/>
    <w:rsid w:val="009042BD"/>
    <w:rsid w:val="00904FE4"/>
    <w:rsid w:val="00936159"/>
    <w:rsid w:val="00952012"/>
    <w:rsid w:val="00977E1D"/>
    <w:rsid w:val="009B0573"/>
    <w:rsid w:val="009B7B4B"/>
    <w:rsid w:val="009B7C21"/>
    <w:rsid w:val="00A04992"/>
    <w:rsid w:val="00A147AA"/>
    <w:rsid w:val="00A21D71"/>
    <w:rsid w:val="00A22B78"/>
    <w:rsid w:val="00A25AE5"/>
    <w:rsid w:val="00A37002"/>
    <w:rsid w:val="00A4355E"/>
    <w:rsid w:val="00A520D9"/>
    <w:rsid w:val="00A858B8"/>
    <w:rsid w:val="00A92BCD"/>
    <w:rsid w:val="00AA1B0E"/>
    <w:rsid w:val="00AA47B6"/>
    <w:rsid w:val="00AC163B"/>
    <w:rsid w:val="00AC5CA7"/>
    <w:rsid w:val="00AC6058"/>
    <w:rsid w:val="00AE2BA5"/>
    <w:rsid w:val="00AE56B1"/>
    <w:rsid w:val="00AE6D09"/>
    <w:rsid w:val="00AF7A7C"/>
    <w:rsid w:val="00B02070"/>
    <w:rsid w:val="00B408B6"/>
    <w:rsid w:val="00B542DA"/>
    <w:rsid w:val="00B72751"/>
    <w:rsid w:val="00B73862"/>
    <w:rsid w:val="00B73F43"/>
    <w:rsid w:val="00B75BBF"/>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A7F0A"/>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621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D2FA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8CD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BA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B7275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8D7AFA"/>
    <w:rPr>
      <w:b/>
    </w:rPr>
  </w:style>
  <w:style w:type="paragraph" w:customStyle="1" w:styleId="TAC">
    <w:name w:val="TAC"/>
    <w:basedOn w:val="Normal"/>
    <w:link w:val="TACChar"/>
    <w:rsid w:val="008D7AF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8D7AFA"/>
    <w:rPr>
      <w:rFonts w:ascii="Arial" w:eastAsia="Times New Roman" w:hAnsi="Arial" w:cs="Times New Roman"/>
      <w:sz w:val="18"/>
      <w:szCs w:val="20"/>
      <w:lang w:val="en-GB" w:eastAsia="en-GB"/>
    </w:rPr>
  </w:style>
  <w:style w:type="character" w:customStyle="1" w:styleId="TAHCar">
    <w:name w:val="TAH Car"/>
    <w:link w:val="TAH"/>
    <w:qFormat/>
    <w:rsid w:val="008D7AFA"/>
    <w:rPr>
      <w:rFonts w:ascii="Arial" w:eastAsia="Times New Roman" w:hAnsi="Arial" w:cs="Times New Roman"/>
      <w:b/>
      <w:sz w:val="18"/>
      <w:szCs w:val="20"/>
      <w:lang w:val="en-GB" w:eastAsia="en-GB"/>
    </w:rPr>
  </w:style>
  <w:style w:type="paragraph" w:customStyle="1" w:styleId="TH">
    <w:name w:val="TH"/>
    <w:basedOn w:val="Normal"/>
    <w:link w:val="THChar"/>
    <w:rsid w:val="008D7AF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8D7AFA"/>
    <w:rPr>
      <w:rFonts w:ascii="Arial" w:eastAsia="Times New Roman" w:hAnsi="Arial" w:cs="Times New Roman"/>
      <w:b/>
      <w:sz w:val="20"/>
      <w:szCs w:val="20"/>
      <w:lang w:val="en-GB" w:eastAsia="en-GB"/>
    </w:rPr>
  </w:style>
  <w:style w:type="paragraph" w:customStyle="1" w:styleId="TAN">
    <w:name w:val="TAN"/>
    <w:basedOn w:val="Normal"/>
    <w:link w:val="TANChar"/>
    <w:rsid w:val="008D7AF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8D7AFA"/>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520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2012"/>
    <w:rPr>
      <w:rFonts w:ascii="Times New Roman" w:hAnsi="Times New Roman"/>
      <w:sz w:val="20"/>
    </w:rPr>
  </w:style>
  <w:style w:type="paragraph" w:styleId="Footer">
    <w:name w:val="footer"/>
    <w:basedOn w:val="Normal"/>
    <w:link w:val="FooterChar"/>
    <w:uiPriority w:val="99"/>
    <w:unhideWhenUsed/>
    <w:rsid w:val="009520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201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795583">
      <w:bodyDiv w:val="1"/>
      <w:marLeft w:val="0"/>
      <w:marRight w:val="0"/>
      <w:marTop w:val="0"/>
      <w:marBottom w:val="0"/>
      <w:divBdr>
        <w:top w:val="none" w:sz="0" w:space="0" w:color="auto"/>
        <w:left w:val="none" w:sz="0" w:space="0" w:color="auto"/>
        <w:bottom w:val="none" w:sz="0" w:space="0" w:color="auto"/>
        <w:right w:val="none" w:sz="0" w:space="0" w:color="auto"/>
      </w:divBdr>
    </w:div>
    <w:div w:id="967705773">
      <w:bodyDiv w:val="1"/>
      <w:marLeft w:val="0"/>
      <w:marRight w:val="0"/>
      <w:marTop w:val="0"/>
      <w:marBottom w:val="0"/>
      <w:divBdr>
        <w:top w:val="none" w:sz="0" w:space="0" w:color="auto"/>
        <w:left w:val="none" w:sz="0" w:space="0" w:color="auto"/>
        <w:bottom w:val="none" w:sz="0" w:space="0" w:color="auto"/>
        <w:right w:val="none" w:sz="0" w:space="0" w:color="auto"/>
      </w:divBdr>
    </w:div>
    <w:div w:id="125609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5797</Characters>
  <Application>Microsoft Office Word</Application>
  <DocSecurity>0</DocSecurity>
  <Lines>48</Lines>
  <Paragraphs>13</Paragraphs>
  <ScaleCrop>false</ScaleCrop>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2023-08-11T17:42:00Z</dcterms:created>
  <dcterms:modified xsi:type="dcterms:W3CDTF">2023-08-11T17:57:00Z</dcterms:modified>
</cp:coreProperties>
</file>