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9EBE0" w14:textId="298D98B4"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00CB4329" w:rsidRPr="00CB4329">
        <w:rPr>
          <w:rFonts w:ascii="Arial" w:eastAsia="SimSun" w:hAnsi="Arial" w:cs="Times New Roman"/>
          <w:b/>
          <w:bCs/>
          <w:sz w:val="24"/>
          <w:szCs w:val="20"/>
          <w:lang w:eastAsia="ja-JP"/>
        </w:rPr>
        <w:t>R4-2313428</w:t>
      </w:r>
    </w:p>
    <w:p w14:paraId="5F0AB888" w14:textId="77777777" w:rsidR="00841BCD" w:rsidRPr="008C39F7" w:rsidRDefault="003509DF"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 21-25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3956102D"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5B74ED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545936D2" w14:textId="02C1B9F6"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2D2E3E">
        <w:rPr>
          <w:rFonts w:ascii="Arial" w:eastAsia="Calibri" w:hAnsi="Arial" w:cs="Arial"/>
          <w:b/>
          <w:bCs/>
          <w:sz w:val="24"/>
        </w:rPr>
        <w:t>Discussion on NB-IoT performance part</w:t>
      </w:r>
      <w:r w:rsidR="007C1696" w:rsidRPr="008C39F7">
        <w:rPr>
          <w:rFonts w:ascii="Arial" w:eastAsia="Calibri" w:hAnsi="Arial" w:cs="Arial"/>
          <w:b/>
          <w:bCs/>
          <w:sz w:val="24"/>
        </w:rPr>
        <w:t xml:space="preserve"> </w:t>
      </w:r>
      <w:r w:rsidR="009275BC">
        <w:rPr>
          <w:rFonts w:ascii="Arial" w:eastAsia="Calibri" w:hAnsi="Arial" w:cs="Arial"/>
          <w:b/>
          <w:bCs/>
          <w:sz w:val="24"/>
        </w:rPr>
        <w:t>for NTN</w:t>
      </w:r>
    </w:p>
    <w:p w14:paraId="7D98FB84" w14:textId="19B3AB21"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2D2E3E">
        <w:rPr>
          <w:rFonts w:ascii="Arial" w:eastAsia="MS Mincho" w:hAnsi="Arial" w:cs="Arial"/>
          <w:b/>
          <w:bCs/>
          <w:sz w:val="24"/>
          <w:szCs w:val="20"/>
        </w:rPr>
        <w:t>6.8.4</w:t>
      </w:r>
    </w:p>
    <w:p w14:paraId="70F5E000"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239F5351" w14:textId="77777777" w:rsidR="00E323E9" w:rsidRPr="008C39F7" w:rsidRDefault="00E323E9" w:rsidP="00841BCD">
      <w:pPr>
        <w:tabs>
          <w:tab w:val="left" w:pos="1985"/>
        </w:tabs>
        <w:rPr>
          <w:rFonts w:ascii="Arial" w:eastAsia="Calibri" w:hAnsi="Arial" w:cs="Arial"/>
          <w:b/>
          <w:bCs/>
          <w:sz w:val="24"/>
        </w:rPr>
      </w:pPr>
    </w:p>
    <w:p w14:paraId="324C12E2"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0F87AA16" w14:textId="77777777" w:rsidR="002D2E3E" w:rsidRDefault="002D2E3E" w:rsidP="002D2E3E">
      <w:r>
        <w:t xml:space="preserve">In Rel-17, support for NB-IoT and </w:t>
      </w:r>
      <w:proofErr w:type="spellStart"/>
      <w:r>
        <w:t>eMTC</w:t>
      </w:r>
      <w:proofErr w:type="spellEnd"/>
      <w:r>
        <w:t xml:space="preserve"> over NTN was studied in [1] and defined in RAN1, RAN2, and RAN3 under the Work Item described in [2]. RAN4 requirements will be defined in a release-independent manner in Rel-18. The work was initiated in the RAN4 #104 meeting and must be continued following the WF from previous meetings and the WID [3]. </w:t>
      </w:r>
    </w:p>
    <w:p w14:paraId="6294BB2C" w14:textId="77777777" w:rsidR="002D2E3E" w:rsidRDefault="002D2E3E" w:rsidP="002D2E3E">
      <w:r>
        <w:t xml:space="preserve">In meeting RAN4 #106-bis, the discussion on the WI has progressed and some issues were identified and left for further studies on the Way-Forward approved in that meeting [4]. </w:t>
      </w:r>
    </w:p>
    <w:p w14:paraId="792B6CD2" w14:textId="7EDD7520" w:rsidR="00A520D9" w:rsidRPr="008C39F7" w:rsidRDefault="002D2E3E" w:rsidP="002D2E3E">
      <w:r>
        <w:t>In this document, Nokia’s views regarding the following topics are presented regarding the open issues on discontinuous coverage aspects including the measurement relaxation of the measurements on the serving cell.</w:t>
      </w:r>
    </w:p>
    <w:p w14:paraId="11FAB219" w14:textId="77777777" w:rsidR="0060543D" w:rsidRPr="008C39F7" w:rsidRDefault="0060543D" w:rsidP="005C23A4"/>
    <w:p w14:paraId="598F1BA8" w14:textId="77777777" w:rsidR="003B659E" w:rsidRPr="008C39F7" w:rsidRDefault="003B659E" w:rsidP="00AE56B1">
      <w:pPr>
        <w:pStyle w:val="RAN4H1"/>
      </w:pPr>
      <w:bookmarkStart w:id="4" w:name="_Toc116995842"/>
      <w:r w:rsidRPr="008C39F7">
        <w:t>Discussion</w:t>
      </w:r>
      <w:bookmarkEnd w:id="4"/>
    </w:p>
    <w:p w14:paraId="20948175" w14:textId="7A25CBBD" w:rsidR="002D2E3E" w:rsidRDefault="002D2E3E" w:rsidP="00300956">
      <w:r>
        <w:t xml:space="preserve">Most of the work related to the performance part has been finalized in the past meetings. From </w:t>
      </w:r>
      <w:r>
        <w:fldChar w:fldCharType="begin"/>
      </w:r>
      <w:r>
        <w:instrText xml:space="preserve"> REF _Ref127447438 \r \h </w:instrText>
      </w:r>
      <w:r>
        <w:fldChar w:fldCharType="separate"/>
      </w:r>
      <w:r>
        <w:t>[4]</w:t>
      </w:r>
      <w:r>
        <w:fldChar w:fldCharType="end"/>
      </w:r>
      <w:r>
        <w:t xml:space="preserve">, </w:t>
      </w:r>
      <w:proofErr w:type="gramStart"/>
      <w:r>
        <w:t>it is clear that most</w:t>
      </w:r>
      <w:proofErr w:type="gramEnd"/>
      <w:r>
        <w:t xml:space="preserve"> open issues and issues left as FFS have been addressed for this Work Item. However, there are still some few pending issues under discussion. </w:t>
      </w:r>
    </w:p>
    <w:p w14:paraId="5F52782C" w14:textId="2F594765" w:rsidR="002D2E3E" w:rsidRDefault="002D2E3E" w:rsidP="00300956">
      <w:r>
        <w:t xml:space="preserve">The first of them refers to the PHR reporting tables. </w:t>
      </w:r>
    </w:p>
    <w:tbl>
      <w:tblPr>
        <w:tblStyle w:val="TableGrid"/>
        <w:tblW w:w="0" w:type="auto"/>
        <w:tblLook w:val="04A0" w:firstRow="1" w:lastRow="0" w:firstColumn="1" w:lastColumn="0" w:noHBand="0" w:noVBand="1"/>
      </w:tblPr>
      <w:tblGrid>
        <w:gridCol w:w="9617"/>
      </w:tblGrid>
      <w:tr w:rsidR="002D2E3E" w14:paraId="07E8DB58" w14:textId="77777777" w:rsidTr="002D2E3E">
        <w:tc>
          <w:tcPr>
            <w:tcW w:w="9617" w:type="dxa"/>
          </w:tcPr>
          <w:p w14:paraId="0B338242" w14:textId="77777777" w:rsidR="002D2E3E" w:rsidRPr="00053F26" w:rsidRDefault="002D2E3E" w:rsidP="002D2E3E">
            <w:pPr>
              <w:keepNext/>
              <w:keepLines/>
              <w:spacing w:before="120"/>
              <w:outlineLvl w:val="3"/>
              <w:rPr>
                <w:rFonts w:ascii="Arial" w:hAnsi="Arial" w:cs="Arial"/>
                <w:sz w:val="24"/>
                <w:szCs w:val="18"/>
                <w:lang w:val="sv-SE" w:eastAsia="zh-CN"/>
              </w:rPr>
            </w:pPr>
            <w:proofErr w:type="spellStart"/>
            <w:r w:rsidRPr="00053F26">
              <w:rPr>
                <w:rFonts w:ascii="Arial" w:hAnsi="Arial" w:cs="Arial"/>
                <w:sz w:val="24"/>
                <w:szCs w:val="18"/>
                <w:lang w:val="sv-SE" w:eastAsia="zh-CN"/>
              </w:rPr>
              <w:t>Issue</w:t>
            </w:r>
            <w:proofErr w:type="spellEnd"/>
            <w:r w:rsidRPr="00053F26">
              <w:rPr>
                <w:rFonts w:ascii="Arial" w:hAnsi="Arial" w:cs="Arial"/>
                <w:sz w:val="24"/>
                <w:szCs w:val="18"/>
                <w:lang w:val="sv-SE" w:eastAsia="zh-CN"/>
              </w:rPr>
              <w:t xml:space="preserve"> 1: PHR </w:t>
            </w:r>
            <w:proofErr w:type="spellStart"/>
            <w:r w:rsidRPr="00053F26">
              <w:rPr>
                <w:rFonts w:ascii="Arial" w:hAnsi="Arial" w:cs="Arial"/>
                <w:sz w:val="24"/>
                <w:szCs w:val="18"/>
                <w:lang w:val="sv-SE" w:eastAsia="zh-CN"/>
              </w:rPr>
              <w:t>reporting</w:t>
            </w:r>
            <w:proofErr w:type="spellEnd"/>
            <w:r w:rsidRPr="00053F26">
              <w:rPr>
                <w:rFonts w:ascii="Arial" w:hAnsi="Arial" w:cs="Arial"/>
                <w:sz w:val="24"/>
                <w:szCs w:val="18"/>
                <w:lang w:val="sv-SE" w:eastAsia="zh-CN"/>
              </w:rPr>
              <w:t xml:space="preserve"> for NB-</w:t>
            </w:r>
            <w:proofErr w:type="spellStart"/>
            <w:r w:rsidRPr="00053F26">
              <w:rPr>
                <w:rFonts w:ascii="Arial" w:hAnsi="Arial" w:cs="Arial"/>
                <w:sz w:val="24"/>
                <w:szCs w:val="18"/>
                <w:lang w:val="sv-SE" w:eastAsia="zh-CN"/>
              </w:rPr>
              <w:t>IoT</w:t>
            </w:r>
            <w:proofErr w:type="spellEnd"/>
            <w:r w:rsidRPr="00053F26">
              <w:rPr>
                <w:rFonts w:ascii="Arial" w:hAnsi="Arial" w:cs="Arial"/>
                <w:sz w:val="24"/>
                <w:szCs w:val="18"/>
                <w:lang w:val="sv-SE" w:eastAsia="zh-CN"/>
              </w:rPr>
              <w:t xml:space="preserve"> in GEO</w:t>
            </w:r>
          </w:p>
          <w:p w14:paraId="5218D5CC" w14:textId="77777777" w:rsidR="002D2E3E" w:rsidRPr="00A72D9A" w:rsidRDefault="002D2E3E" w:rsidP="002D2E3E">
            <w:pPr>
              <w:numPr>
                <w:ilvl w:val="0"/>
                <w:numId w:val="28"/>
              </w:numPr>
              <w:overflowPunct w:val="0"/>
              <w:autoSpaceDE w:val="0"/>
              <w:autoSpaceDN w:val="0"/>
              <w:adjustRightInd w:val="0"/>
              <w:spacing w:after="120" w:line="252" w:lineRule="auto"/>
              <w:ind w:left="644"/>
              <w:textAlignment w:val="baseline"/>
              <w:rPr>
                <w:szCs w:val="24"/>
                <w:highlight w:val="green"/>
                <w:lang w:eastAsia="ja-JP"/>
              </w:rPr>
            </w:pPr>
            <w:r w:rsidRPr="00A72D9A">
              <w:rPr>
                <w:szCs w:val="24"/>
                <w:highlight w:val="green"/>
                <w:lang w:eastAsia="ja-JP"/>
              </w:rPr>
              <w:t>Agreements</w:t>
            </w:r>
          </w:p>
          <w:p w14:paraId="1DCED950" w14:textId="77777777" w:rsidR="002D2E3E" w:rsidRPr="00A72D9A" w:rsidRDefault="002D2E3E" w:rsidP="002D2E3E">
            <w:pPr>
              <w:numPr>
                <w:ilvl w:val="1"/>
                <w:numId w:val="28"/>
              </w:numPr>
              <w:overflowPunct w:val="0"/>
              <w:autoSpaceDE w:val="0"/>
              <w:autoSpaceDN w:val="0"/>
              <w:adjustRightInd w:val="0"/>
              <w:spacing w:after="120" w:line="252" w:lineRule="auto"/>
              <w:textAlignment w:val="baseline"/>
              <w:rPr>
                <w:szCs w:val="24"/>
                <w:highlight w:val="green"/>
                <w:lang w:eastAsia="ja-JP"/>
              </w:rPr>
            </w:pPr>
            <w:r w:rsidRPr="00A72D9A">
              <w:rPr>
                <w:rFonts w:eastAsiaTheme="minorEastAsia"/>
                <w:iCs/>
                <w:szCs w:val="24"/>
                <w:highlight w:val="green"/>
                <w:lang w:eastAsia="zh-CN"/>
              </w:rPr>
              <w:t>Introduce a new PHR reporting table for NB-IoT in GEO and use legacy values in []</w:t>
            </w:r>
          </w:p>
          <w:p w14:paraId="2373A29D" w14:textId="77777777" w:rsidR="002D2E3E" w:rsidRPr="00A72D9A" w:rsidRDefault="002D2E3E" w:rsidP="002D2E3E">
            <w:pPr>
              <w:numPr>
                <w:ilvl w:val="2"/>
                <w:numId w:val="28"/>
              </w:numPr>
              <w:overflowPunct w:val="0"/>
              <w:autoSpaceDE w:val="0"/>
              <w:autoSpaceDN w:val="0"/>
              <w:adjustRightInd w:val="0"/>
              <w:spacing w:after="120" w:line="252" w:lineRule="auto"/>
              <w:textAlignment w:val="baseline"/>
              <w:rPr>
                <w:szCs w:val="24"/>
                <w:highlight w:val="green"/>
                <w:lang w:eastAsia="ja-JP"/>
              </w:rPr>
            </w:pPr>
            <w:r w:rsidRPr="00A72D9A">
              <w:rPr>
                <w:rFonts w:eastAsiaTheme="minorEastAsia"/>
                <w:iCs/>
                <w:szCs w:val="24"/>
                <w:highlight w:val="green"/>
                <w:lang w:eastAsia="zh-CN"/>
              </w:rPr>
              <w:t>Note: whether any revision of values is needed can be discussed in the maintenance stage</w:t>
            </w:r>
          </w:p>
          <w:p w14:paraId="61C61A39" w14:textId="77777777" w:rsidR="002D2E3E" w:rsidRDefault="002D2E3E" w:rsidP="00300956"/>
        </w:tc>
      </w:tr>
    </w:tbl>
    <w:p w14:paraId="2A266A5E" w14:textId="793D9DFE" w:rsidR="002D2E3E" w:rsidRDefault="002D2E3E" w:rsidP="00300956"/>
    <w:p w14:paraId="662BA12A" w14:textId="77777777" w:rsidR="00901444" w:rsidRDefault="002D2E3E" w:rsidP="002D2E3E">
      <w:r>
        <w:t xml:space="preserve">As we noted in our previous contribution in </w:t>
      </w:r>
      <w:r w:rsidR="00901444">
        <w:fldChar w:fldCharType="begin"/>
      </w:r>
      <w:r w:rsidR="00901444">
        <w:instrText xml:space="preserve"> REF _Ref130395463 \r \h </w:instrText>
      </w:r>
      <w:r w:rsidR="00901444">
        <w:fldChar w:fldCharType="separate"/>
      </w:r>
      <w:r w:rsidR="00901444">
        <w:t>[5]</w:t>
      </w:r>
      <w:r w:rsidR="00901444">
        <w:fldChar w:fldCharType="end"/>
      </w:r>
      <w:r w:rsidR="00901444">
        <w:t xml:space="preserve">, the power headroom is not the same as the pathloss reporting. It is used to measure </w:t>
      </w:r>
      <w:r>
        <w:t>the difference between the UE   configured maximum output power as defined in TS 36.105 (</w:t>
      </w:r>
      <w:proofErr w:type="spellStart"/>
      <w:r>
        <w:t>P</w:t>
      </w:r>
      <w:r w:rsidRPr="005F6E4D">
        <w:rPr>
          <w:vertAlign w:val="subscript"/>
        </w:rPr>
        <w:t>cmax</w:t>
      </w:r>
      <w:proofErr w:type="spellEnd"/>
      <w:r>
        <w:t>) and the estimated power used for UL-SCH or UL-NSCH transmission of the serving cell.</w:t>
      </w:r>
      <w:r w:rsidR="00901444">
        <w:t xml:space="preserve"> Their existence is justified for being used by the network to adjust the UE UL transmit power. The link budget analysis provided for both NGSO and GSO in TR 36.763 shows that it is unlikely that there will be power headroom left for these UEs, as they are expected to be transmitted close to the maximum transmit power at all times. </w:t>
      </w:r>
      <w:r>
        <w:t xml:space="preserve">The </w:t>
      </w:r>
      <w:r w:rsidR="00901444">
        <w:t>applicability</w:t>
      </w:r>
      <w:r>
        <w:t xml:space="preserve"> of the PHR report in NTN is rather limited, as the network does not expect the same flexibility on UL allocation of resources as in terrestrial networks.  </w:t>
      </w:r>
    </w:p>
    <w:p w14:paraId="0530F125" w14:textId="4CB1C863" w:rsidR="002D2E3E" w:rsidRDefault="00901444" w:rsidP="00901444">
      <w:pPr>
        <w:pStyle w:val="RAN4observation0"/>
      </w:pPr>
      <w:bookmarkStart w:id="5" w:name="_Toc142671142"/>
      <w:r>
        <w:t>Chang</w:t>
      </w:r>
      <w:r w:rsidR="0086659B">
        <w:t>ing</w:t>
      </w:r>
      <w:r>
        <w:t xml:space="preserve"> the legacy values would require careful investigation of the optimum values to be used in each table, in the absence of such results, legacy values are preferred.</w:t>
      </w:r>
      <w:bookmarkEnd w:id="5"/>
      <w:r>
        <w:t xml:space="preserve"> </w:t>
      </w:r>
    </w:p>
    <w:p w14:paraId="1FED5C8B" w14:textId="77777777" w:rsidR="00901444" w:rsidRDefault="00901444" w:rsidP="002D2E3E"/>
    <w:p w14:paraId="419FD49C" w14:textId="3A782ACB" w:rsidR="002D2E3E" w:rsidRDefault="00901444" w:rsidP="002D2E3E">
      <w:pPr>
        <w:pStyle w:val="RAN4proposal"/>
      </w:pPr>
      <w:bookmarkStart w:id="6" w:name="_Toc142671143"/>
      <w:r>
        <w:rPr>
          <w:lang w:eastAsia="zh-CN"/>
        </w:rPr>
        <w:t>Maintain the legacy values on the PHR tables for GEO and LEO.</w:t>
      </w:r>
      <w:bookmarkEnd w:id="6"/>
      <w:r>
        <w:rPr>
          <w:lang w:eastAsia="zh-CN"/>
        </w:rPr>
        <w:t xml:space="preserve"> </w:t>
      </w:r>
    </w:p>
    <w:p w14:paraId="730796CB" w14:textId="77777777" w:rsidR="002D2E3E" w:rsidRPr="008C39F7" w:rsidRDefault="002D2E3E" w:rsidP="00300956"/>
    <w:p w14:paraId="33394697" w14:textId="77777777" w:rsidR="00847264" w:rsidRPr="008C39F7" w:rsidRDefault="00847264" w:rsidP="00300956"/>
    <w:p w14:paraId="3755E03A" w14:textId="1643F15A" w:rsidR="00CB22B2" w:rsidRDefault="00901444" w:rsidP="00496606">
      <w:pPr>
        <w:pStyle w:val="RAN4H2"/>
      </w:pPr>
      <w:r>
        <w:t>Test case for UL segmented transmissions</w:t>
      </w:r>
    </w:p>
    <w:p w14:paraId="4D772A91" w14:textId="4A0CA376" w:rsidR="00901444" w:rsidRDefault="00901444" w:rsidP="00901444">
      <w:r>
        <w:t xml:space="preserve">In the last meeting, it was agreed that a new test case will be introduced for the “timing test of UE when using UL segmented transmissions”. </w:t>
      </w:r>
    </w:p>
    <w:tbl>
      <w:tblPr>
        <w:tblStyle w:val="TableGrid"/>
        <w:tblW w:w="0" w:type="auto"/>
        <w:tblLook w:val="04A0" w:firstRow="1" w:lastRow="0" w:firstColumn="1" w:lastColumn="0" w:noHBand="0" w:noVBand="1"/>
      </w:tblPr>
      <w:tblGrid>
        <w:gridCol w:w="9617"/>
      </w:tblGrid>
      <w:tr w:rsidR="00CB7CAF" w14:paraId="1F3E0DC3" w14:textId="77777777" w:rsidTr="00CB7CAF">
        <w:tc>
          <w:tcPr>
            <w:tcW w:w="9617" w:type="dxa"/>
          </w:tcPr>
          <w:p w14:paraId="052C1F7B" w14:textId="77777777" w:rsidR="00CB7CAF" w:rsidRPr="00053F26" w:rsidRDefault="00CB7CAF" w:rsidP="00CB7CAF">
            <w:pPr>
              <w:keepNext/>
              <w:keepLines/>
              <w:spacing w:before="120"/>
              <w:outlineLvl w:val="3"/>
              <w:rPr>
                <w:rFonts w:ascii="Arial" w:hAnsi="Arial" w:cs="Arial"/>
                <w:sz w:val="24"/>
                <w:szCs w:val="18"/>
                <w:lang w:val="sv-SE" w:eastAsia="zh-CN"/>
              </w:rPr>
            </w:pPr>
            <w:proofErr w:type="spellStart"/>
            <w:r w:rsidRPr="00053F26">
              <w:rPr>
                <w:rFonts w:ascii="Arial" w:hAnsi="Arial" w:cs="Arial"/>
                <w:sz w:val="24"/>
                <w:szCs w:val="18"/>
                <w:lang w:val="sv-SE" w:eastAsia="zh-CN"/>
              </w:rPr>
              <w:t>Issue</w:t>
            </w:r>
            <w:proofErr w:type="spellEnd"/>
            <w:r w:rsidRPr="00053F26">
              <w:rPr>
                <w:rFonts w:ascii="Arial" w:hAnsi="Arial" w:cs="Arial"/>
                <w:sz w:val="24"/>
                <w:szCs w:val="18"/>
                <w:lang w:val="sv-SE" w:eastAsia="zh-CN"/>
              </w:rPr>
              <w:t xml:space="preserve"> 3: Test for </w:t>
            </w:r>
            <w:proofErr w:type="spellStart"/>
            <w:r w:rsidRPr="00053F26">
              <w:rPr>
                <w:rFonts w:ascii="Arial" w:hAnsi="Arial" w:cs="Arial"/>
                <w:sz w:val="24"/>
                <w:szCs w:val="18"/>
                <w:lang w:val="sv-SE" w:eastAsia="zh-CN"/>
              </w:rPr>
              <w:t>Segmented</w:t>
            </w:r>
            <w:proofErr w:type="spellEnd"/>
            <w:r w:rsidRPr="00053F26">
              <w:rPr>
                <w:rFonts w:ascii="Arial" w:hAnsi="Arial" w:cs="Arial"/>
                <w:sz w:val="24"/>
                <w:szCs w:val="18"/>
                <w:lang w:val="sv-SE" w:eastAsia="zh-CN"/>
              </w:rPr>
              <w:t xml:space="preserve"> UL Transmissions </w:t>
            </w:r>
          </w:p>
          <w:p w14:paraId="08C0525B" w14:textId="77777777" w:rsidR="00CB7CAF" w:rsidRPr="00A72D9A" w:rsidRDefault="00CB7CAF" w:rsidP="00CB7CAF">
            <w:pPr>
              <w:numPr>
                <w:ilvl w:val="0"/>
                <w:numId w:val="28"/>
              </w:numPr>
              <w:overflowPunct w:val="0"/>
              <w:autoSpaceDE w:val="0"/>
              <w:autoSpaceDN w:val="0"/>
              <w:adjustRightInd w:val="0"/>
              <w:spacing w:after="120" w:line="252" w:lineRule="auto"/>
              <w:ind w:left="644"/>
              <w:textAlignment w:val="baseline"/>
              <w:rPr>
                <w:szCs w:val="24"/>
                <w:highlight w:val="green"/>
                <w:lang w:eastAsia="ja-JP"/>
              </w:rPr>
            </w:pPr>
            <w:r w:rsidRPr="00A72D9A">
              <w:rPr>
                <w:szCs w:val="24"/>
                <w:highlight w:val="green"/>
                <w:lang w:eastAsia="ja-JP"/>
              </w:rPr>
              <w:t>Agreements</w:t>
            </w:r>
          </w:p>
          <w:p w14:paraId="55242807" w14:textId="77777777" w:rsidR="00CB7CAF" w:rsidRPr="00A72D9A" w:rsidRDefault="00CB7CAF" w:rsidP="00CB7CAF">
            <w:pPr>
              <w:numPr>
                <w:ilvl w:val="1"/>
                <w:numId w:val="28"/>
              </w:numPr>
              <w:overflowPunct w:val="0"/>
              <w:autoSpaceDE w:val="0"/>
              <w:autoSpaceDN w:val="0"/>
              <w:adjustRightInd w:val="0"/>
              <w:spacing w:after="120" w:line="252" w:lineRule="auto"/>
              <w:textAlignment w:val="baseline"/>
              <w:rPr>
                <w:szCs w:val="24"/>
                <w:highlight w:val="green"/>
                <w:lang w:eastAsia="ja-JP"/>
              </w:rPr>
            </w:pPr>
            <w:r w:rsidRPr="00A72D9A">
              <w:rPr>
                <w:szCs w:val="24"/>
                <w:highlight w:val="green"/>
                <w:lang w:eastAsia="zh-CN"/>
              </w:rPr>
              <w:t xml:space="preserve">Define UE transmit timing accuracy test for UL segmented transmission in HD-FDD NB enhanced coverage test, only NGSO test configuration applies for this test. The test setup and test requirements in A.13.4.1.2.1 (HD-FDD NB1 standalone enhanced coverage test) Test 1 (DRX off) can be the starting </w:t>
            </w:r>
            <w:proofErr w:type="gramStart"/>
            <w:r w:rsidRPr="00A72D9A">
              <w:rPr>
                <w:szCs w:val="24"/>
                <w:highlight w:val="green"/>
                <w:lang w:eastAsia="zh-CN"/>
              </w:rPr>
              <w:t>point</w:t>
            </w:r>
            <w:proofErr w:type="gramEnd"/>
          </w:p>
          <w:p w14:paraId="67206C82" w14:textId="77777777" w:rsidR="00CB7CAF" w:rsidRPr="00A72D9A" w:rsidRDefault="00CB7CAF" w:rsidP="00CB7CAF">
            <w:pPr>
              <w:numPr>
                <w:ilvl w:val="1"/>
                <w:numId w:val="28"/>
              </w:numPr>
              <w:overflowPunct w:val="0"/>
              <w:autoSpaceDE w:val="0"/>
              <w:autoSpaceDN w:val="0"/>
              <w:adjustRightInd w:val="0"/>
              <w:spacing w:after="120" w:line="252" w:lineRule="auto"/>
              <w:textAlignment w:val="baseline"/>
              <w:rPr>
                <w:szCs w:val="24"/>
                <w:highlight w:val="green"/>
                <w:lang w:eastAsia="ja-JP"/>
              </w:rPr>
            </w:pPr>
            <w:r w:rsidRPr="00A72D9A">
              <w:rPr>
                <w:szCs w:val="24"/>
                <w:highlight w:val="green"/>
                <w:lang w:eastAsia="zh-CN"/>
              </w:rPr>
              <w:t xml:space="preserve">Introduce a similar test for </w:t>
            </w:r>
            <w:proofErr w:type="spellStart"/>
            <w:proofErr w:type="gramStart"/>
            <w:r w:rsidRPr="00A72D9A">
              <w:rPr>
                <w:szCs w:val="24"/>
                <w:highlight w:val="green"/>
                <w:lang w:eastAsia="zh-CN"/>
              </w:rPr>
              <w:t>eMTC</w:t>
            </w:r>
            <w:proofErr w:type="spellEnd"/>
            <w:proofErr w:type="gramEnd"/>
          </w:p>
          <w:p w14:paraId="5C03F796" w14:textId="77777777" w:rsidR="00CB7CAF" w:rsidRDefault="00CB7CAF" w:rsidP="00901444"/>
        </w:tc>
      </w:tr>
    </w:tbl>
    <w:p w14:paraId="6F9B6904" w14:textId="77777777" w:rsidR="00CB7CAF" w:rsidRDefault="00CB7CAF" w:rsidP="00901444"/>
    <w:p w14:paraId="12F19195" w14:textId="10EF7B71" w:rsidR="00901444" w:rsidRDefault="00901444" w:rsidP="00901444">
      <w:r>
        <w:t xml:space="preserve">When the timing advance (TA) is shortening between segments, the feature of UL segmented transmissions, if configured, will cause the UE to “blank” PUSCH symbols and effectively introducing a gap between segments (a gap that is higher than the variation of the timing advance, caused by this “blanking” operation). However, this is not the intended use of this feature. </w:t>
      </w:r>
    </w:p>
    <w:p w14:paraId="3B2629F0" w14:textId="4B80E587" w:rsidR="00901444" w:rsidRDefault="00901444" w:rsidP="00901444">
      <w:r>
        <w:t xml:space="preserve">This feature was created to introduce a gap between segments for the case where the TA is increasing between segments, to avoid a massive overlap between the previously transmitted segment and the segment to be transmitted next. In this case, it is likely there will be a small gap in transmissions. However, </w:t>
      </w:r>
      <w:r w:rsidR="00CB7CAF">
        <w:t xml:space="preserve">based on the requirements provided in TS 36.133 (see box below), it is unclear how the blanking of the PUSCH symbols will affect the measurement of the transmit timing advance for this test. It needs to be clarified that the “gap” is accounted for when the transmit timing accuracy is measured. </w:t>
      </w:r>
    </w:p>
    <w:tbl>
      <w:tblPr>
        <w:tblStyle w:val="TableGrid"/>
        <w:tblW w:w="0" w:type="auto"/>
        <w:tblLook w:val="04A0" w:firstRow="1" w:lastRow="0" w:firstColumn="1" w:lastColumn="0" w:noHBand="0" w:noVBand="1"/>
      </w:tblPr>
      <w:tblGrid>
        <w:gridCol w:w="9617"/>
      </w:tblGrid>
      <w:tr w:rsidR="00CB7CAF" w14:paraId="0202509B" w14:textId="77777777" w:rsidTr="00CB7CAF">
        <w:tc>
          <w:tcPr>
            <w:tcW w:w="9617" w:type="dxa"/>
          </w:tcPr>
          <w:p w14:paraId="5E71F8AF" w14:textId="77777777" w:rsidR="00CB7CAF" w:rsidRDefault="00CB7CAF" w:rsidP="00CB7CAF">
            <w:pPr>
              <w:pStyle w:val="Heading2"/>
            </w:pPr>
            <w:r>
              <w:t>7.20A</w:t>
            </w:r>
            <w:r>
              <w:tab/>
              <w:t>UE transmit timing for NB-IoT for Satellite Access</w:t>
            </w:r>
          </w:p>
          <w:p w14:paraId="555E4B7B" w14:textId="77777777" w:rsidR="00CB7CAF" w:rsidRDefault="00CB7CAF" w:rsidP="00CB7CAF">
            <w:pPr>
              <w:pStyle w:val="Heading3"/>
            </w:pPr>
            <w:r>
              <w:t>7.20A.1</w:t>
            </w:r>
            <w:r>
              <w:tab/>
              <w:t>Introduction</w:t>
            </w:r>
          </w:p>
          <w:p w14:paraId="1D829BD5" w14:textId="77777777" w:rsidR="00CB7CAF" w:rsidRDefault="00CB7CAF" w:rsidP="00CB7CAF">
            <w:r>
              <w:t xml:space="preserve">The Category NB1 UE shall have capability to follow the frame timing change of the connected </w:t>
            </w:r>
            <w:proofErr w:type="spellStart"/>
            <w:r>
              <w:t>eNode</w:t>
            </w:r>
            <w:proofErr w:type="spellEnd"/>
            <w:r>
              <w:t xml:space="preserve"> B. The uplink frame transmission takes place </w:t>
            </w:r>
            <m:oMath>
              <m:d>
                <m:dPr>
                  <m:ctrlPr>
                    <w:rPr>
                      <w:rFonts w:ascii="Cambria Math" w:hAnsi="Cambria Math"/>
                      <w:i/>
                      <w:kern w:val="2"/>
                      <w:sz w:val="22"/>
                      <w14:ligatures w14:val="standardContextual"/>
                    </w:rPr>
                  </m:ctrlPr>
                </m:dPr>
                <m:e>
                  <m:sSub>
                    <m:sSubPr>
                      <m:ctrlPr>
                        <w:rPr>
                          <w:rFonts w:ascii="Cambria Math" w:hAnsi="Cambria Math"/>
                          <w:i/>
                          <w:kern w:val="2"/>
                          <w:sz w:val="22"/>
                          <w14:ligatures w14:val="standardContextual"/>
                        </w:rPr>
                      </m:ctrlPr>
                    </m:sSubPr>
                    <m:e>
                      <m:r>
                        <w:rPr>
                          <w:rFonts w:ascii="Cambria Math" w:hAnsi="Cambria Math"/>
                        </w:rPr>
                        <m:t>N</m:t>
                      </m:r>
                    </m:e>
                    <m:sub>
                      <m:r>
                        <w:rPr>
                          <w:rFonts w:ascii="Cambria Math" w:hAnsi="Cambria Math"/>
                        </w:rPr>
                        <m:t>TA_Ref</m:t>
                      </m:r>
                    </m:sub>
                  </m:sSub>
                  <m:r>
                    <w:rPr>
                      <w:rFonts w:ascii="Cambria Math" w:hAnsi="Cambria Math"/>
                    </w:rPr>
                    <m:t>+</m:t>
                  </m:r>
                  <m:sSub>
                    <m:sSubPr>
                      <m:ctrlPr>
                        <w:rPr>
                          <w:rFonts w:ascii="Cambria Math" w:hAnsi="Cambria Math"/>
                          <w:i/>
                          <w:kern w:val="2"/>
                          <w:sz w:val="22"/>
                          <w14:ligatures w14:val="standardContextual"/>
                        </w:rPr>
                      </m:ctrlPr>
                    </m:sSubPr>
                    <m:e>
                      <m:r>
                        <w:rPr>
                          <w:rFonts w:ascii="Cambria Math" w:hAnsi="Cambria Math"/>
                        </w:rPr>
                        <m:t>N</m:t>
                      </m:r>
                    </m:e>
                    <m:sub>
                      <m:r>
                        <w:rPr>
                          <w:rFonts w:ascii="Cambria Math" w:hAnsi="Cambria Math"/>
                        </w:rPr>
                        <m:t>TAoffset</m:t>
                      </m:r>
                    </m:sub>
                  </m:sSub>
                  <m:r>
                    <w:rPr>
                      <w:rFonts w:ascii="Cambria Math" w:hAnsi="Cambria Math"/>
                    </w:rPr>
                    <m:t>+</m:t>
                  </m:r>
                  <m:sSub>
                    <m:sSubPr>
                      <m:ctrlPr>
                        <w:rPr>
                          <w:rFonts w:ascii="Cambria Math" w:hAnsi="Cambria Math"/>
                          <w:i/>
                          <w:kern w:val="2"/>
                          <w:sz w:val="22"/>
                          <w14:ligatures w14:val="standardContextual"/>
                        </w:rPr>
                      </m:ctrlPr>
                    </m:sSubPr>
                    <m:e>
                      <m:r>
                        <w:rPr>
                          <w:rFonts w:ascii="Cambria Math" w:hAnsi="Cambria Math"/>
                        </w:rPr>
                        <m:t>N</m:t>
                      </m:r>
                    </m:e>
                    <m:sub>
                      <m:r>
                        <w:rPr>
                          <w:rFonts w:ascii="Cambria Math" w:hAnsi="Cambria Math"/>
                        </w:rPr>
                        <m:t>TA,common</m:t>
                      </m:r>
                    </m:sub>
                  </m:sSub>
                  <m:r>
                    <w:rPr>
                      <w:rFonts w:ascii="Cambria Math" w:hAnsi="Cambria Math"/>
                    </w:rPr>
                    <m:t>+</m:t>
                  </m:r>
                  <m:sSub>
                    <m:sSubPr>
                      <m:ctrlPr>
                        <w:rPr>
                          <w:rFonts w:ascii="Cambria Math" w:hAnsi="Cambria Math"/>
                          <w:i/>
                          <w:kern w:val="2"/>
                          <w:sz w:val="22"/>
                          <w14:ligatures w14:val="standardContextual"/>
                        </w:rPr>
                      </m:ctrlPr>
                    </m:sSubPr>
                    <m:e>
                      <m:r>
                        <w:rPr>
                          <w:rFonts w:ascii="Cambria Math" w:hAnsi="Cambria Math"/>
                        </w:rPr>
                        <m:t>N</m:t>
                      </m:r>
                    </m:e>
                    <m:sub>
                      <m:r>
                        <w:rPr>
                          <w:rFonts w:ascii="Cambria Math" w:hAnsi="Cambria Math"/>
                        </w:rPr>
                        <m:t>TA, UE-specific</m:t>
                      </m:r>
                    </m:sub>
                  </m:sSub>
                </m:e>
              </m:d>
              <m:r>
                <w:rPr>
                  <w:rFonts w:ascii="Cambria Math" w:hAnsi="Cambria Math"/>
                </w:rPr>
                <m:t>×</m:t>
              </m:r>
              <m:sSub>
                <m:sSubPr>
                  <m:ctrlPr>
                    <w:rPr>
                      <w:rFonts w:ascii="Cambria Math" w:hAnsi="Cambria Math"/>
                      <w:i/>
                      <w:kern w:val="2"/>
                      <w:sz w:val="22"/>
                      <w14:ligatures w14:val="standardContextual"/>
                    </w:rPr>
                  </m:ctrlPr>
                </m:sSubPr>
                <m:e>
                  <m:r>
                    <w:rPr>
                      <w:rFonts w:ascii="Cambria Math" w:hAnsi="Cambria Math"/>
                    </w:rPr>
                    <m:t>T</m:t>
                  </m:r>
                </m:e>
                <m:sub>
                  <m:r>
                    <w:rPr>
                      <w:rFonts w:ascii="Cambria Math" w:hAnsi="Cambria Math"/>
                    </w:rPr>
                    <m:t>s</m:t>
                  </m:r>
                </m:sub>
              </m:sSub>
            </m:oMath>
            <w:r>
              <w:t xml:space="preserve"> before the reception of the first detected path (in time) of the corresponding downlink frame from the reference NB-IoT cell.</w:t>
            </w:r>
          </w:p>
          <w:p w14:paraId="36A0EE4E" w14:textId="77777777" w:rsidR="00CB7CAF" w:rsidRDefault="00CB7CAF" w:rsidP="00CB7CAF">
            <w:r>
              <w:t xml:space="preserve">UE shall use the serving NB-IoT cell as the reference cell for deriving the UE transmit timing. UE </w:t>
            </w:r>
            <w:proofErr w:type="gramStart"/>
            <w:r>
              <w:t>initial</w:t>
            </w:r>
            <w:proofErr w:type="gramEnd"/>
            <w:r>
              <w:t xml:space="preserve"> transmit timing accuracy, maximum amount of timing change in one adjustment, minimum and maximum adjustment rate are defined in the following requirements.</w:t>
            </w:r>
          </w:p>
          <w:p w14:paraId="74FFC1F2" w14:textId="77777777" w:rsidR="00CB7CAF" w:rsidRDefault="00CB7CAF" w:rsidP="00CB7CAF">
            <w:pPr>
              <w:pStyle w:val="Heading3"/>
              <w:spacing w:line="259" w:lineRule="auto"/>
            </w:pPr>
          </w:p>
          <w:p w14:paraId="3E56F5AD" w14:textId="6D732282" w:rsidR="00CB7CAF" w:rsidRDefault="00CB7CAF" w:rsidP="00CB7CAF">
            <w:pPr>
              <w:pStyle w:val="Heading3"/>
            </w:pPr>
            <w:r>
              <w:t>7.20A.2</w:t>
            </w:r>
            <w:r>
              <w:tab/>
              <w:t>Requirements</w:t>
            </w:r>
          </w:p>
          <w:p w14:paraId="41CA1E89" w14:textId="291BC0F2" w:rsidR="00CB7CAF" w:rsidRDefault="00CB7CAF" w:rsidP="00CB7CAF">
            <w:r>
              <w:t xml:space="preserve">The UE initial transmission timing error shall be less than or equal to </w:t>
            </w:r>
            <w:r>
              <w:sym w:font="Symbol" w:char="F0B1"/>
            </w:r>
            <w:r>
              <w:t>T</w:t>
            </w:r>
            <w:r>
              <w:rPr>
                <w:vertAlign w:val="subscript"/>
              </w:rPr>
              <w:t>e</w:t>
            </w:r>
            <w:r>
              <w:t xml:space="preserve"> where the timing error limit value T</w:t>
            </w:r>
            <w:r>
              <w:rPr>
                <w:vertAlign w:val="subscript"/>
              </w:rPr>
              <w:t>e</w:t>
            </w:r>
            <w:r>
              <w:t xml:space="preserve"> is specified in Table 7.20A.2-1. This requirement applies when it is the first transmission in a DRX cycle or the first transmission in a repetition period (R&gt;1) for NPUSCH and NPRACH, </w:t>
            </w:r>
            <w:r w:rsidRPr="00CB7CAF">
              <w:rPr>
                <w:highlight w:val="yellow"/>
              </w:rPr>
              <w:t>the first transmission after an uplink transmission gap in a repetition period (R&gt;1)</w:t>
            </w:r>
            <w:r>
              <w:t xml:space="preserve"> for NPUSCH and NPRACH transmission, or it is the transmission on PUR.</w:t>
            </w:r>
          </w:p>
        </w:tc>
      </w:tr>
    </w:tbl>
    <w:p w14:paraId="32541B09" w14:textId="77777777" w:rsidR="00CB7CAF" w:rsidRPr="00901444" w:rsidRDefault="00CB7CAF" w:rsidP="00901444"/>
    <w:p w14:paraId="7487F4F2" w14:textId="7C9ECDC2" w:rsidR="005C23A4" w:rsidRPr="008C39F7" w:rsidRDefault="00CB7CAF" w:rsidP="005C23A4">
      <w:r>
        <w:t>Hence, we propose:</w:t>
      </w:r>
    </w:p>
    <w:p w14:paraId="1057D553" w14:textId="2E891D15" w:rsidR="00110481" w:rsidRPr="008C39F7" w:rsidRDefault="00CB7CAF" w:rsidP="005C23A4">
      <w:pPr>
        <w:pStyle w:val="RAN4proposal"/>
      </w:pPr>
      <w:bookmarkStart w:id="7" w:name="_Toc142671144"/>
      <w:r>
        <w:t xml:space="preserve">For the transmit timing test case for UL segmented transmissions, use a scenario where the timing advance is increasing </w:t>
      </w:r>
      <w:r w:rsidR="004A11B6">
        <w:t>from one segment to the next segment</w:t>
      </w:r>
      <w:r>
        <w:t>.</w:t>
      </w:r>
      <w:bookmarkEnd w:id="7"/>
      <w:r>
        <w:t xml:space="preserve"> </w:t>
      </w:r>
    </w:p>
    <w:p w14:paraId="4898902D" w14:textId="194D5D74" w:rsidR="00A520D9" w:rsidRDefault="00CB7CAF" w:rsidP="00A520D9">
      <w:pPr>
        <w:pStyle w:val="RAN4proposal"/>
      </w:pPr>
      <w:bookmarkStart w:id="8" w:name="_Toc142671145"/>
      <w:r>
        <w:t>RAN4 to clarify the objectives of the test and how the UL transmission gap will be accounted for when measuring the transmit timing accuracy.</w:t>
      </w:r>
      <w:bookmarkEnd w:id="8"/>
      <w:r>
        <w:t xml:space="preserve"> </w:t>
      </w:r>
    </w:p>
    <w:p w14:paraId="2E27AE58" w14:textId="56052353" w:rsidR="008320AB" w:rsidRPr="008320AB" w:rsidRDefault="008320AB" w:rsidP="008320AB">
      <w:pPr>
        <w:pStyle w:val="RAN4proposal"/>
      </w:pPr>
      <w:bookmarkStart w:id="9" w:name="_Toc142671146"/>
      <w:r>
        <w:lastRenderedPageBreak/>
        <w:t xml:space="preserve">Clarify whether the agreed test for UL transmit timing accuracy for UL transmission applies to </w:t>
      </w:r>
      <w:r w:rsidR="00FA1A24">
        <w:t>PUSCH, PRACH or both.</w:t>
      </w:r>
      <w:bookmarkEnd w:id="9"/>
    </w:p>
    <w:p w14:paraId="1FDFDDB3" w14:textId="77777777" w:rsidR="0060543D" w:rsidRPr="008C39F7" w:rsidRDefault="0060543D" w:rsidP="0060543D"/>
    <w:p w14:paraId="6A48DD36" w14:textId="77777777" w:rsidR="0060543D" w:rsidRPr="008C39F7" w:rsidRDefault="0060543D" w:rsidP="0060543D"/>
    <w:p w14:paraId="085B61DF" w14:textId="77777777" w:rsidR="00CD7492" w:rsidRPr="008C39F7" w:rsidRDefault="00CD7492" w:rsidP="00A37002">
      <w:pPr>
        <w:pStyle w:val="RAN4H1"/>
      </w:pPr>
      <w:bookmarkStart w:id="10" w:name="_Toc116995848"/>
      <w:r w:rsidRPr="008C39F7">
        <w:t>Conclusion</w:t>
      </w:r>
      <w:bookmarkEnd w:id="10"/>
    </w:p>
    <w:p w14:paraId="34C66827" w14:textId="38C711B7" w:rsidR="008B0961" w:rsidRPr="008C39F7" w:rsidRDefault="00CB4329" w:rsidP="005C23A4">
      <w:r>
        <w:t>Regarding the discussion on this paper about performance aspects related to IoT NTN, the following set of observations and proposals were made:</w:t>
      </w:r>
    </w:p>
    <w:p w14:paraId="3A96663A" w14:textId="77777777" w:rsidR="007C5971" w:rsidRPr="008C39F7" w:rsidRDefault="007C5971" w:rsidP="005C23A4"/>
    <w:bookmarkStart w:id="11" w:name="_Toc116995849"/>
    <w:p w14:paraId="4E6311FE" w14:textId="2DC035A2" w:rsidR="00CB4329" w:rsidRDefault="00CB4329">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42671142" w:history="1">
        <w:r w:rsidRPr="00C81800">
          <w:rPr>
            <w:rStyle w:val="Hyperlink"/>
          </w:rPr>
          <w:t>Observation 1: Changing the legacy values would require careful investigation of the optimum values to be used in each table, in the absence of such results, legacy values are preferred.</w:t>
        </w:r>
      </w:hyperlink>
    </w:p>
    <w:p w14:paraId="49B622A7" w14:textId="580CD95E" w:rsidR="00CB4329" w:rsidRDefault="00DE25CD">
      <w:pPr>
        <w:pStyle w:val="TOC1"/>
        <w:rPr>
          <w:rFonts w:asciiTheme="minorHAnsi" w:eastAsiaTheme="minorEastAsia" w:hAnsiTheme="minorHAnsi"/>
          <w:b w:val="0"/>
          <w:iCs w:val="0"/>
          <w:kern w:val="2"/>
          <w:sz w:val="22"/>
          <w:lang w:val="en-GB" w:eastAsia="en-GB"/>
          <w14:ligatures w14:val="standardContextual"/>
        </w:rPr>
      </w:pPr>
      <w:hyperlink w:anchor="_Toc142671143" w:history="1">
        <w:r w:rsidR="00CB4329" w:rsidRPr="00C81800">
          <w:rPr>
            <w:rStyle w:val="Hyperlink"/>
          </w:rPr>
          <w:t>Proposal 1:</w:t>
        </w:r>
        <w:r w:rsidR="00CB4329" w:rsidRPr="00C81800">
          <w:rPr>
            <w:rStyle w:val="Hyperlink"/>
            <w:lang w:eastAsia="zh-CN"/>
          </w:rPr>
          <w:t xml:space="preserve"> Maintain the legacy values on the PHR tables for GEO and LEO.</w:t>
        </w:r>
      </w:hyperlink>
    </w:p>
    <w:p w14:paraId="6B5C314A" w14:textId="7C6FC529" w:rsidR="00CB4329" w:rsidRDefault="00DE25CD">
      <w:pPr>
        <w:pStyle w:val="TOC1"/>
        <w:rPr>
          <w:rFonts w:asciiTheme="minorHAnsi" w:eastAsiaTheme="minorEastAsia" w:hAnsiTheme="minorHAnsi"/>
          <w:b w:val="0"/>
          <w:iCs w:val="0"/>
          <w:kern w:val="2"/>
          <w:sz w:val="22"/>
          <w:lang w:val="en-GB" w:eastAsia="en-GB"/>
          <w14:ligatures w14:val="standardContextual"/>
        </w:rPr>
      </w:pPr>
      <w:hyperlink w:anchor="_Toc142671144" w:history="1">
        <w:r w:rsidR="00CB4329" w:rsidRPr="00C81800">
          <w:rPr>
            <w:rStyle w:val="Hyperlink"/>
          </w:rPr>
          <w:t>Proposal 2: For the transmit timing test case for UL segmented transmissions, use a scenario where the timing advance is increasing from one segment to the next segment.</w:t>
        </w:r>
      </w:hyperlink>
    </w:p>
    <w:p w14:paraId="4ADBCECE" w14:textId="7A513EDD" w:rsidR="00CB4329" w:rsidRDefault="00DE25CD">
      <w:pPr>
        <w:pStyle w:val="TOC1"/>
        <w:rPr>
          <w:rFonts w:asciiTheme="minorHAnsi" w:eastAsiaTheme="minorEastAsia" w:hAnsiTheme="minorHAnsi"/>
          <w:b w:val="0"/>
          <w:iCs w:val="0"/>
          <w:kern w:val="2"/>
          <w:sz w:val="22"/>
          <w:lang w:val="en-GB" w:eastAsia="en-GB"/>
          <w14:ligatures w14:val="standardContextual"/>
        </w:rPr>
      </w:pPr>
      <w:hyperlink w:anchor="_Toc142671145" w:history="1">
        <w:r w:rsidR="00CB4329" w:rsidRPr="00C81800">
          <w:rPr>
            <w:rStyle w:val="Hyperlink"/>
          </w:rPr>
          <w:t>Proposal 3: RAN4 to clarify the objectives of the test and how the UL transmission gap will be accounted for when measuring the transmit timing accuracy.</w:t>
        </w:r>
      </w:hyperlink>
    </w:p>
    <w:p w14:paraId="6D999677" w14:textId="16F5E2FD" w:rsidR="00CB4329" w:rsidRDefault="00DE25CD">
      <w:pPr>
        <w:pStyle w:val="TOC1"/>
        <w:rPr>
          <w:rFonts w:asciiTheme="minorHAnsi" w:eastAsiaTheme="minorEastAsia" w:hAnsiTheme="minorHAnsi"/>
          <w:b w:val="0"/>
          <w:iCs w:val="0"/>
          <w:kern w:val="2"/>
          <w:sz w:val="22"/>
          <w:lang w:val="en-GB" w:eastAsia="en-GB"/>
          <w14:ligatures w14:val="standardContextual"/>
        </w:rPr>
      </w:pPr>
      <w:hyperlink w:anchor="_Toc142671146" w:history="1">
        <w:r w:rsidR="00CB4329" w:rsidRPr="00C81800">
          <w:rPr>
            <w:rStyle w:val="Hyperlink"/>
          </w:rPr>
          <w:t>Proposal 4: Clarify whether the agreed test for UL transmit timing accuracy for UL transmission applies to PUSCH, PRACH or both.</w:t>
        </w:r>
      </w:hyperlink>
    </w:p>
    <w:p w14:paraId="4684350E" w14:textId="382E4712" w:rsidR="00847264" w:rsidRPr="008C39F7" w:rsidRDefault="00CB4329" w:rsidP="008C39F7">
      <w:r>
        <w:fldChar w:fldCharType="end"/>
      </w:r>
    </w:p>
    <w:p w14:paraId="58F43A25" w14:textId="77777777" w:rsidR="003B659E" w:rsidRPr="008C39F7" w:rsidRDefault="003B659E" w:rsidP="0060543D">
      <w:pPr>
        <w:pStyle w:val="RAN4H1"/>
        <w:numPr>
          <w:ilvl w:val="0"/>
          <w:numId w:val="0"/>
        </w:numPr>
        <w:ind w:left="360" w:hanging="360"/>
      </w:pPr>
      <w:r w:rsidRPr="008C39F7">
        <w:t>References</w:t>
      </w:r>
      <w:bookmarkEnd w:id="11"/>
    </w:p>
    <w:p w14:paraId="1584844B" w14:textId="77777777" w:rsidR="002D2E3E" w:rsidRDefault="002D2E3E" w:rsidP="002D2E3E">
      <w:pPr>
        <w:pStyle w:val="ListParagraph"/>
        <w:numPr>
          <w:ilvl w:val="0"/>
          <w:numId w:val="27"/>
        </w:numPr>
        <w:ind w:right="-22"/>
      </w:pPr>
      <w:bookmarkStart w:id="12" w:name="_Ref114500673"/>
      <w:bookmarkStart w:id="13" w:name="_Ref115097759"/>
      <w:bookmarkStart w:id="14" w:name="_Ref115097774"/>
      <w:bookmarkEnd w:id="12"/>
      <w:r>
        <w:t>TR 36.763, “Study on Narrow-Band Internet of Things (NB-IoT) / enhanced Machine Type Communication (</w:t>
      </w:r>
      <w:proofErr w:type="spellStart"/>
      <w:r>
        <w:t>eMTC</w:t>
      </w:r>
      <w:proofErr w:type="spellEnd"/>
      <w:r>
        <w:t>) support for Non-Terrestrial Networks (NTN)”</w:t>
      </w:r>
      <w:bookmarkEnd w:id="13"/>
      <w:r>
        <w:t xml:space="preserve">  </w:t>
      </w:r>
    </w:p>
    <w:p w14:paraId="17D3FC54" w14:textId="77777777" w:rsidR="002D2E3E" w:rsidRDefault="002D2E3E" w:rsidP="002D2E3E">
      <w:pPr>
        <w:pStyle w:val="ListParagraph"/>
        <w:numPr>
          <w:ilvl w:val="0"/>
          <w:numId w:val="27"/>
        </w:numPr>
        <w:ind w:right="-22"/>
      </w:pPr>
      <w:bookmarkStart w:id="15" w:name="_Ref115097767"/>
      <w:r>
        <w:t>RP-211601 – NB-IoT/</w:t>
      </w:r>
      <w:proofErr w:type="spellStart"/>
      <w:r>
        <w:t>eMTC</w:t>
      </w:r>
      <w:proofErr w:type="spellEnd"/>
      <w:r>
        <w:t xml:space="preserve"> support for Non-Terrestrial Networks</w:t>
      </w:r>
      <w:bookmarkEnd w:id="15"/>
      <w:r>
        <w:t xml:space="preserve"> </w:t>
      </w:r>
    </w:p>
    <w:p w14:paraId="3A83D624" w14:textId="77777777" w:rsidR="002D2E3E" w:rsidRPr="00307760" w:rsidRDefault="002D2E3E" w:rsidP="002D2E3E">
      <w:pPr>
        <w:pStyle w:val="ListParagraph"/>
        <w:numPr>
          <w:ilvl w:val="0"/>
          <w:numId w:val="27"/>
        </w:numPr>
        <w:spacing w:after="0" w:line="256" w:lineRule="auto"/>
        <w:ind w:right="-22"/>
      </w:pPr>
      <w:bookmarkStart w:id="16" w:name="_Ref130395430"/>
      <w:r w:rsidRPr="00307760">
        <w:t>RP-220938 – New WID on NB-IoT/</w:t>
      </w:r>
      <w:proofErr w:type="spellStart"/>
      <w:r w:rsidRPr="00307760">
        <w:t>eMTC</w:t>
      </w:r>
      <w:proofErr w:type="spellEnd"/>
      <w:r w:rsidRPr="00307760">
        <w:t xml:space="preserve"> core &amp; performance requirements for NTN</w:t>
      </w:r>
      <w:bookmarkEnd w:id="14"/>
      <w:bookmarkEnd w:id="16"/>
      <w:r w:rsidRPr="00307760">
        <w:t xml:space="preserve"> </w:t>
      </w:r>
    </w:p>
    <w:p w14:paraId="6EBB02AF" w14:textId="77777777" w:rsidR="002D2E3E" w:rsidRDefault="002D2E3E" w:rsidP="002D2E3E">
      <w:pPr>
        <w:pStyle w:val="ListParagraph"/>
        <w:numPr>
          <w:ilvl w:val="0"/>
          <w:numId w:val="27"/>
        </w:numPr>
        <w:spacing w:after="0" w:line="256" w:lineRule="auto"/>
        <w:ind w:right="-22"/>
      </w:pPr>
      <w:bookmarkStart w:id="17" w:name="_Ref118189778"/>
      <w:bookmarkStart w:id="18" w:name="_Ref127447438"/>
      <w:bookmarkStart w:id="19" w:name="_Ref134610562"/>
      <w:r w:rsidRPr="00307760">
        <w:t>R4-2310098</w:t>
      </w:r>
      <w:r>
        <w:t xml:space="preserve">, </w:t>
      </w:r>
      <w:r w:rsidRPr="00307760">
        <w:rPr>
          <w:i/>
          <w:iCs/>
        </w:rPr>
        <w:t>WF on RRM requirements for NTN NB-IoT/</w:t>
      </w:r>
      <w:proofErr w:type="spellStart"/>
      <w:r w:rsidRPr="00307760">
        <w:rPr>
          <w:i/>
          <w:iCs/>
        </w:rPr>
        <w:t>eMTC</w:t>
      </w:r>
      <w:proofErr w:type="spellEnd"/>
      <w:r>
        <w:t xml:space="preserve">, </w:t>
      </w:r>
      <w:bookmarkEnd w:id="17"/>
      <w:proofErr w:type="spellStart"/>
      <w:r>
        <w:t>Mediatek</w:t>
      </w:r>
      <w:proofErr w:type="spellEnd"/>
      <w:r>
        <w:t xml:space="preserve">, RAN WG4 #107, </w:t>
      </w:r>
      <w:proofErr w:type="gramStart"/>
      <w:r>
        <w:t>Incheon</w:t>
      </w:r>
      <w:bookmarkEnd w:id="18"/>
      <w:bookmarkEnd w:id="19"/>
      <w:proofErr w:type="gramEnd"/>
    </w:p>
    <w:p w14:paraId="11C5D420" w14:textId="1C1E1738" w:rsidR="002D2E3E" w:rsidRDefault="002D2E3E" w:rsidP="002D2E3E">
      <w:pPr>
        <w:pStyle w:val="ListParagraph"/>
        <w:numPr>
          <w:ilvl w:val="0"/>
          <w:numId w:val="27"/>
        </w:numPr>
        <w:spacing w:after="0" w:line="256" w:lineRule="auto"/>
        <w:ind w:right="-22"/>
      </w:pPr>
      <w:bookmarkStart w:id="20" w:name="_Ref130395463"/>
      <w:r w:rsidRPr="002D2E3E">
        <w:t>R4-2308355</w:t>
      </w:r>
      <w:r w:rsidRPr="00C116B0">
        <w:t xml:space="preserve">, </w:t>
      </w:r>
      <w:r w:rsidR="00901444" w:rsidRPr="00901444">
        <w:rPr>
          <w:i/>
          <w:iCs/>
        </w:rPr>
        <w:t xml:space="preserve">Discussion on performance aspects of IoT NTN </w:t>
      </w:r>
      <w:r w:rsidRPr="00C116B0">
        <w:t>Nokia, Nokia Shanghai Bell</w:t>
      </w:r>
      <w:r>
        <w:t>, RAN WG4 #10</w:t>
      </w:r>
      <w:r w:rsidR="00901444">
        <w:t>7</w:t>
      </w:r>
      <w:r>
        <w:t xml:space="preserve">, </w:t>
      </w:r>
      <w:r w:rsidR="00901444">
        <w:t>Incheon</w:t>
      </w:r>
      <w:r>
        <w:t>.</w:t>
      </w:r>
      <w:bookmarkEnd w:id="20"/>
      <w:r>
        <w:t xml:space="preserve"> </w:t>
      </w:r>
    </w:p>
    <w:p w14:paraId="1B01182E" w14:textId="583572DE" w:rsidR="000040DC" w:rsidRPr="00847264" w:rsidRDefault="000040DC" w:rsidP="00CB7CAF">
      <w:pPr>
        <w:pStyle w:val="ListParagraph"/>
        <w:spacing w:after="0" w:line="256" w:lineRule="auto"/>
        <w:ind w:left="360" w:right="-22"/>
      </w:pP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E4FA0" w14:textId="77777777" w:rsidR="00E3482A" w:rsidRDefault="00E3482A" w:rsidP="00001C9B">
      <w:pPr>
        <w:spacing w:after="0" w:line="240" w:lineRule="auto"/>
      </w:pPr>
      <w:r>
        <w:separator/>
      </w:r>
    </w:p>
  </w:endnote>
  <w:endnote w:type="continuationSeparator" w:id="0">
    <w:p w14:paraId="5BF1877C" w14:textId="77777777" w:rsidR="00E3482A" w:rsidRDefault="00E3482A" w:rsidP="00001C9B">
      <w:pPr>
        <w:spacing w:after="0" w:line="240" w:lineRule="auto"/>
      </w:pPr>
      <w:r>
        <w:continuationSeparator/>
      </w:r>
    </w:p>
  </w:endnote>
  <w:endnote w:type="continuationNotice" w:id="1">
    <w:p w14:paraId="59FF6DDA" w14:textId="77777777" w:rsidR="00E3482A" w:rsidRDefault="00E348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CE9A2" w14:textId="77777777" w:rsidR="00E3482A" w:rsidRDefault="00E3482A" w:rsidP="00001C9B">
      <w:pPr>
        <w:spacing w:after="0" w:line="240" w:lineRule="auto"/>
      </w:pPr>
      <w:r>
        <w:separator/>
      </w:r>
    </w:p>
  </w:footnote>
  <w:footnote w:type="continuationSeparator" w:id="0">
    <w:p w14:paraId="3C2E6D93" w14:textId="77777777" w:rsidR="00E3482A" w:rsidRDefault="00E3482A" w:rsidP="00001C9B">
      <w:pPr>
        <w:spacing w:after="0" w:line="240" w:lineRule="auto"/>
      </w:pPr>
      <w:r>
        <w:continuationSeparator/>
      </w:r>
    </w:p>
  </w:footnote>
  <w:footnote w:type="continuationNotice" w:id="1">
    <w:p w14:paraId="7A93968B" w14:textId="77777777" w:rsidR="00E3482A" w:rsidRDefault="00E3482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7267C66"/>
    <w:multiLevelType w:val="hybridMultilevel"/>
    <w:tmpl w:val="5C4064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3"/>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4"/>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5315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710715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D2E3E"/>
    <w:rsid w:val="00001C9B"/>
    <w:rsid w:val="000040DC"/>
    <w:rsid w:val="00011784"/>
    <w:rsid w:val="000151EF"/>
    <w:rsid w:val="000239F5"/>
    <w:rsid w:val="0008612A"/>
    <w:rsid w:val="00090E18"/>
    <w:rsid w:val="000A10BC"/>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92F96"/>
    <w:rsid w:val="001A3BA4"/>
    <w:rsid w:val="001A6D1F"/>
    <w:rsid w:val="001B2747"/>
    <w:rsid w:val="001E30F6"/>
    <w:rsid w:val="00217EE5"/>
    <w:rsid w:val="00235F5C"/>
    <w:rsid w:val="00257FA3"/>
    <w:rsid w:val="00277B56"/>
    <w:rsid w:val="002A19F5"/>
    <w:rsid w:val="002B4922"/>
    <w:rsid w:val="002C22C3"/>
    <w:rsid w:val="002C2D19"/>
    <w:rsid w:val="002D10FA"/>
    <w:rsid w:val="002D2E3E"/>
    <w:rsid w:val="002D4C55"/>
    <w:rsid w:val="002E6DED"/>
    <w:rsid w:val="00300956"/>
    <w:rsid w:val="00317187"/>
    <w:rsid w:val="0032499A"/>
    <w:rsid w:val="003341F7"/>
    <w:rsid w:val="00347FEC"/>
    <w:rsid w:val="003509DF"/>
    <w:rsid w:val="00356F45"/>
    <w:rsid w:val="00366B74"/>
    <w:rsid w:val="003A710A"/>
    <w:rsid w:val="003B659E"/>
    <w:rsid w:val="003C275E"/>
    <w:rsid w:val="003C4FDE"/>
    <w:rsid w:val="003E58DF"/>
    <w:rsid w:val="00404C4C"/>
    <w:rsid w:val="0041423F"/>
    <w:rsid w:val="00414F81"/>
    <w:rsid w:val="00436A0F"/>
    <w:rsid w:val="00437150"/>
    <w:rsid w:val="0043750A"/>
    <w:rsid w:val="00447577"/>
    <w:rsid w:val="004732E9"/>
    <w:rsid w:val="004854BB"/>
    <w:rsid w:val="00494493"/>
    <w:rsid w:val="00496606"/>
    <w:rsid w:val="004A11B6"/>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4801"/>
    <w:rsid w:val="005C23A4"/>
    <w:rsid w:val="005D1CDF"/>
    <w:rsid w:val="005D2BB7"/>
    <w:rsid w:val="005E61A8"/>
    <w:rsid w:val="005F6419"/>
    <w:rsid w:val="0060543D"/>
    <w:rsid w:val="006104DD"/>
    <w:rsid w:val="006130B5"/>
    <w:rsid w:val="00617400"/>
    <w:rsid w:val="00632D29"/>
    <w:rsid w:val="00664950"/>
    <w:rsid w:val="00683220"/>
    <w:rsid w:val="00687FA0"/>
    <w:rsid w:val="006A3C11"/>
    <w:rsid w:val="006B7010"/>
    <w:rsid w:val="006C16DE"/>
    <w:rsid w:val="006C3095"/>
    <w:rsid w:val="006E1151"/>
    <w:rsid w:val="006E6311"/>
    <w:rsid w:val="007145FF"/>
    <w:rsid w:val="00715B2A"/>
    <w:rsid w:val="007450F1"/>
    <w:rsid w:val="00751515"/>
    <w:rsid w:val="007626B7"/>
    <w:rsid w:val="0078212B"/>
    <w:rsid w:val="00784DF6"/>
    <w:rsid w:val="00785232"/>
    <w:rsid w:val="007B186C"/>
    <w:rsid w:val="007C1696"/>
    <w:rsid w:val="007C3ED0"/>
    <w:rsid w:val="007C5971"/>
    <w:rsid w:val="007F54B9"/>
    <w:rsid w:val="00806A76"/>
    <w:rsid w:val="00811C9D"/>
    <w:rsid w:val="00816C80"/>
    <w:rsid w:val="00817F91"/>
    <w:rsid w:val="008320AB"/>
    <w:rsid w:val="00841BCD"/>
    <w:rsid w:val="00847264"/>
    <w:rsid w:val="00851A8E"/>
    <w:rsid w:val="0085365B"/>
    <w:rsid w:val="0086659B"/>
    <w:rsid w:val="008675FC"/>
    <w:rsid w:val="00877587"/>
    <w:rsid w:val="008826C1"/>
    <w:rsid w:val="00883DFD"/>
    <w:rsid w:val="00890868"/>
    <w:rsid w:val="008A1BF7"/>
    <w:rsid w:val="008A5B0E"/>
    <w:rsid w:val="008B0961"/>
    <w:rsid w:val="008C39F7"/>
    <w:rsid w:val="0090091A"/>
    <w:rsid w:val="00901444"/>
    <w:rsid w:val="009042BD"/>
    <w:rsid w:val="00904FE4"/>
    <w:rsid w:val="009275BC"/>
    <w:rsid w:val="00936159"/>
    <w:rsid w:val="00977E1D"/>
    <w:rsid w:val="009B0573"/>
    <w:rsid w:val="009B7B4B"/>
    <w:rsid w:val="009B7C21"/>
    <w:rsid w:val="00A01B35"/>
    <w:rsid w:val="00A04992"/>
    <w:rsid w:val="00A147AA"/>
    <w:rsid w:val="00A21D71"/>
    <w:rsid w:val="00A22B78"/>
    <w:rsid w:val="00A25AE5"/>
    <w:rsid w:val="00A37002"/>
    <w:rsid w:val="00A4355E"/>
    <w:rsid w:val="00A520D9"/>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8233D"/>
    <w:rsid w:val="00BA6B66"/>
    <w:rsid w:val="00BA6E48"/>
    <w:rsid w:val="00BE0AF6"/>
    <w:rsid w:val="00BE1F03"/>
    <w:rsid w:val="00BE58A7"/>
    <w:rsid w:val="00BF2218"/>
    <w:rsid w:val="00C0426B"/>
    <w:rsid w:val="00C045DF"/>
    <w:rsid w:val="00C26D43"/>
    <w:rsid w:val="00C44375"/>
    <w:rsid w:val="00C46548"/>
    <w:rsid w:val="00C574D5"/>
    <w:rsid w:val="00C73F32"/>
    <w:rsid w:val="00C87462"/>
    <w:rsid w:val="00C9601F"/>
    <w:rsid w:val="00CA180C"/>
    <w:rsid w:val="00CB22B2"/>
    <w:rsid w:val="00CB4329"/>
    <w:rsid w:val="00CB7CAF"/>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C7A13"/>
    <w:rsid w:val="00DE0D2C"/>
    <w:rsid w:val="00DE25CD"/>
    <w:rsid w:val="00DF2997"/>
    <w:rsid w:val="00E10BC4"/>
    <w:rsid w:val="00E1415D"/>
    <w:rsid w:val="00E30A18"/>
    <w:rsid w:val="00E323E9"/>
    <w:rsid w:val="00E34018"/>
    <w:rsid w:val="00E3482A"/>
    <w:rsid w:val="00E36F2F"/>
    <w:rsid w:val="00E437D2"/>
    <w:rsid w:val="00E55751"/>
    <w:rsid w:val="00E7252B"/>
    <w:rsid w:val="00EA2311"/>
    <w:rsid w:val="00EB5C36"/>
    <w:rsid w:val="00EC7BC3"/>
    <w:rsid w:val="00ED7600"/>
    <w:rsid w:val="00EF6073"/>
    <w:rsid w:val="00EF698B"/>
    <w:rsid w:val="00F1362C"/>
    <w:rsid w:val="00F414F1"/>
    <w:rsid w:val="00F508B8"/>
    <w:rsid w:val="00F72CB1"/>
    <w:rsid w:val="00F8215E"/>
    <w:rsid w:val="00F824F5"/>
    <w:rsid w:val="00F90FAB"/>
    <w:rsid w:val="00F9374D"/>
    <w:rsid w:val="00FA1A24"/>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950C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Normal"/>
    <w:next w:val="Normal"/>
    <w:link w:val="Heading3Char"/>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CB4329"/>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qFormat/>
    <w:locked/>
    <w:rsid w:val="00CB7CAF"/>
    <w:rPr>
      <w:rFonts w:ascii="Arial" w:eastAsia="Times New Roman" w:hAnsi="Arial" w:cs="Times New Roman"/>
      <w:sz w:val="28"/>
      <w:szCs w:val="20"/>
      <w:lang w:val="en-GB" w:eastAsia="en-GB"/>
    </w:rPr>
  </w:style>
  <w:style w:type="paragraph" w:styleId="Header">
    <w:name w:val="header"/>
    <w:basedOn w:val="Normal"/>
    <w:link w:val="HeaderChar"/>
    <w:uiPriority w:val="99"/>
    <w:unhideWhenUsed/>
    <w:rsid w:val="00DE0D2C"/>
    <w:pPr>
      <w:tabs>
        <w:tab w:val="center" w:pos="4986"/>
        <w:tab w:val="right" w:pos="9972"/>
      </w:tabs>
      <w:spacing w:after="0" w:line="240" w:lineRule="auto"/>
    </w:pPr>
  </w:style>
  <w:style w:type="character" w:customStyle="1" w:styleId="HeaderChar">
    <w:name w:val="Header Char"/>
    <w:basedOn w:val="DefaultParagraphFont"/>
    <w:link w:val="Header"/>
    <w:uiPriority w:val="99"/>
    <w:rsid w:val="008675FC"/>
    <w:rPr>
      <w:rFonts w:ascii="Times New Roman" w:hAnsi="Times New Roman"/>
      <w:sz w:val="20"/>
    </w:rPr>
  </w:style>
  <w:style w:type="paragraph" w:styleId="Footer">
    <w:name w:val="footer"/>
    <w:basedOn w:val="Normal"/>
    <w:link w:val="FooterChar"/>
    <w:uiPriority w:val="99"/>
    <w:unhideWhenUsed/>
    <w:rsid w:val="00DE0D2C"/>
    <w:pPr>
      <w:tabs>
        <w:tab w:val="center" w:pos="4986"/>
        <w:tab w:val="right" w:pos="9972"/>
      </w:tabs>
      <w:spacing w:after="0" w:line="240" w:lineRule="auto"/>
    </w:pPr>
  </w:style>
  <w:style w:type="character" w:customStyle="1" w:styleId="FooterChar">
    <w:name w:val="Footer Char"/>
    <w:basedOn w:val="DefaultParagraphFont"/>
    <w:link w:val="Footer"/>
    <w:uiPriority w:val="99"/>
    <w:rsid w:val="008675FC"/>
    <w:rPr>
      <w:rFonts w:ascii="Times New Roman" w:hAnsi="Times New Roman"/>
      <w:sz w:val="20"/>
    </w:rPr>
  </w:style>
  <w:style w:type="paragraph" w:styleId="Revision">
    <w:name w:val="Revision"/>
    <w:hidden/>
    <w:uiPriority w:val="99"/>
    <w:semiHidden/>
    <w:rsid w:val="008675F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340299">
      <w:bodyDiv w:val="1"/>
      <w:marLeft w:val="0"/>
      <w:marRight w:val="0"/>
      <w:marTop w:val="0"/>
      <w:marBottom w:val="0"/>
      <w:divBdr>
        <w:top w:val="none" w:sz="0" w:space="0" w:color="auto"/>
        <w:left w:val="none" w:sz="0" w:space="0" w:color="auto"/>
        <w:bottom w:val="none" w:sz="0" w:space="0" w:color="auto"/>
        <w:right w:val="none" w:sz="0" w:space="0" w:color="auto"/>
      </w:divBdr>
    </w:div>
    <w:div w:id="1207182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5AIRPNAIUNRU-1328258698-25241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https://nokia.sharepoint.com/sites/c5g/5gradio/_layouts/15/DocIdRedir.aspx?ID=5AIRPNAIUNRU-1328258698-25241</Url>
      <Description>5AIRPNAIUNRU-1328258698-25241</Description>
    </_dlc_DocIdUrl>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F42314D-DACB-45ED-BB56-813E7DE14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4E2139-50DF-4F2E-97BF-AC27E9316CE4}">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1C90B787-1954-4972-BC71-A5781A0AB43F}">
  <ds:schemaRefs>
    <ds:schemaRef ds:uri="http://schemas.microsoft.com/sharepoint/v3/contenttype/forms"/>
  </ds:schemaRefs>
</ds:datastoreItem>
</file>

<file path=customXml/itemProps4.xml><?xml version="1.0" encoding="utf-8"?>
<ds:datastoreItem xmlns:ds="http://schemas.openxmlformats.org/officeDocument/2006/customXml" ds:itemID="{C4253DB4-43BB-476B-83BE-75A82DC80BD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005D5CD3-CEB3-4FFF-98F5-E31870D31724}">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1107</Words>
  <Characters>6310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2023-08-11T17:43:00Z</dcterms:created>
  <dcterms:modified xsi:type="dcterms:W3CDTF">2023-08-11T17:43:00Z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c8b0aa7e-f706-4a32-aca3-99f00dd653bb</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