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E4533" w14:textId="191E6C8F" w:rsidR="0023401D" w:rsidRPr="008C39F7" w:rsidRDefault="0023401D" w:rsidP="0023401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Pr="008C39F7">
        <w:rPr>
          <w:rFonts w:ascii="Arial" w:eastAsia="SimSun" w:hAnsi="Arial" w:cs="Times New Roman"/>
          <w:b/>
          <w:sz w:val="24"/>
          <w:szCs w:val="20"/>
        </w:rPr>
        <w:t>WG4 Meeting #10</w:t>
      </w:r>
      <w:r>
        <w:rPr>
          <w:rFonts w:ascii="Arial" w:eastAsia="SimSun" w:hAnsi="Arial" w:cs="Times New Roman"/>
          <w:b/>
          <w:sz w:val="24"/>
          <w:szCs w:val="20"/>
        </w:rPr>
        <w:t>8</w:t>
      </w:r>
      <w:r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Pr="00C4466E">
        <w:rPr>
          <w:rFonts w:ascii="Arial" w:eastAsia="SimSun" w:hAnsi="Arial" w:cs="Times New Roman"/>
          <w:b/>
          <w:bCs/>
          <w:sz w:val="24"/>
          <w:szCs w:val="20"/>
          <w:lang w:eastAsia="ja-JP"/>
        </w:rPr>
        <w:t>R4-231342</w:t>
      </w:r>
      <w:r>
        <w:rPr>
          <w:rFonts w:ascii="Arial" w:eastAsia="SimSun" w:hAnsi="Arial" w:cs="Times New Roman"/>
          <w:b/>
          <w:bCs/>
          <w:sz w:val="24"/>
          <w:szCs w:val="20"/>
          <w:lang w:eastAsia="ja-JP"/>
        </w:rPr>
        <w:t>7</w:t>
      </w:r>
    </w:p>
    <w:p w14:paraId="22C192D1" w14:textId="77777777" w:rsidR="0023401D" w:rsidRPr="008C39F7" w:rsidRDefault="0023401D" w:rsidP="0023401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Toulouse</w:t>
      </w:r>
      <w:r w:rsidRPr="008C39F7">
        <w:rPr>
          <w:rFonts w:ascii="Arial" w:eastAsia="SimSun" w:hAnsi="Arial" w:cs="Times New Roman"/>
          <w:b/>
          <w:sz w:val="24"/>
          <w:szCs w:val="20"/>
        </w:rPr>
        <w:t xml:space="preserve">, </w:t>
      </w:r>
      <w:r>
        <w:rPr>
          <w:rFonts w:ascii="Arial" w:eastAsia="SimSun" w:hAnsi="Arial" w:cs="Times New Roman"/>
          <w:b/>
          <w:sz w:val="24"/>
          <w:szCs w:val="20"/>
        </w:rPr>
        <w:t>France</w:t>
      </w:r>
      <w:r w:rsidRPr="008C39F7">
        <w:rPr>
          <w:rFonts w:ascii="Arial" w:eastAsia="SimSun" w:hAnsi="Arial" w:cs="Times New Roman"/>
          <w:b/>
          <w:sz w:val="24"/>
          <w:szCs w:val="20"/>
        </w:rPr>
        <w:t xml:space="preserve">, </w:t>
      </w:r>
      <w:r>
        <w:rPr>
          <w:rFonts w:ascii="Arial" w:eastAsia="SimSun" w:hAnsi="Arial" w:cs="Times New Roman"/>
          <w:b/>
          <w:sz w:val="24"/>
          <w:szCs w:val="20"/>
        </w:rPr>
        <w:t>August 21-25</w:t>
      </w:r>
      <w:r w:rsidRPr="008C39F7">
        <w:rPr>
          <w:rFonts w:ascii="Arial" w:eastAsia="SimSun" w:hAnsi="Arial" w:cs="Times New Roman"/>
          <w:b/>
          <w:sz w:val="24"/>
          <w:szCs w:val="20"/>
        </w:rPr>
        <w:t>, 2023</w:t>
      </w:r>
    </w:p>
    <w:bookmarkEnd w:id="0"/>
    <w:bookmarkEnd w:id="1"/>
    <w:p w14:paraId="0E5F15FA"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0DADDF3"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1781B415" w14:textId="717937D3"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1534EA">
        <w:rPr>
          <w:rFonts w:ascii="Arial" w:eastAsia="Calibri" w:hAnsi="Arial" w:cs="Arial"/>
          <w:b/>
          <w:bCs/>
          <w:sz w:val="24"/>
        </w:rPr>
        <w:t>Remaining issues on IoT NTN core requirements for RRM</w:t>
      </w:r>
    </w:p>
    <w:p w14:paraId="65E64665" w14:textId="484F10C0" w:rsidR="00841BCD" w:rsidRPr="001534EA" w:rsidRDefault="00841BCD" w:rsidP="00841BCD">
      <w:pPr>
        <w:tabs>
          <w:tab w:val="left" w:pos="1985"/>
        </w:tabs>
        <w:spacing w:after="120" w:line="240" w:lineRule="auto"/>
        <w:rPr>
          <w:rFonts w:ascii="Arial" w:eastAsia="MS Mincho" w:hAnsi="Arial" w:cs="Arial"/>
          <w:b/>
          <w:bCs/>
          <w:sz w:val="24"/>
          <w:szCs w:val="20"/>
          <w:lang w:val="pt-BR"/>
        </w:rPr>
      </w:pPr>
      <w:r w:rsidRPr="001534EA">
        <w:rPr>
          <w:rFonts w:ascii="Arial" w:eastAsia="MS Mincho" w:hAnsi="Arial" w:cs="Arial"/>
          <w:b/>
          <w:bCs/>
          <w:sz w:val="24"/>
          <w:szCs w:val="20"/>
          <w:lang w:val="pt-BR"/>
        </w:rPr>
        <w:t>Agenda item:</w:t>
      </w:r>
      <w:r w:rsidRPr="001534EA">
        <w:rPr>
          <w:rFonts w:ascii="Arial" w:eastAsia="MS Mincho" w:hAnsi="Arial" w:cs="Arial"/>
          <w:b/>
          <w:bCs/>
          <w:sz w:val="24"/>
          <w:szCs w:val="20"/>
          <w:lang w:val="pt-BR"/>
        </w:rPr>
        <w:tab/>
      </w:r>
      <w:r w:rsidR="001534EA">
        <w:rPr>
          <w:rFonts w:ascii="Arial" w:eastAsia="MS Mincho" w:hAnsi="Arial" w:cs="Arial"/>
          <w:b/>
          <w:bCs/>
          <w:sz w:val="24"/>
          <w:szCs w:val="20"/>
          <w:lang w:val="pt-BR"/>
        </w:rPr>
        <w:t>6.8.3</w:t>
      </w:r>
    </w:p>
    <w:p w14:paraId="4E277672"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5AF7C084" w14:textId="77777777" w:rsidR="00E323E9" w:rsidRPr="008C39F7" w:rsidRDefault="00E323E9" w:rsidP="00841BCD">
      <w:pPr>
        <w:tabs>
          <w:tab w:val="left" w:pos="1985"/>
        </w:tabs>
        <w:rPr>
          <w:rFonts w:ascii="Arial" w:eastAsia="Calibri" w:hAnsi="Arial" w:cs="Arial"/>
          <w:b/>
          <w:bCs/>
          <w:sz w:val="24"/>
        </w:rPr>
      </w:pPr>
    </w:p>
    <w:p w14:paraId="6DA15E45"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025307CF" w14:textId="77777777" w:rsidR="00307760" w:rsidRDefault="00307760" w:rsidP="00307760">
      <w:pPr>
        <w:jc w:val="both"/>
      </w:pPr>
      <w:r>
        <w:t xml:space="preserve">In Rel-17, support for NB-IoT and </w:t>
      </w:r>
      <w:proofErr w:type="spellStart"/>
      <w:r>
        <w:t>eMTC</w:t>
      </w:r>
      <w:proofErr w:type="spellEnd"/>
      <w:r>
        <w:t xml:space="preserve"> over NTN was studied in [1] and defined in RAN1, RAN2, and RAN3 under the Work Item described in [2]. RAN4 requirements will be defined in a release-independent manner in Rel-18. The work was initiated in the RAN4 #104 meeting and must be continued following the WF from previous meetings and the WID [3]. </w:t>
      </w:r>
    </w:p>
    <w:p w14:paraId="465F4386" w14:textId="77777777" w:rsidR="00307760" w:rsidRDefault="00307760" w:rsidP="00307760">
      <w:pPr>
        <w:jc w:val="both"/>
      </w:pPr>
      <w:r>
        <w:t xml:space="preserve">In meeting RAN4 #106-bis, the discussion on the WI has progressed and some issues were identified and left for further studies on the Way-Forward approved in that meeting [4]. </w:t>
      </w:r>
    </w:p>
    <w:p w14:paraId="120BE2E9" w14:textId="4FAE55C8" w:rsidR="0060543D" w:rsidRDefault="00307760" w:rsidP="00307760">
      <w:pPr>
        <w:jc w:val="both"/>
      </w:pPr>
      <w:r>
        <w:t>In this document, Nokia’s views regarding the following topics are presented regarding the open issues on discontinuous coverage aspects including the measurement relaxation of the measurements on the serving cell.</w:t>
      </w:r>
    </w:p>
    <w:p w14:paraId="0E605B95" w14:textId="77777777" w:rsidR="00A520D9" w:rsidRPr="008C39F7" w:rsidRDefault="00A520D9" w:rsidP="005C23A4"/>
    <w:p w14:paraId="21A61CC1" w14:textId="77777777" w:rsidR="0060543D" w:rsidRPr="008C39F7" w:rsidRDefault="0060543D" w:rsidP="005C23A4"/>
    <w:p w14:paraId="7CA9CDBD" w14:textId="77777777" w:rsidR="003B659E" w:rsidRPr="008C39F7" w:rsidRDefault="003B659E" w:rsidP="00AE56B1">
      <w:pPr>
        <w:pStyle w:val="RAN4H1"/>
      </w:pPr>
      <w:bookmarkStart w:id="4" w:name="_Toc116995842"/>
      <w:r w:rsidRPr="008C39F7">
        <w:t>Discussion</w:t>
      </w:r>
      <w:bookmarkEnd w:id="4"/>
    </w:p>
    <w:p w14:paraId="52D68D33" w14:textId="77777777" w:rsidR="00847264" w:rsidRPr="008C39F7" w:rsidRDefault="00847264" w:rsidP="00300956"/>
    <w:p w14:paraId="0BF3BF2A" w14:textId="65536BB5" w:rsidR="00CB22B2" w:rsidRDefault="00750EAF" w:rsidP="00496606">
      <w:pPr>
        <w:pStyle w:val="RAN4H2"/>
      </w:pPr>
      <w:r>
        <w:t xml:space="preserve">Measurement Relaxation </w:t>
      </w:r>
    </w:p>
    <w:p w14:paraId="7D174623" w14:textId="11CD24B1" w:rsidR="00750EAF" w:rsidRDefault="00750EAF" w:rsidP="00750EAF">
      <w:r>
        <w:t xml:space="preserve">The issue 1-1 in R4-2310098 </w:t>
      </w:r>
      <w:r>
        <w:fldChar w:fldCharType="begin"/>
      </w:r>
      <w:r>
        <w:instrText xml:space="preserve"> REF _Ref134610562 \r \h </w:instrText>
      </w:r>
      <w:r>
        <w:fldChar w:fldCharType="separate"/>
      </w:r>
      <w:r>
        <w:t>[4]</w:t>
      </w:r>
      <w:r>
        <w:fldChar w:fldCharType="end"/>
      </w:r>
      <w:r>
        <w:t xml:space="preserve">, discusses whether the measurement relaxation for the serving cell measurements in RRC_IDLE should be further enhanced by new relaxation triggers. </w:t>
      </w:r>
    </w:p>
    <w:tbl>
      <w:tblPr>
        <w:tblStyle w:val="TableGrid"/>
        <w:tblW w:w="0" w:type="auto"/>
        <w:tblLook w:val="04A0" w:firstRow="1" w:lastRow="0" w:firstColumn="1" w:lastColumn="0" w:noHBand="0" w:noVBand="1"/>
      </w:tblPr>
      <w:tblGrid>
        <w:gridCol w:w="9617"/>
      </w:tblGrid>
      <w:tr w:rsidR="00750EAF" w14:paraId="506C536F" w14:textId="77777777">
        <w:tc>
          <w:tcPr>
            <w:tcW w:w="9617" w:type="dxa"/>
          </w:tcPr>
          <w:p w14:paraId="023B47B9" w14:textId="77777777" w:rsidR="00750EAF" w:rsidRPr="00007A33" w:rsidRDefault="00750EAF" w:rsidP="00750EAF">
            <w:pPr>
              <w:pStyle w:val="Heading4"/>
            </w:pPr>
            <w:r w:rsidRPr="004C3164">
              <w:t xml:space="preserve">Issue </w:t>
            </w:r>
            <w:r>
              <w:t>1-1</w:t>
            </w:r>
            <w:r w:rsidRPr="004C3164">
              <w:t xml:space="preserve">: </w:t>
            </w:r>
            <w:r>
              <w:t xml:space="preserve">NGSO, </w:t>
            </w:r>
            <w:r w:rsidRPr="00E2770F">
              <w:rPr>
                <w:u w:val="single"/>
              </w:rPr>
              <w:t>serving cell</w:t>
            </w:r>
            <w:r w:rsidRPr="007F2F2D">
              <w:t xml:space="preserve"> </w:t>
            </w:r>
            <w:proofErr w:type="gramStart"/>
            <w:r w:rsidRPr="007F2F2D">
              <w:t>measurement</w:t>
            </w:r>
            <w:proofErr w:type="gramEnd"/>
            <w:r>
              <w:t xml:space="preserve"> </w:t>
            </w:r>
          </w:p>
          <w:p w14:paraId="373B22DB" w14:textId="77777777" w:rsidR="00750EAF" w:rsidRPr="00481FDC" w:rsidRDefault="00750EAF" w:rsidP="00750EAF">
            <w:pPr>
              <w:rPr>
                <w:rFonts w:eastAsia="MS Mincho"/>
              </w:rPr>
            </w:pPr>
            <w:r w:rsidRPr="00481FDC">
              <w:rPr>
                <w:rFonts w:eastAsia="MS Mincho" w:hint="eastAsia"/>
              </w:rPr>
              <w:t>FFS</w:t>
            </w:r>
          </w:p>
          <w:p w14:paraId="72B4EA33" w14:textId="77777777" w:rsidR="00750EAF" w:rsidRDefault="00750EAF" w:rsidP="00233ACC">
            <w:pPr>
              <w:pStyle w:val="ListParagraph"/>
              <w:numPr>
                <w:ilvl w:val="0"/>
                <w:numId w:val="37"/>
              </w:numPr>
            </w:pPr>
            <w:r w:rsidRPr="00233ACC">
              <w:rPr>
                <w:rFonts w:eastAsia="PMingLiU"/>
                <w:lang w:eastAsia="zh-TW"/>
              </w:rPr>
              <w:t>Proposal 1</w:t>
            </w:r>
            <w:r w:rsidRPr="00233ACC">
              <w:t>:</w:t>
            </w:r>
            <w:r>
              <w:t xml:space="preserve"> In addition to the existing serving cell relaxation conditions, add following conditions for IoT NTN </w:t>
            </w:r>
            <w:r w:rsidRPr="002F008D">
              <w:t>(</w:t>
            </w:r>
            <w:proofErr w:type="spellStart"/>
            <w:r w:rsidRPr="002F008D">
              <w:t>eMTC</w:t>
            </w:r>
            <w:proofErr w:type="spellEnd"/>
            <w:r w:rsidRPr="002F008D">
              <w:t xml:space="preserve"> and NB-IoT)</w:t>
            </w:r>
            <w:r>
              <w:t xml:space="preserve">: The time span to T-service is longer than k, where k = 4 DRX cycle if not configured with </w:t>
            </w:r>
            <w:proofErr w:type="spellStart"/>
            <w:r>
              <w:t>eDRX_IDLE</w:t>
            </w:r>
            <w:proofErr w:type="spellEnd"/>
            <w:r>
              <w:t xml:space="preserve"> cycle, and k = 1 </w:t>
            </w:r>
            <w:proofErr w:type="spellStart"/>
            <w:r>
              <w:t>eDRX</w:t>
            </w:r>
            <w:proofErr w:type="spellEnd"/>
            <w:r>
              <w:t xml:space="preserve"> cycle if configured with </w:t>
            </w:r>
            <w:proofErr w:type="spellStart"/>
            <w:r>
              <w:t>eDRX_IDLE</w:t>
            </w:r>
            <w:proofErr w:type="spellEnd"/>
            <w:r>
              <w:t xml:space="preserve"> cycle. </w:t>
            </w:r>
          </w:p>
          <w:p w14:paraId="218991AD" w14:textId="77777777" w:rsidR="00750EAF" w:rsidRPr="00233ACC" w:rsidRDefault="00750EAF" w:rsidP="00233ACC">
            <w:pPr>
              <w:pStyle w:val="ListParagraph"/>
              <w:numPr>
                <w:ilvl w:val="0"/>
                <w:numId w:val="37"/>
              </w:numPr>
              <w:rPr>
                <w:rFonts w:eastAsia="MS Mincho" w:cs="Times New Roman"/>
                <w:b/>
                <w:iCs/>
                <w:szCs w:val="20"/>
                <w:lang w:val="en-GB"/>
              </w:rPr>
            </w:pPr>
            <w:r w:rsidRPr="00233ACC">
              <w:rPr>
                <w:rFonts w:eastAsia="MS Mincho" w:cs="Times New Roman"/>
                <w:bCs/>
                <w:szCs w:val="20"/>
                <w:lang w:val="en-GB"/>
              </w:rPr>
              <w:t>Proposal 2:</w:t>
            </w:r>
            <w:r w:rsidRPr="00233ACC">
              <w:rPr>
                <w:rFonts w:eastAsia="MS Mincho" w:cs="Times New Roman"/>
                <w:szCs w:val="20"/>
                <w:lang w:val="en-GB"/>
              </w:rPr>
              <w:t xml:space="preserve"> When the UE has reached measurement relaxation, and t-service is configured</w:t>
            </w:r>
            <w:r w:rsidRPr="00233ACC">
              <w:rPr>
                <w:rFonts w:eastAsia="MS Mincho" w:cs="Times New Roman"/>
                <w:szCs w:val="20"/>
                <w:u w:val="single"/>
                <w:lang w:val="en-GB"/>
              </w:rPr>
              <w:t>, the UE might perform cell selection procedure</w:t>
            </w:r>
            <w:r w:rsidRPr="00233ACC">
              <w:rPr>
                <w:rFonts w:eastAsia="MS Mincho" w:cs="Times New Roman"/>
                <w:szCs w:val="20"/>
                <w:lang w:val="en-GB"/>
              </w:rPr>
              <w:t xml:space="preserve"> instead of cell reselection procedure, when the time span to T-service is smaller than k, where k = 2 DRX cycle if not configured with </w:t>
            </w:r>
            <w:proofErr w:type="spellStart"/>
            <w:r w:rsidRPr="00233ACC">
              <w:rPr>
                <w:rFonts w:eastAsia="MS Mincho" w:cs="Times New Roman"/>
                <w:szCs w:val="20"/>
                <w:lang w:val="en-GB"/>
              </w:rPr>
              <w:t>eDRX_IDLE</w:t>
            </w:r>
            <w:proofErr w:type="spellEnd"/>
            <w:r w:rsidRPr="00233ACC">
              <w:rPr>
                <w:rFonts w:eastAsia="MS Mincho" w:cs="Times New Roman"/>
                <w:szCs w:val="20"/>
                <w:lang w:val="en-GB"/>
              </w:rPr>
              <w:t xml:space="preserve"> cycle, and k = 1 </w:t>
            </w:r>
            <w:proofErr w:type="spellStart"/>
            <w:r w:rsidRPr="00233ACC">
              <w:rPr>
                <w:rFonts w:eastAsia="MS Mincho" w:cs="Times New Roman"/>
                <w:szCs w:val="20"/>
                <w:lang w:val="en-GB"/>
              </w:rPr>
              <w:t>eDRX</w:t>
            </w:r>
            <w:proofErr w:type="spellEnd"/>
            <w:r w:rsidRPr="00233ACC">
              <w:rPr>
                <w:rFonts w:eastAsia="MS Mincho" w:cs="Times New Roman"/>
                <w:szCs w:val="20"/>
                <w:lang w:val="en-GB"/>
              </w:rPr>
              <w:t xml:space="preserve"> cycle if configured with </w:t>
            </w:r>
            <w:proofErr w:type="spellStart"/>
            <w:r w:rsidRPr="00233ACC">
              <w:rPr>
                <w:rFonts w:eastAsia="MS Mincho" w:cs="Times New Roman"/>
                <w:szCs w:val="20"/>
                <w:lang w:val="en-GB"/>
              </w:rPr>
              <w:t>eDRX_IDLE</w:t>
            </w:r>
            <w:proofErr w:type="spellEnd"/>
            <w:r w:rsidRPr="00233ACC">
              <w:rPr>
                <w:rFonts w:eastAsia="MS Mincho" w:cs="Times New Roman"/>
                <w:szCs w:val="20"/>
                <w:lang w:val="en-GB"/>
              </w:rPr>
              <w:t xml:space="preserve"> cycle. </w:t>
            </w:r>
          </w:p>
          <w:p w14:paraId="35A66A19" w14:textId="77777777" w:rsidR="00750EAF" w:rsidRPr="00233ACC" w:rsidRDefault="00750EAF" w:rsidP="00233ACC">
            <w:pPr>
              <w:pStyle w:val="ListParagraph"/>
              <w:numPr>
                <w:ilvl w:val="0"/>
                <w:numId w:val="37"/>
              </w:numPr>
              <w:rPr>
                <w:b/>
                <w:bCs/>
                <w:noProof/>
              </w:rPr>
            </w:pPr>
            <w:r w:rsidRPr="00233ACC">
              <w:rPr>
                <w:rFonts w:eastAsia="MS Mincho" w:cs="Times New Roman"/>
                <w:bCs/>
                <w:szCs w:val="20"/>
                <w:lang w:val="en-GB"/>
              </w:rPr>
              <w:t>Proposal 3:</w:t>
            </w:r>
            <w:r w:rsidRPr="00233ACC">
              <w:rPr>
                <w:rFonts w:eastAsia="MS Mincho" w:cs="Times New Roman"/>
                <w:szCs w:val="20"/>
                <w:lang w:val="en-GB"/>
              </w:rPr>
              <w:t xml:space="preserve"> </w:t>
            </w:r>
            <w:r w:rsidRPr="00233ACC">
              <w:rPr>
                <w:bCs/>
                <w:noProof/>
              </w:rPr>
              <w:t>After Ttrigger UE is allowed to skip serving cell measurements and measurements of neighbor cells associated to the same serving satellite.</w:t>
            </w:r>
          </w:p>
          <w:p w14:paraId="2F57A547" w14:textId="77777777" w:rsidR="00750EAF" w:rsidRDefault="00750EAF"/>
        </w:tc>
      </w:tr>
    </w:tbl>
    <w:p w14:paraId="66C99D77" w14:textId="77777777" w:rsidR="00750EAF" w:rsidRDefault="00750EAF" w:rsidP="00750EAF"/>
    <w:p w14:paraId="5FAADDC2" w14:textId="44328AE2" w:rsidR="00750EAF" w:rsidRDefault="00750EAF" w:rsidP="00750EAF">
      <w:r>
        <w:t>F</w:t>
      </w:r>
      <w:r w:rsidR="00DF78EC">
        <w:t>rom t</w:t>
      </w:r>
      <w:r>
        <w:t>he mobility point of view in RRC_IDLE there are two main reasons to perform Serving Cell measurements:</w:t>
      </w:r>
    </w:p>
    <w:p w14:paraId="390A3B29" w14:textId="77777777" w:rsidR="00750EAF" w:rsidRDefault="00750EAF" w:rsidP="00750EAF">
      <w:pPr>
        <w:pStyle w:val="ListParagraph"/>
        <w:numPr>
          <w:ilvl w:val="0"/>
          <w:numId w:val="29"/>
        </w:numPr>
      </w:pPr>
      <w:r>
        <w:t xml:space="preserve">To </w:t>
      </w:r>
      <w:proofErr w:type="spellStart"/>
      <w:r>
        <w:t>initate</w:t>
      </w:r>
      <w:proofErr w:type="spellEnd"/>
      <w:r>
        <w:t xml:space="preserve"> measurements of neighbor cells if the criterion S is not met</w:t>
      </w:r>
    </w:p>
    <w:p w14:paraId="588C6C02" w14:textId="77777777" w:rsidR="00750EAF" w:rsidRPr="008C39F7" w:rsidRDefault="00750EAF" w:rsidP="00750EAF">
      <w:pPr>
        <w:pStyle w:val="ListParagraph"/>
        <w:numPr>
          <w:ilvl w:val="0"/>
          <w:numId w:val="29"/>
        </w:numPr>
      </w:pPr>
      <w:r>
        <w:t>To rank the serving cell for the cell reselection procedure</w:t>
      </w:r>
    </w:p>
    <w:p w14:paraId="1E1879F2" w14:textId="77777777" w:rsidR="00750EAF" w:rsidRDefault="00750EAF" w:rsidP="00750EAF">
      <w:pPr>
        <w:pStyle w:val="RAN4observation0"/>
      </w:pPr>
      <w:bookmarkStart w:id="5" w:name="_Toc135061225"/>
      <w:bookmarkStart w:id="6" w:name="_Toc142670493"/>
      <w:r w:rsidRPr="00516E3B">
        <w:t>The main reason to execute serving cell measurements is to trigger neighbor cell measurements.</w:t>
      </w:r>
      <w:bookmarkEnd w:id="5"/>
      <w:bookmarkEnd w:id="6"/>
      <w:r w:rsidRPr="00516E3B">
        <w:t xml:space="preserve"> </w:t>
      </w:r>
    </w:p>
    <w:p w14:paraId="79978EE7" w14:textId="49B8F84B" w:rsidR="00750EAF" w:rsidRPr="00750EAF" w:rsidRDefault="00750EAF" w:rsidP="00750EAF">
      <w:r>
        <w:lastRenderedPageBreak/>
        <w:t>In this paper we will analyze how these two objectives of serving cell measurements are affected by the presence of t-service (indicating a point in time where the serving cell will stop serving an area) when the serving cell relaxation is achieved:</w:t>
      </w:r>
    </w:p>
    <w:p w14:paraId="0B537D89" w14:textId="60E134BB" w:rsidR="00750EAF" w:rsidRDefault="00750EAF" w:rsidP="00750EAF">
      <w:pPr>
        <w:pStyle w:val="RAN4H3"/>
        <w:rPr>
          <w:lang w:val="en-GB"/>
        </w:rPr>
      </w:pPr>
      <w:r>
        <w:rPr>
          <w:lang w:val="en-GB"/>
        </w:rPr>
        <w:t xml:space="preserve">Initiation of neighbour cell measurements </w:t>
      </w:r>
    </w:p>
    <w:p w14:paraId="4F4D7187" w14:textId="4E78A321" w:rsidR="00750EAF" w:rsidRDefault="00750EAF" w:rsidP="00750EAF">
      <w:pPr>
        <w:rPr>
          <w:lang w:val="en-GB"/>
        </w:rPr>
      </w:pPr>
      <w:r>
        <w:rPr>
          <w:lang w:val="en-GB"/>
        </w:rPr>
        <w:t xml:space="preserve">The </w:t>
      </w:r>
      <w:proofErr w:type="spellStart"/>
      <w:r>
        <w:rPr>
          <w:lang w:val="en-GB"/>
        </w:rPr>
        <w:t>neighbor</w:t>
      </w:r>
      <w:proofErr w:type="spellEnd"/>
      <w:r>
        <w:rPr>
          <w:lang w:val="en-GB"/>
        </w:rPr>
        <w:t xml:space="preserve"> cell measurements do not need to be initiated by the legacy criteria of having the serving cell failing to fulfil the S-</w:t>
      </w:r>
      <w:proofErr w:type="gramStart"/>
      <w:r>
        <w:rPr>
          <w:lang w:val="en-GB"/>
        </w:rPr>
        <w:t>criterion, when</w:t>
      </w:r>
      <w:proofErr w:type="gramEnd"/>
      <w:r>
        <w:rPr>
          <w:lang w:val="en-GB"/>
        </w:rPr>
        <w:t xml:space="preserve"> </w:t>
      </w:r>
      <w:r w:rsidRPr="00750EAF">
        <w:rPr>
          <w:b/>
          <w:bCs/>
          <w:u w:val="single"/>
          <w:lang w:val="en-GB"/>
        </w:rPr>
        <w:t>t-service</w:t>
      </w:r>
      <w:r>
        <w:rPr>
          <w:lang w:val="en-GB"/>
        </w:rPr>
        <w:t xml:space="preserve"> is implemented and configured.  This happens because  t-service is already a trigger on itself to initiate </w:t>
      </w:r>
      <w:proofErr w:type="spellStart"/>
      <w:r>
        <w:rPr>
          <w:lang w:val="en-GB"/>
        </w:rPr>
        <w:t>neighbor</w:t>
      </w:r>
      <w:proofErr w:type="spellEnd"/>
      <w:r>
        <w:rPr>
          <w:lang w:val="en-GB"/>
        </w:rPr>
        <w:t xml:space="preserve"> cell measurements. This has been agreed in RAN2 and captured by RAN4 agreement in the last meeting </w:t>
      </w:r>
      <w:r>
        <w:rPr>
          <w:lang w:val="en-GB"/>
        </w:rPr>
        <w:fldChar w:fldCharType="begin"/>
      </w:r>
      <w:r>
        <w:rPr>
          <w:lang w:val="en-GB"/>
        </w:rPr>
        <w:instrText xml:space="preserve"> REF _Ref142407402 \r \h </w:instrText>
      </w:r>
      <w:r>
        <w:rPr>
          <w:lang w:val="en-GB"/>
        </w:rPr>
      </w:r>
      <w:r>
        <w:rPr>
          <w:lang w:val="en-GB"/>
        </w:rPr>
        <w:fldChar w:fldCharType="separate"/>
      </w:r>
      <w:r>
        <w:rPr>
          <w:lang w:val="en-GB"/>
        </w:rPr>
        <w:t>[5]</w:t>
      </w:r>
      <w:r>
        <w:rPr>
          <w:lang w:val="en-GB"/>
        </w:rPr>
        <w:fldChar w:fldCharType="end"/>
      </w:r>
      <w:r>
        <w:rPr>
          <w:lang w:val="en-GB"/>
        </w:rPr>
        <w:t>:</w:t>
      </w:r>
    </w:p>
    <w:tbl>
      <w:tblPr>
        <w:tblStyle w:val="TableGrid"/>
        <w:tblW w:w="0" w:type="auto"/>
        <w:tblLook w:val="04A0" w:firstRow="1" w:lastRow="0" w:firstColumn="1" w:lastColumn="0" w:noHBand="0" w:noVBand="1"/>
      </w:tblPr>
      <w:tblGrid>
        <w:gridCol w:w="9617"/>
      </w:tblGrid>
      <w:tr w:rsidR="00750EAF" w14:paraId="29C86AB3" w14:textId="77777777" w:rsidTr="00750EAF">
        <w:tc>
          <w:tcPr>
            <w:tcW w:w="9617" w:type="dxa"/>
          </w:tcPr>
          <w:p w14:paraId="1128A0B9" w14:textId="77777777" w:rsidR="00750EAF" w:rsidRPr="00434EB3" w:rsidRDefault="00750EAF" w:rsidP="00750EAF">
            <w:pPr>
              <w:pStyle w:val="Heading4"/>
            </w:pPr>
            <w:r w:rsidRPr="006C5DA8">
              <w:t xml:space="preserve">Issue </w:t>
            </w:r>
            <w:r>
              <w:t>2-2</w:t>
            </w:r>
            <w:r w:rsidRPr="006C5DA8">
              <w:t xml:space="preserve">: </w:t>
            </w:r>
            <w:r>
              <w:t xml:space="preserve">Requirements </w:t>
            </w:r>
            <w:proofErr w:type="spellStart"/>
            <w:r>
              <w:t>appliacability</w:t>
            </w:r>
            <w:proofErr w:type="spellEnd"/>
            <w:r>
              <w:t xml:space="preserve"> for time-based </w:t>
            </w:r>
            <w:proofErr w:type="spellStart"/>
            <w:r w:rsidRPr="00FD0657">
              <w:t>neighbour</w:t>
            </w:r>
            <w:proofErr w:type="spellEnd"/>
            <w:r w:rsidRPr="00FD0657">
              <w:t xml:space="preserve"> cell measurements</w:t>
            </w:r>
          </w:p>
          <w:p w14:paraId="5EAA95AC" w14:textId="77777777" w:rsidR="00750EAF" w:rsidRPr="00517B68" w:rsidRDefault="00750EAF" w:rsidP="00750EAF">
            <w:pPr>
              <w:numPr>
                <w:ilvl w:val="0"/>
                <w:numId w:val="30"/>
              </w:numPr>
              <w:overflowPunct w:val="0"/>
              <w:autoSpaceDE w:val="0"/>
              <w:autoSpaceDN w:val="0"/>
              <w:adjustRightInd w:val="0"/>
              <w:spacing w:after="120" w:line="252" w:lineRule="auto"/>
              <w:ind w:left="644"/>
              <w:textAlignment w:val="baseline"/>
              <w:rPr>
                <w:bCs/>
                <w:szCs w:val="24"/>
                <w:highlight w:val="green"/>
                <w:lang w:eastAsia="zh-CN"/>
              </w:rPr>
            </w:pPr>
            <w:r w:rsidRPr="00517B68">
              <w:rPr>
                <w:bCs/>
                <w:szCs w:val="24"/>
                <w:highlight w:val="green"/>
                <w:lang w:eastAsia="zh-CN"/>
              </w:rPr>
              <w:t>Agreements</w:t>
            </w:r>
          </w:p>
          <w:p w14:paraId="513CD7BA" w14:textId="77777777" w:rsidR="00750EAF" w:rsidRPr="00517B68" w:rsidRDefault="00750EAF" w:rsidP="00750EAF">
            <w:pPr>
              <w:numPr>
                <w:ilvl w:val="1"/>
                <w:numId w:val="30"/>
              </w:numPr>
              <w:overflowPunct w:val="0"/>
              <w:autoSpaceDE w:val="0"/>
              <w:autoSpaceDN w:val="0"/>
              <w:adjustRightInd w:val="0"/>
              <w:spacing w:after="120" w:line="252" w:lineRule="auto"/>
              <w:textAlignment w:val="baseline"/>
              <w:rPr>
                <w:bCs/>
                <w:szCs w:val="24"/>
                <w:highlight w:val="green"/>
                <w:lang w:eastAsia="zh-CN"/>
              </w:rPr>
            </w:pPr>
            <w:r w:rsidRPr="00517B68">
              <w:rPr>
                <w:rFonts w:eastAsia="Times New Roman"/>
                <w:noProof/>
                <w:szCs w:val="24"/>
                <w:highlight w:val="green"/>
                <w:lang w:eastAsia="en-GB"/>
              </w:rPr>
              <w:t xml:space="preserve">UE shall be able to detect, measure, and evaluate neighbour cells before </w:t>
            </w:r>
            <w:r w:rsidRPr="00517B68">
              <w:rPr>
                <w:rFonts w:eastAsia="Yu Mincho" w:cs="v4.2.0"/>
                <w:i/>
                <w:iCs/>
                <w:szCs w:val="24"/>
                <w:highlight w:val="green"/>
                <w:lang w:eastAsia="en-GB"/>
              </w:rPr>
              <w:t>t-Service</w:t>
            </w:r>
            <w:r w:rsidRPr="00517B68">
              <w:rPr>
                <w:rFonts w:eastAsia="Yu Mincho" w:cs="v4.2.0"/>
                <w:szCs w:val="24"/>
                <w:highlight w:val="green"/>
                <w:lang w:eastAsia="en-GB"/>
              </w:rPr>
              <w:t xml:space="preserve"> is reached, and the </w:t>
            </w:r>
            <w:r w:rsidRPr="00517B68">
              <w:rPr>
                <w:rFonts w:eastAsia="Yu Mincho" w:cs="v4.2.0"/>
                <w:szCs w:val="24"/>
                <w:highlight w:val="green"/>
                <w:u w:val="single"/>
                <w:lang w:eastAsia="en-GB"/>
              </w:rPr>
              <w:t xml:space="preserve">relaxed </w:t>
            </w:r>
            <w:proofErr w:type="spellStart"/>
            <w:r w:rsidRPr="00517B68">
              <w:rPr>
                <w:rFonts w:eastAsia="Yu Mincho" w:cs="v4.2.0"/>
                <w:szCs w:val="24"/>
                <w:highlight w:val="green"/>
                <w:u w:val="single"/>
                <w:lang w:eastAsia="en-GB"/>
              </w:rPr>
              <w:t>neighbour</w:t>
            </w:r>
            <w:proofErr w:type="spellEnd"/>
            <w:r w:rsidRPr="00517B68">
              <w:rPr>
                <w:rFonts w:eastAsia="Yu Mincho" w:cs="v4.2.0"/>
                <w:szCs w:val="24"/>
                <w:highlight w:val="green"/>
                <w:u w:val="single"/>
                <w:lang w:eastAsia="en-GB"/>
              </w:rPr>
              <w:t xml:space="preserve"> cell measurement</w:t>
            </w:r>
            <w:r w:rsidRPr="00517B68">
              <w:rPr>
                <w:rFonts w:eastAsia="Yu Mincho" w:cs="v4.2.0"/>
                <w:szCs w:val="24"/>
                <w:highlight w:val="green"/>
                <w:lang w:eastAsia="en-GB"/>
              </w:rPr>
              <w:t xml:space="preserve"> is only allowed when </w:t>
            </w:r>
            <w:r w:rsidRPr="00517B68">
              <w:rPr>
                <w:rFonts w:eastAsia="Times New Roman"/>
                <w:szCs w:val="24"/>
                <w:highlight w:val="green"/>
                <w:lang w:eastAsia="zh-CN"/>
              </w:rPr>
              <w:t xml:space="preserve">the relaxed monitoring criteria defined in clause 5.2.4.12 [1] are fulfilled and the time span to </w:t>
            </w:r>
            <w:r w:rsidRPr="00517B68">
              <w:rPr>
                <w:rFonts w:eastAsia="Times New Roman"/>
                <w:noProof/>
                <w:szCs w:val="24"/>
                <w:highlight w:val="green"/>
                <w:lang w:eastAsia="en-GB"/>
              </w:rPr>
              <w:t xml:space="preserve">before </w:t>
            </w:r>
            <w:r w:rsidRPr="00517B68">
              <w:rPr>
                <w:rFonts w:eastAsia="Yu Mincho" w:cs="v4.2.0"/>
                <w:i/>
                <w:iCs/>
                <w:szCs w:val="24"/>
                <w:highlight w:val="green"/>
                <w:lang w:eastAsia="en-GB"/>
              </w:rPr>
              <w:t>t-</w:t>
            </w:r>
            <w:proofErr w:type="spellStart"/>
            <w:r w:rsidRPr="00517B68">
              <w:rPr>
                <w:rFonts w:eastAsia="Yu Mincho" w:cs="v4.2.0"/>
                <w:i/>
                <w:iCs/>
                <w:szCs w:val="24"/>
                <w:highlight w:val="green"/>
                <w:lang w:eastAsia="en-GB"/>
              </w:rPr>
              <w:t>Servic</w:t>
            </w:r>
            <w:proofErr w:type="spellEnd"/>
            <w:r w:rsidRPr="00517B68">
              <w:rPr>
                <w:rFonts w:eastAsia="Yu Mincho" w:cs="v4.2.0"/>
                <w:i/>
                <w:iCs/>
                <w:szCs w:val="24"/>
                <w:highlight w:val="green"/>
                <w:lang w:eastAsia="en-GB"/>
              </w:rPr>
              <w:t xml:space="preserve"> </w:t>
            </w:r>
            <w:r w:rsidRPr="00517B68">
              <w:rPr>
                <w:rFonts w:eastAsia="Yu Mincho" w:cs="v4.2.0"/>
                <w:iCs/>
                <w:szCs w:val="24"/>
                <w:highlight w:val="green"/>
                <w:lang w:eastAsia="en-GB"/>
              </w:rPr>
              <w:t xml:space="preserve">is longer than </w:t>
            </w:r>
            <w:r w:rsidRPr="00517B68">
              <w:rPr>
                <w:rFonts w:eastAsia="Times New Roman"/>
                <w:noProof/>
                <w:szCs w:val="24"/>
                <w:highlight w:val="green"/>
                <w:lang w:eastAsia="zh-CN"/>
              </w:rPr>
              <w:t>T</w:t>
            </w:r>
            <w:r w:rsidRPr="00517B68">
              <w:rPr>
                <w:rFonts w:eastAsia="Times New Roman"/>
                <w:noProof/>
                <w:szCs w:val="24"/>
                <w:highlight w:val="green"/>
                <w:vertAlign w:val="subscript"/>
                <w:lang w:eastAsia="zh-CN"/>
              </w:rPr>
              <w:t>trigger</w:t>
            </w:r>
          </w:p>
          <w:p w14:paraId="5DE809AF" w14:textId="77777777" w:rsidR="00750EAF" w:rsidRPr="00750EAF" w:rsidRDefault="00750EAF" w:rsidP="00750EAF"/>
        </w:tc>
      </w:tr>
    </w:tbl>
    <w:p w14:paraId="483390E9" w14:textId="77777777" w:rsidR="00750EAF" w:rsidRDefault="00750EAF" w:rsidP="00750EAF">
      <w:pPr>
        <w:rPr>
          <w:lang w:val="en-GB"/>
        </w:rPr>
      </w:pPr>
    </w:p>
    <w:p w14:paraId="2872A735" w14:textId="77777777" w:rsidR="00750EAF" w:rsidRDefault="00750EAF" w:rsidP="00750EAF">
      <w:pPr>
        <w:rPr>
          <w:lang w:val="en-GB"/>
        </w:rPr>
      </w:pPr>
      <w:r>
        <w:rPr>
          <w:lang w:val="en-GB"/>
        </w:rPr>
        <w:t>Therefore, it is our understanding that:</w:t>
      </w:r>
    </w:p>
    <w:p w14:paraId="51856A1B" w14:textId="2474863C" w:rsidR="00750EAF" w:rsidRDefault="00750EAF" w:rsidP="00750EAF">
      <w:pPr>
        <w:pStyle w:val="RAN4observation0"/>
      </w:pPr>
      <w:bookmarkStart w:id="7" w:name="_Toc135061226"/>
      <w:bookmarkStart w:id="8" w:name="_Toc142670494"/>
      <w:r>
        <w:t xml:space="preserve">Measurement relaxation for </w:t>
      </w:r>
      <w:r w:rsidRPr="00BA44EC">
        <w:rPr>
          <w:b/>
          <w:bCs/>
          <w:u w:val="single"/>
        </w:rPr>
        <w:t>neighbor cell</w:t>
      </w:r>
      <w:r>
        <w:t xml:space="preserve"> does not apply within T-trigger when t-service is broadcasted and applicable.</w:t>
      </w:r>
      <w:bookmarkEnd w:id="7"/>
      <w:bookmarkEnd w:id="8"/>
      <w:r>
        <w:t xml:space="preserve"> </w:t>
      </w:r>
    </w:p>
    <w:p w14:paraId="5DAC057A" w14:textId="77777777" w:rsidR="00750EAF" w:rsidRPr="00750EAF" w:rsidRDefault="00750EAF" w:rsidP="00750EAF"/>
    <w:p w14:paraId="14C0740B" w14:textId="039EC9DF" w:rsidR="00750EAF" w:rsidRDefault="00750EAF" w:rsidP="00750EAF">
      <w:pPr>
        <w:pStyle w:val="RAN4H3"/>
        <w:rPr>
          <w:lang w:val="en-GB"/>
        </w:rPr>
      </w:pPr>
      <w:r>
        <w:rPr>
          <w:lang w:val="en-GB"/>
        </w:rPr>
        <w:t xml:space="preserve">Ranking the serving cell </w:t>
      </w:r>
      <w:r w:rsidR="00134998">
        <w:rPr>
          <w:lang w:val="en-GB"/>
        </w:rPr>
        <w:t>for cell reselection</w:t>
      </w:r>
    </w:p>
    <w:p w14:paraId="5AAB0384" w14:textId="77777777" w:rsidR="00750EAF" w:rsidRDefault="00750EAF" w:rsidP="00750EAF">
      <w:pPr>
        <w:rPr>
          <w:lang w:val="en-GB"/>
        </w:rPr>
      </w:pPr>
    </w:p>
    <w:p w14:paraId="0C6843CD" w14:textId="549F1E21" w:rsidR="00750EAF" w:rsidRDefault="00750EAF" w:rsidP="004E16C1">
      <w:pPr>
        <w:jc w:val="both"/>
        <w:rPr>
          <w:lang w:val="en-GB"/>
        </w:rPr>
      </w:pPr>
      <w:r>
        <w:rPr>
          <w:lang w:val="en-GB"/>
        </w:rPr>
        <w:t xml:space="preserve">Regardless of whether the conditions of the serving cell right before </w:t>
      </w:r>
      <w:r w:rsidRPr="008021B0">
        <w:rPr>
          <w:i/>
          <w:iCs/>
          <w:lang w:val="en-GB"/>
        </w:rPr>
        <w:t>t-service</w:t>
      </w:r>
      <w:r>
        <w:rPr>
          <w:lang w:val="en-GB"/>
        </w:rPr>
        <w:t xml:space="preserve"> are good or bad, the UE knows (by the configuration of t-service) that the serving cell will disappear </w:t>
      </w:r>
      <w:r w:rsidRPr="00516E3B">
        <w:rPr>
          <w:b/>
          <w:bCs/>
          <w:u w:val="single"/>
          <w:lang w:val="en-GB"/>
        </w:rPr>
        <w:t xml:space="preserve">at </w:t>
      </w:r>
      <w:r w:rsidRPr="00516E3B">
        <w:rPr>
          <w:b/>
          <w:bCs/>
          <w:i/>
          <w:iCs/>
          <w:u w:val="single"/>
          <w:lang w:val="en-GB"/>
        </w:rPr>
        <w:t>t-service</w:t>
      </w:r>
      <w:r>
        <w:rPr>
          <w:i/>
          <w:iCs/>
          <w:lang w:val="en-GB"/>
        </w:rPr>
        <w:t xml:space="preserve">. </w:t>
      </w:r>
      <w:r>
        <w:rPr>
          <w:lang w:val="en-GB"/>
        </w:rPr>
        <w:t>Based on the average scenario</w:t>
      </w:r>
      <w:r w:rsidR="00DF78EC">
        <w:rPr>
          <w:lang w:val="en-GB"/>
        </w:rPr>
        <w:t xml:space="preserve"> it</w:t>
      </w:r>
      <w:r>
        <w:rPr>
          <w:lang w:val="en-GB"/>
        </w:rPr>
        <w:t xml:space="preserve"> is even more likely that the conditions on the serving cell </w:t>
      </w:r>
      <w:r w:rsidRPr="00134998">
        <w:rPr>
          <w:b/>
          <w:bCs/>
          <w:lang w:val="en-GB"/>
        </w:rPr>
        <w:t>are good</w:t>
      </w:r>
      <w:r>
        <w:rPr>
          <w:lang w:val="en-GB"/>
        </w:rPr>
        <w:t xml:space="preserve"> before the cell is discontinued.  Any last effort to collect serving cell measurements </w:t>
      </w:r>
      <w:r w:rsidR="00134998">
        <w:rPr>
          <w:lang w:val="en-GB"/>
        </w:rPr>
        <w:t>are not unnecessary, but it might hurt the timely cell reselection</w:t>
      </w:r>
      <w:r>
        <w:rPr>
          <w:lang w:val="en-GB"/>
        </w:rPr>
        <w:t xml:space="preserve">. </w:t>
      </w:r>
      <w:r w:rsidR="00F740B0">
        <w:rPr>
          <w:lang w:val="en-GB"/>
        </w:rPr>
        <w:t xml:space="preserve">This scenario is depicted in Figure 1. </w:t>
      </w:r>
      <w:r w:rsidR="004E16C1">
        <w:rPr>
          <w:lang w:val="en-GB"/>
        </w:rPr>
        <w:t xml:space="preserve"> In this figure, we show a scenario where the </w:t>
      </w:r>
      <w:proofErr w:type="spellStart"/>
      <w:r w:rsidR="004E16C1">
        <w:rPr>
          <w:lang w:val="en-GB"/>
        </w:rPr>
        <w:t>neighbor</w:t>
      </w:r>
      <w:proofErr w:type="spellEnd"/>
      <w:r w:rsidR="004E16C1">
        <w:rPr>
          <w:lang w:val="en-GB"/>
        </w:rPr>
        <w:t xml:space="preserve"> cell measurements are triggered by </w:t>
      </w:r>
      <w:proofErr w:type="spellStart"/>
      <w:r w:rsidR="004E16C1">
        <w:rPr>
          <w:lang w:val="en-GB"/>
        </w:rPr>
        <w:t>Ttrigger</w:t>
      </w:r>
      <w:proofErr w:type="spellEnd"/>
      <w:r w:rsidR="004E16C1">
        <w:rPr>
          <w:lang w:val="en-GB"/>
        </w:rPr>
        <w:t xml:space="preserve">. The received power level from the serving cell is still in good </w:t>
      </w:r>
      <w:proofErr w:type="gramStart"/>
      <w:r w:rsidR="004E16C1">
        <w:rPr>
          <w:lang w:val="en-GB"/>
        </w:rPr>
        <w:t>conditions, and</w:t>
      </w:r>
      <w:proofErr w:type="gramEnd"/>
      <w:r w:rsidR="004E16C1">
        <w:rPr>
          <w:lang w:val="en-GB"/>
        </w:rPr>
        <w:t xml:space="preserve"> might even be above any of the </w:t>
      </w:r>
      <w:proofErr w:type="spellStart"/>
      <w:r w:rsidR="004E16C1">
        <w:rPr>
          <w:lang w:val="en-GB"/>
        </w:rPr>
        <w:t>neighbor</w:t>
      </w:r>
      <w:proofErr w:type="spellEnd"/>
      <w:r w:rsidR="004E16C1">
        <w:rPr>
          <w:lang w:val="en-GB"/>
        </w:rPr>
        <w:t xml:space="preserve"> cells (as depicted). If that’s the case, the UE will not perform cell reselection upon t-service, as the UE will rank the serving cell as very high. Only </w:t>
      </w:r>
      <w:proofErr w:type="spellStart"/>
      <w:r w:rsidR="004E16C1">
        <w:rPr>
          <w:lang w:val="en-GB"/>
        </w:rPr>
        <w:t>T</w:t>
      </w:r>
      <w:r w:rsidR="004E16C1" w:rsidRPr="004E16C1">
        <w:rPr>
          <w:vertAlign w:val="subscript"/>
          <w:lang w:val="en-GB"/>
        </w:rPr>
        <w:t>evaluate</w:t>
      </w:r>
      <w:proofErr w:type="spellEnd"/>
      <w:r w:rsidR="004E16C1">
        <w:rPr>
          <w:lang w:val="en-GB"/>
        </w:rPr>
        <w:t xml:space="preserve"> seconds after the </w:t>
      </w:r>
      <w:r w:rsidR="000063D2">
        <w:rPr>
          <w:lang w:val="en-GB"/>
        </w:rPr>
        <w:t>last sample before t-service</w:t>
      </w:r>
      <w:r w:rsidR="004E16C1">
        <w:rPr>
          <w:lang w:val="en-GB"/>
        </w:rPr>
        <w:t xml:space="preserve"> the UE will be required to perform the cell reselection. </w:t>
      </w:r>
    </w:p>
    <w:p w14:paraId="4E791D8D" w14:textId="77777777" w:rsidR="00C55C06" w:rsidRDefault="00F740B0" w:rsidP="00C55C06">
      <w:pPr>
        <w:keepNext/>
      </w:pPr>
      <w:r>
        <w:rPr>
          <w:noProof/>
          <w:lang w:val="en-GB"/>
        </w:rPr>
        <w:drawing>
          <wp:inline distT="0" distB="0" distL="0" distR="0" wp14:anchorId="5DE23063" wp14:editId="4782AE53">
            <wp:extent cx="5468439" cy="2689048"/>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bwMode="auto">
                    <a:xfrm>
                      <a:off x="0" y="0"/>
                      <a:ext cx="5468439" cy="2689048"/>
                    </a:xfrm>
                    <a:prstGeom prst="rect">
                      <a:avLst/>
                    </a:prstGeom>
                  </pic:spPr>
                </pic:pic>
              </a:graphicData>
            </a:graphic>
          </wp:inline>
        </w:drawing>
      </w:r>
    </w:p>
    <w:p w14:paraId="33C1E678" w14:textId="09BD7465" w:rsidR="00F740B0" w:rsidRDefault="00C55C06" w:rsidP="00C55C06">
      <w:pPr>
        <w:pStyle w:val="Caption"/>
        <w:jc w:val="left"/>
        <w:rPr>
          <w:lang w:val="en-GB"/>
        </w:rPr>
      </w:pPr>
      <w:r>
        <w:t xml:space="preserve">Figure </w:t>
      </w:r>
      <w:r w:rsidR="00C11C0E">
        <w:fldChar w:fldCharType="begin"/>
      </w:r>
      <w:r w:rsidR="00C11C0E">
        <w:instrText xml:space="preserve"> SEQ Figure \* ARABIC </w:instrText>
      </w:r>
      <w:r w:rsidR="00C11C0E">
        <w:fldChar w:fldCharType="separate"/>
      </w:r>
      <w:r>
        <w:rPr>
          <w:noProof/>
        </w:rPr>
        <w:t>1</w:t>
      </w:r>
      <w:r w:rsidR="00C11C0E">
        <w:rPr>
          <w:noProof/>
        </w:rPr>
        <w:fldChar w:fldCharType="end"/>
      </w:r>
      <w:r w:rsidR="004E16C1">
        <w:t xml:space="preserve">. The presence of good serving cell measurements (blue), better than neighbor cell measurements (green), before t-service, will delay the cell reselection at the UE side, even though the UE has full knowledge of the disappearance of the serving cell. </w:t>
      </w:r>
    </w:p>
    <w:p w14:paraId="77A4E814" w14:textId="77777777" w:rsidR="00750EAF" w:rsidRDefault="00750EAF" w:rsidP="00750EAF">
      <w:pPr>
        <w:rPr>
          <w:lang w:val="en-GB"/>
        </w:rPr>
      </w:pPr>
    </w:p>
    <w:p w14:paraId="60B532BA" w14:textId="77777777" w:rsidR="00750EAF" w:rsidRDefault="00750EAF" w:rsidP="00750EAF">
      <w:pPr>
        <w:rPr>
          <w:lang w:val="en-GB"/>
        </w:rPr>
      </w:pPr>
    </w:p>
    <w:p w14:paraId="096623F9" w14:textId="77777777" w:rsidR="00750EAF" w:rsidRPr="00750EAF" w:rsidRDefault="00750EAF" w:rsidP="00750EAF">
      <w:pPr>
        <w:rPr>
          <w:lang w:val="en-GB"/>
        </w:rPr>
      </w:pPr>
    </w:p>
    <w:p w14:paraId="56B8ED78" w14:textId="0C5B6F6A" w:rsidR="00750EAF" w:rsidRDefault="004E16C1" w:rsidP="004E16C1">
      <w:pPr>
        <w:pStyle w:val="RAN4observation0"/>
        <w:rPr>
          <w:noProof/>
        </w:rPr>
      </w:pPr>
      <w:bookmarkStart w:id="9" w:name="_Toc142670495"/>
      <w:r>
        <w:rPr>
          <w:noProof/>
        </w:rPr>
        <w:t>Measuring the serving cell before t-service might cause unnecessary delay on cell reselection procedure.</w:t>
      </w:r>
      <w:bookmarkEnd w:id="9"/>
      <w:r>
        <w:rPr>
          <w:noProof/>
        </w:rPr>
        <w:t xml:space="preserve"> </w:t>
      </w:r>
    </w:p>
    <w:p w14:paraId="6ADD74A0" w14:textId="691253E4" w:rsidR="004E16C1" w:rsidRPr="004E16C1" w:rsidRDefault="004E16C1" w:rsidP="004E16C1">
      <w:r>
        <w:t>Therefore, we propose:</w:t>
      </w:r>
    </w:p>
    <w:p w14:paraId="118E07AB" w14:textId="4AB2900E" w:rsidR="004E16C1" w:rsidRDefault="00750EAF" w:rsidP="00750EAF">
      <w:pPr>
        <w:pStyle w:val="RAN4proposal"/>
        <w:rPr>
          <w:noProof/>
        </w:rPr>
      </w:pPr>
      <w:bookmarkStart w:id="10" w:name="_Toc135061227"/>
      <w:bookmarkStart w:id="11" w:name="_Toc142670496"/>
      <w:r>
        <w:rPr>
          <w:noProof/>
        </w:rPr>
        <w:t>After Ttrigger</w:t>
      </w:r>
      <w:r w:rsidR="00B15302">
        <w:rPr>
          <w:noProof/>
        </w:rPr>
        <w:t xml:space="preserve">, a UE in relaxation mode </w:t>
      </w:r>
      <w:r>
        <w:rPr>
          <w:noProof/>
        </w:rPr>
        <w:t>is allowed to skip serving cell measurements</w:t>
      </w:r>
      <w:r w:rsidR="004E16C1">
        <w:rPr>
          <w:noProof/>
        </w:rPr>
        <w:t>.</w:t>
      </w:r>
      <w:bookmarkEnd w:id="11"/>
    </w:p>
    <w:p w14:paraId="0F7AFC5F" w14:textId="30331090" w:rsidR="00750EAF" w:rsidRDefault="004E16C1" w:rsidP="00750EAF">
      <w:pPr>
        <w:pStyle w:val="RAN4proposal"/>
        <w:rPr>
          <w:noProof/>
        </w:rPr>
      </w:pPr>
      <w:bookmarkStart w:id="12" w:name="_Toc142670497"/>
      <w:r>
        <w:rPr>
          <w:noProof/>
        </w:rPr>
        <w:t xml:space="preserve">After Ttrigger </w:t>
      </w:r>
      <w:r w:rsidR="00B15302">
        <w:rPr>
          <w:noProof/>
        </w:rPr>
        <w:t xml:space="preserve">, a </w:t>
      </w:r>
      <w:r>
        <w:rPr>
          <w:noProof/>
        </w:rPr>
        <w:t>UE</w:t>
      </w:r>
      <w:r w:rsidR="00B15302">
        <w:rPr>
          <w:noProof/>
        </w:rPr>
        <w:t xml:space="preserve"> in relaxation mode</w:t>
      </w:r>
      <w:r>
        <w:rPr>
          <w:noProof/>
        </w:rPr>
        <w:t xml:space="preserve"> is allowed</w:t>
      </w:r>
      <w:r w:rsidR="00750EAF">
        <w:rPr>
          <w:noProof/>
        </w:rPr>
        <w:t xml:space="preserve"> </w:t>
      </w:r>
      <w:r>
        <w:rPr>
          <w:noProof/>
        </w:rPr>
        <w:t>to skip</w:t>
      </w:r>
      <w:r w:rsidR="005263BD">
        <w:rPr>
          <w:noProof/>
        </w:rPr>
        <w:t xml:space="preserve"> </w:t>
      </w:r>
      <w:r w:rsidR="00750EAF">
        <w:rPr>
          <w:noProof/>
        </w:rPr>
        <w:t>measurements of neighbor cells associated to the same serving satellite.</w:t>
      </w:r>
      <w:bookmarkEnd w:id="10"/>
      <w:bookmarkEnd w:id="12"/>
      <w:r w:rsidR="00750EAF">
        <w:rPr>
          <w:noProof/>
        </w:rPr>
        <w:t xml:space="preserve"> </w:t>
      </w:r>
    </w:p>
    <w:p w14:paraId="7C3091F0" w14:textId="3A6DC850" w:rsidR="00750EAF" w:rsidRDefault="00750EAF" w:rsidP="00750EAF">
      <w:r>
        <w:t xml:space="preserve">The main advantage of </w:t>
      </w:r>
      <w:r w:rsidR="004E16C1">
        <w:t>combining proposals 1 and 2</w:t>
      </w:r>
      <w:r>
        <w:t xml:space="preserve"> is that for the cases where the UE </w:t>
      </w:r>
      <w:proofErr w:type="gramStart"/>
      <w:r>
        <w:t>has to</w:t>
      </w:r>
      <w:proofErr w:type="gramEnd"/>
      <w:r>
        <w:t xml:space="preserve"> measure cells on a neighbor satellite, if the UE can skip the measurements on the serving cell the </w:t>
      </w:r>
      <w:proofErr w:type="spellStart"/>
      <w:r>
        <w:t>K_satellite</w:t>
      </w:r>
      <w:proofErr w:type="spellEnd"/>
      <w:r>
        <w:t xml:space="preserve"> factor may be reduced from 2 to 1, saving UE energy and speeding up the reaction time of the UE. </w:t>
      </w:r>
      <w:r w:rsidR="000E3613">
        <w:t xml:space="preserve">For that to be achievable, it is important that </w:t>
      </w:r>
      <w:proofErr w:type="spellStart"/>
      <w:r w:rsidR="000E3613">
        <w:t>K_satellite</w:t>
      </w:r>
      <w:proofErr w:type="spellEnd"/>
      <w:r w:rsidR="000E3613">
        <w:t xml:space="preserve"> is designed in the intended manner </w:t>
      </w:r>
      <w:r w:rsidR="00E37A61">
        <w:t>seen throughout the discussions:</w:t>
      </w:r>
    </w:p>
    <w:p w14:paraId="4E8A526A" w14:textId="20AA6C2C" w:rsidR="00E37A61" w:rsidRDefault="00E37A61" w:rsidP="00E37A61">
      <w:pPr>
        <w:pStyle w:val="ListParagraph"/>
        <w:numPr>
          <w:ilvl w:val="0"/>
          <w:numId w:val="31"/>
        </w:numPr>
      </w:pPr>
      <w:r>
        <w:t xml:space="preserve">If the UE is not configured to measure more than one satellite, or if there is not more than one satellite available, </w:t>
      </w:r>
      <w:proofErr w:type="spellStart"/>
      <w:r>
        <w:t>K</w:t>
      </w:r>
      <w:r w:rsidRPr="00E37A61">
        <w:rPr>
          <w:vertAlign w:val="subscript"/>
        </w:rPr>
        <w:t>satellite</w:t>
      </w:r>
      <w:proofErr w:type="spellEnd"/>
      <w:r>
        <w:t xml:space="preserve"> must be equal to 1. </w:t>
      </w:r>
    </w:p>
    <w:p w14:paraId="01317DAE" w14:textId="0707754C" w:rsidR="00CB33E6" w:rsidRDefault="00BD18CD" w:rsidP="00E37A61">
      <w:pPr>
        <w:pStyle w:val="ListParagraph"/>
        <w:numPr>
          <w:ilvl w:val="0"/>
          <w:numId w:val="31"/>
        </w:numPr>
      </w:pPr>
      <w:r>
        <w:t xml:space="preserve">In default scenarios, where there is one neighbor satellite configured for measurements plus the serving satellite, </w:t>
      </w:r>
      <w:proofErr w:type="spellStart"/>
      <w:r>
        <w:t>K</w:t>
      </w:r>
      <w:r w:rsidRPr="00E37A61">
        <w:rPr>
          <w:vertAlign w:val="subscript"/>
        </w:rPr>
        <w:t>satellite</w:t>
      </w:r>
      <w:proofErr w:type="spellEnd"/>
      <w:r>
        <w:t xml:space="preserve"> must be equal to 2.</w:t>
      </w:r>
    </w:p>
    <w:p w14:paraId="1CA4AFB9" w14:textId="721FB965" w:rsidR="00E37A61" w:rsidRDefault="00E37A61" w:rsidP="00E37A61">
      <w:pPr>
        <w:pStyle w:val="ListParagraph"/>
        <w:numPr>
          <w:ilvl w:val="0"/>
          <w:numId w:val="31"/>
        </w:numPr>
      </w:pPr>
      <w:r>
        <w:t xml:space="preserve">If a UE has the capability to measure more than 2 satellites </w:t>
      </w:r>
      <w:r w:rsidR="004E7286">
        <w:t xml:space="preserve">and </w:t>
      </w:r>
      <w:r w:rsidR="004E7286" w:rsidRPr="00BA44EC">
        <w:rPr>
          <w:b/>
          <w:bCs/>
        </w:rPr>
        <w:t>more than one neighbor</w:t>
      </w:r>
      <w:r w:rsidR="004E7286">
        <w:t xml:space="preserve"> satellite is configured by the network, then </w:t>
      </w:r>
      <w:proofErr w:type="spellStart"/>
      <w:r w:rsidR="004E7286">
        <w:t>K_satellite</w:t>
      </w:r>
      <w:proofErr w:type="spellEnd"/>
      <w:r w:rsidR="004E7286">
        <w:t xml:space="preserve"> is </w:t>
      </w:r>
      <w:r w:rsidR="00524974">
        <w:t xml:space="preserve">equal to the number of satellites configured for measurement (and available) or the number of satellites the UE is capable of </w:t>
      </w:r>
      <w:r w:rsidR="00BD18CD">
        <w:t>monitoring</w:t>
      </w:r>
      <w:r w:rsidR="00524974">
        <w:t xml:space="preserve">, whichever is </w:t>
      </w:r>
      <w:r w:rsidR="00BD18CD">
        <w:t>lower</w:t>
      </w:r>
      <w:r w:rsidR="00524974">
        <w:t xml:space="preserve">. </w:t>
      </w:r>
    </w:p>
    <w:p w14:paraId="70F865C2" w14:textId="46184277" w:rsidR="00524974" w:rsidRDefault="00524974" w:rsidP="00524974">
      <w:pPr>
        <w:pStyle w:val="RAN4proposal"/>
      </w:pPr>
      <w:bookmarkStart w:id="13" w:name="_Toc142670498"/>
      <w:r>
        <w:t xml:space="preserve">Define </w:t>
      </w:r>
      <w:proofErr w:type="spellStart"/>
      <w:r>
        <w:t>K_satellite</w:t>
      </w:r>
      <w:proofErr w:type="spellEnd"/>
      <w:r>
        <w:t xml:space="preserve"> as the number of satellites the UE is expected and configured to </w:t>
      </w:r>
      <w:r w:rsidR="006176BC">
        <w:t xml:space="preserve">monitor </w:t>
      </w:r>
      <w:r>
        <w:t xml:space="preserve">by the serving </w:t>
      </w:r>
      <w:r w:rsidR="00BB37D8">
        <w:t>cell.</w:t>
      </w:r>
      <w:bookmarkEnd w:id="13"/>
      <w:r w:rsidR="00BB37D8">
        <w:t xml:space="preserve"> </w:t>
      </w:r>
    </w:p>
    <w:p w14:paraId="54499645" w14:textId="77777777" w:rsidR="004E16C1" w:rsidRDefault="004E16C1" w:rsidP="00750EAF"/>
    <w:p w14:paraId="4CC9E18F" w14:textId="77777777" w:rsidR="00750EAF" w:rsidRDefault="00750EAF" w:rsidP="00750EAF">
      <w:r>
        <w:t xml:space="preserve">Another alternative solution to further enhance the UE reaction time and the cell reselection procedure is to allow the UE to perform cell selection procedure instead of cell reselection procedure immediately before t-service, as the UE already knows the suitable  cell will be gone at t-service. </w:t>
      </w:r>
    </w:p>
    <w:p w14:paraId="77DEFAE5" w14:textId="2615AAF9" w:rsidR="00750EAF" w:rsidRPr="00143C82" w:rsidRDefault="00750EAF" w:rsidP="00750EAF">
      <w:pPr>
        <w:pStyle w:val="RAN4proposal"/>
      </w:pPr>
      <w:bookmarkStart w:id="14" w:name="_Toc135061228"/>
      <w:bookmarkStart w:id="15" w:name="_Toc142670499"/>
      <w:r>
        <w:t>When t-service is configured, the UE might perform cell selection procedure instead of cell reselection procedure, when the time span to T-service is smaller than</w:t>
      </w:r>
      <w:r w:rsidRPr="00143C82">
        <w:t xml:space="preserve"> k, where k = </w:t>
      </w:r>
      <w:r>
        <w:t>2</w:t>
      </w:r>
      <w:r w:rsidRPr="00143C82">
        <w:t xml:space="preserve"> DRX cycle if not configured with </w:t>
      </w:r>
      <w:proofErr w:type="spellStart"/>
      <w:r w:rsidRPr="00143C82">
        <w:t>eDRX_IDLE</w:t>
      </w:r>
      <w:proofErr w:type="spellEnd"/>
      <w:r w:rsidRPr="00143C82">
        <w:t xml:space="preserve"> cycle, and k = 1 </w:t>
      </w:r>
      <w:proofErr w:type="spellStart"/>
      <w:r w:rsidRPr="00143C82">
        <w:t>eDRX</w:t>
      </w:r>
      <w:proofErr w:type="spellEnd"/>
      <w:r w:rsidRPr="00143C82">
        <w:t xml:space="preserve"> cycle if configured with </w:t>
      </w:r>
      <w:proofErr w:type="spellStart"/>
      <w:r w:rsidRPr="00143C82">
        <w:t>eDRX_IDLE</w:t>
      </w:r>
      <w:proofErr w:type="spellEnd"/>
      <w:r w:rsidRPr="00143C82">
        <w:t xml:space="preserve"> cycle.</w:t>
      </w:r>
      <w:bookmarkEnd w:id="14"/>
      <w:bookmarkEnd w:id="15"/>
    </w:p>
    <w:p w14:paraId="664195A8" w14:textId="3B8A421A" w:rsidR="00750EAF" w:rsidRDefault="00DC4780" w:rsidP="00DC4780">
      <w:pPr>
        <w:pStyle w:val="RAN4H2"/>
      </w:pPr>
      <w:r>
        <w:t xml:space="preserve">Relaxation Factor </w:t>
      </w:r>
    </w:p>
    <w:p w14:paraId="65CCA836" w14:textId="77777777" w:rsidR="0034448C" w:rsidRDefault="00DC4780" w:rsidP="00DC4780">
      <w:r>
        <w:t xml:space="preserve">The relaxation factor </w:t>
      </w:r>
      <w:r w:rsidR="005E3348">
        <w:t xml:space="preserve">for GSO and NGSO satellites have been discussed throughout many meetings. </w:t>
      </w:r>
      <w:r w:rsidR="00090B1F">
        <w:t xml:space="preserve">This issue was addressed in </w:t>
      </w:r>
      <w:r w:rsidR="00486060">
        <w:fldChar w:fldCharType="begin"/>
      </w:r>
      <w:r w:rsidR="00486060">
        <w:instrText xml:space="preserve"> REF _Ref130395463 \r \h </w:instrText>
      </w:r>
      <w:r w:rsidR="00486060">
        <w:fldChar w:fldCharType="separate"/>
      </w:r>
      <w:r w:rsidR="00486060">
        <w:t>[6]</w:t>
      </w:r>
      <w:r w:rsidR="00486060">
        <w:fldChar w:fldCharType="end"/>
      </w:r>
      <w:r w:rsidR="00486060">
        <w:fldChar w:fldCharType="begin"/>
      </w:r>
      <w:r w:rsidR="00486060">
        <w:instrText xml:space="preserve"> REF _Ref142412253 \r \h </w:instrText>
      </w:r>
      <w:r w:rsidR="00486060">
        <w:fldChar w:fldCharType="separate"/>
      </w:r>
      <w:r w:rsidR="00486060">
        <w:t>[7]</w:t>
      </w:r>
      <w:r w:rsidR="00486060">
        <w:fldChar w:fldCharType="end"/>
      </w:r>
      <w:r w:rsidR="00486060">
        <w:t xml:space="preserve">. </w:t>
      </w:r>
      <w:r w:rsidR="0034448C">
        <w:t xml:space="preserve">In our view there is no need to introduce a different scaling factor for the different scenarios. We will hereby reproduce the discussion presented in </w:t>
      </w:r>
      <w:r w:rsidR="0034448C">
        <w:fldChar w:fldCharType="begin"/>
      </w:r>
      <w:r w:rsidR="0034448C">
        <w:instrText xml:space="preserve"> REF _Ref142412253 \r \h </w:instrText>
      </w:r>
      <w:r w:rsidR="0034448C">
        <w:fldChar w:fldCharType="separate"/>
      </w:r>
      <w:r w:rsidR="0034448C">
        <w:t>[7]</w:t>
      </w:r>
      <w:r w:rsidR="0034448C">
        <w:fldChar w:fldCharType="end"/>
      </w:r>
      <w:r w:rsidR="0034448C">
        <w:t>:</w:t>
      </w:r>
    </w:p>
    <w:p w14:paraId="31DDE36A" w14:textId="23EDDC35" w:rsidR="00633FD1" w:rsidRDefault="00633FD1" w:rsidP="00633FD1">
      <w:r>
        <w:t xml:space="preserve">The measurement relaxation factor is a function of the DRX cycle length and the “relaxation factor” defined by the network: </w:t>
      </w:r>
      <w:proofErr w:type="spellStart"/>
      <w:r w:rsidRPr="00D46F47">
        <w:rPr>
          <w:i/>
          <w:iCs/>
        </w:rPr>
        <w:t>numDRX-CyclesRelaxe</w:t>
      </w:r>
      <w:r>
        <w:rPr>
          <w:i/>
          <w:iCs/>
        </w:rPr>
        <w:t>d</w:t>
      </w:r>
      <w:proofErr w:type="spellEnd"/>
      <w:r>
        <w:rPr>
          <w:i/>
          <w:iCs/>
        </w:rPr>
        <w:t xml:space="preserve">. </w:t>
      </w:r>
      <w:r>
        <w:t xml:space="preserve">As demonstrated by the tables below </w:t>
      </w:r>
      <w:r>
        <w:fldChar w:fldCharType="begin"/>
      </w:r>
      <w:r>
        <w:instrText xml:space="preserve"> REF _Ref127447652 \r \h </w:instrText>
      </w:r>
      <w:r>
        <w:fldChar w:fldCharType="separate"/>
      </w:r>
      <w:r w:rsidR="00BC32D6">
        <w:t>[8]</w:t>
      </w:r>
      <w:r>
        <w:fldChar w:fldCharType="end"/>
      </w:r>
      <w:r>
        <w:t>:</w:t>
      </w:r>
    </w:p>
    <w:tbl>
      <w:tblPr>
        <w:tblStyle w:val="TableGrid"/>
        <w:tblW w:w="0" w:type="auto"/>
        <w:tblLook w:val="04A0" w:firstRow="1" w:lastRow="0" w:firstColumn="1" w:lastColumn="0" w:noHBand="0" w:noVBand="1"/>
      </w:tblPr>
      <w:tblGrid>
        <w:gridCol w:w="9617"/>
      </w:tblGrid>
      <w:tr w:rsidR="00633FD1" w14:paraId="2339486B" w14:textId="77777777" w:rsidTr="00A34355">
        <w:tc>
          <w:tcPr>
            <w:tcW w:w="9617" w:type="dxa"/>
          </w:tcPr>
          <w:p w14:paraId="286A1CA5" w14:textId="77777777" w:rsidR="00633FD1" w:rsidRPr="00445E8A" w:rsidRDefault="00633FD1" w:rsidP="00A34355">
            <w:pPr>
              <w:pStyle w:val="TH"/>
              <w:rPr>
                <w:vertAlign w:val="subscript"/>
              </w:rPr>
            </w:pPr>
            <w:r w:rsidRPr="00445E8A">
              <w:rPr>
                <w:snapToGrid w:val="0"/>
              </w:rPr>
              <w:lastRenderedPageBreak/>
              <w:t xml:space="preserve">Table 4.6A.2.1A-1: </w:t>
            </w:r>
            <w:r w:rsidRPr="00445E8A">
              <w:t xml:space="preserve">The relaxation factor N for a UE not configured with </w:t>
            </w:r>
            <w:proofErr w:type="spellStart"/>
            <w:r w:rsidRPr="00445E8A">
              <w:t>eDRX</w:t>
            </w:r>
            <w:proofErr w:type="spellEnd"/>
            <w:r w:rsidRPr="00445E8A">
              <w:t xml:space="preserve"> IDLE </w:t>
            </w:r>
            <w:proofErr w:type="gramStart"/>
            <w:r w:rsidRPr="00445E8A">
              <w:t>cycle</w:t>
            </w:r>
            <w:proofErr w:type="gramEnd"/>
          </w:p>
          <w:tbl>
            <w:tblPr>
              <w:tblW w:w="25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2479"/>
            </w:tblGrid>
            <w:tr w:rsidR="00633FD1" w:rsidRPr="00445E8A" w14:paraId="2F65D6E7" w14:textId="77777777" w:rsidTr="00A34355">
              <w:trPr>
                <w:cantSplit/>
                <w:jc w:val="center"/>
              </w:trPr>
              <w:tc>
                <w:tcPr>
                  <w:tcW w:w="2428" w:type="pct"/>
                </w:tcPr>
                <w:p w14:paraId="09D9B631" w14:textId="77777777" w:rsidR="00633FD1" w:rsidRPr="00445E8A" w:rsidRDefault="00633FD1" w:rsidP="00A34355">
                  <w:pPr>
                    <w:pStyle w:val="TAH"/>
                    <w:rPr>
                      <w:rFonts w:cs="Arial"/>
                      <w:snapToGrid w:val="0"/>
                    </w:rPr>
                  </w:pPr>
                  <w:r w:rsidRPr="00445E8A">
                    <w:rPr>
                      <w:rFonts w:cs="Arial"/>
                    </w:rPr>
                    <w:t>DRX cycle length [s]</w:t>
                  </w:r>
                </w:p>
              </w:tc>
              <w:tc>
                <w:tcPr>
                  <w:tcW w:w="2572" w:type="pct"/>
                </w:tcPr>
                <w:p w14:paraId="002F3DE3" w14:textId="77777777" w:rsidR="00633FD1" w:rsidRPr="00445E8A" w:rsidRDefault="00633FD1" w:rsidP="00A34355">
                  <w:pPr>
                    <w:pStyle w:val="TAH"/>
                    <w:rPr>
                      <w:rFonts w:cs="Arial"/>
                      <w:snapToGrid w:val="0"/>
                    </w:rPr>
                  </w:pPr>
                  <w:r w:rsidRPr="00445E8A">
                    <w:rPr>
                      <w:rFonts w:cs="Arial"/>
                    </w:rPr>
                    <w:t>Value</w:t>
                  </w:r>
                </w:p>
              </w:tc>
            </w:tr>
            <w:tr w:rsidR="00633FD1" w:rsidRPr="00445E8A" w14:paraId="55BFD461" w14:textId="77777777" w:rsidTr="00A34355">
              <w:trPr>
                <w:cantSplit/>
                <w:jc w:val="center"/>
              </w:trPr>
              <w:tc>
                <w:tcPr>
                  <w:tcW w:w="2428" w:type="pct"/>
                </w:tcPr>
                <w:p w14:paraId="70F2208D" w14:textId="77777777" w:rsidR="00633FD1" w:rsidRPr="00445E8A" w:rsidRDefault="00633FD1" w:rsidP="00A34355">
                  <w:pPr>
                    <w:pStyle w:val="TAH"/>
                    <w:rPr>
                      <w:rFonts w:cs="Arial"/>
                      <w:b w:val="0"/>
                      <w:lang w:eastAsia="zh-CN"/>
                    </w:rPr>
                  </w:pPr>
                  <w:r w:rsidRPr="00445E8A">
                    <w:rPr>
                      <w:rFonts w:cs="Arial" w:hint="eastAsia"/>
                      <w:b w:val="0"/>
                      <w:lang w:eastAsia="zh-CN"/>
                    </w:rPr>
                    <w:t>0</w:t>
                  </w:r>
                  <w:r w:rsidRPr="00445E8A">
                    <w:rPr>
                      <w:rFonts w:cs="Arial"/>
                      <w:b w:val="0"/>
                      <w:lang w:eastAsia="zh-CN"/>
                    </w:rPr>
                    <w:t>.32</w:t>
                  </w:r>
                </w:p>
              </w:tc>
              <w:tc>
                <w:tcPr>
                  <w:tcW w:w="2572" w:type="pct"/>
                </w:tcPr>
                <w:p w14:paraId="13D7B823" w14:textId="77777777" w:rsidR="00633FD1" w:rsidRPr="00445E8A" w:rsidRDefault="00633FD1" w:rsidP="00A34355">
                  <w:pPr>
                    <w:pStyle w:val="TAH"/>
                    <w:rPr>
                      <w:rFonts w:cs="Arial"/>
                      <w:b w:val="0"/>
                    </w:rPr>
                  </w:pPr>
                  <w:r w:rsidRPr="00445E8A">
                    <w:rPr>
                      <w:b w:val="0"/>
                    </w:rPr>
                    <w:t>Min(</w:t>
                  </w:r>
                  <w:r w:rsidRPr="00445E8A">
                    <w:rPr>
                      <w:b w:val="0"/>
                      <w:i/>
                    </w:rPr>
                    <w:t>n</w:t>
                  </w:r>
                  <w:r w:rsidRPr="00445E8A">
                    <w:rPr>
                      <w:b w:val="0"/>
                    </w:rPr>
                    <w:t xml:space="preserve"> , 8)</w:t>
                  </w:r>
                </w:p>
              </w:tc>
            </w:tr>
            <w:tr w:rsidR="00633FD1" w:rsidRPr="00445E8A" w14:paraId="0BD01223" w14:textId="77777777" w:rsidTr="00A34355">
              <w:trPr>
                <w:cantSplit/>
                <w:jc w:val="center"/>
              </w:trPr>
              <w:tc>
                <w:tcPr>
                  <w:tcW w:w="2428" w:type="pct"/>
                </w:tcPr>
                <w:p w14:paraId="3B4379E3" w14:textId="77777777" w:rsidR="00633FD1" w:rsidRPr="00445E8A" w:rsidRDefault="00633FD1" w:rsidP="00A34355">
                  <w:pPr>
                    <w:pStyle w:val="TAH"/>
                    <w:rPr>
                      <w:rFonts w:cs="Arial"/>
                      <w:b w:val="0"/>
                      <w:lang w:eastAsia="zh-CN"/>
                    </w:rPr>
                  </w:pPr>
                  <w:r w:rsidRPr="00445E8A">
                    <w:rPr>
                      <w:rFonts w:cs="Arial" w:hint="eastAsia"/>
                      <w:b w:val="0"/>
                      <w:lang w:eastAsia="zh-CN"/>
                    </w:rPr>
                    <w:t>0</w:t>
                  </w:r>
                  <w:r w:rsidRPr="00445E8A">
                    <w:rPr>
                      <w:rFonts w:cs="Arial"/>
                      <w:b w:val="0"/>
                      <w:lang w:eastAsia="zh-CN"/>
                    </w:rPr>
                    <w:t>.64</w:t>
                  </w:r>
                </w:p>
              </w:tc>
              <w:tc>
                <w:tcPr>
                  <w:tcW w:w="2572" w:type="pct"/>
                </w:tcPr>
                <w:p w14:paraId="26A7BB7B" w14:textId="77777777" w:rsidR="00633FD1" w:rsidRPr="00445E8A" w:rsidRDefault="00633FD1" w:rsidP="00A34355">
                  <w:pPr>
                    <w:pStyle w:val="TAH"/>
                    <w:rPr>
                      <w:rFonts w:cs="Arial"/>
                      <w:b w:val="0"/>
                    </w:rPr>
                  </w:pPr>
                  <w:r w:rsidRPr="00445E8A">
                    <w:rPr>
                      <w:b w:val="0"/>
                    </w:rPr>
                    <w:t>Min(</w:t>
                  </w:r>
                  <w:r w:rsidRPr="00445E8A">
                    <w:rPr>
                      <w:b w:val="0"/>
                      <w:i/>
                    </w:rPr>
                    <w:t>n</w:t>
                  </w:r>
                  <w:r w:rsidRPr="00445E8A">
                    <w:rPr>
                      <w:b w:val="0"/>
                    </w:rPr>
                    <w:t xml:space="preserve"> , 8)</w:t>
                  </w:r>
                </w:p>
              </w:tc>
            </w:tr>
            <w:tr w:rsidR="00633FD1" w:rsidRPr="00445E8A" w14:paraId="5A50AC09" w14:textId="77777777" w:rsidTr="00A34355">
              <w:trPr>
                <w:cantSplit/>
                <w:jc w:val="center"/>
              </w:trPr>
              <w:tc>
                <w:tcPr>
                  <w:tcW w:w="2428" w:type="pct"/>
                </w:tcPr>
                <w:p w14:paraId="485481E3" w14:textId="77777777" w:rsidR="00633FD1" w:rsidRPr="00445E8A" w:rsidRDefault="00633FD1" w:rsidP="00A34355">
                  <w:pPr>
                    <w:pStyle w:val="TAC"/>
                    <w:rPr>
                      <w:snapToGrid w:val="0"/>
                    </w:rPr>
                  </w:pPr>
                  <w:r w:rsidRPr="00445E8A">
                    <w:t>1.28</w:t>
                  </w:r>
                </w:p>
              </w:tc>
              <w:tc>
                <w:tcPr>
                  <w:tcW w:w="2572" w:type="pct"/>
                </w:tcPr>
                <w:p w14:paraId="6D07ABA4" w14:textId="77777777" w:rsidR="00633FD1" w:rsidRPr="00445E8A" w:rsidRDefault="00633FD1" w:rsidP="00A34355">
                  <w:pPr>
                    <w:pStyle w:val="TAC"/>
                    <w:rPr>
                      <w:snapToGrid w:val="0"/>
                    </w:rPr>
                  </w:pPr>
                  <w:r w:rsidRPr="00445E8A">
                    <w:t>Min(</w:t>
                  </w:r>
                  <w:r w:rsidRPr="00445E8A">
                    <w:rPr>
                      <w:b/>
                      <w:i/>
                    </w:rPr>
                    <w:t>n</w:t>
                  </w:r>
                  <w:r w:rsidRPr="00445E8A">
                    <w:t xml:space="preserve"> , 8)</w:t>
                  </w:r>
                </w:p>
              </w:tc>
            </w:tr>
            <w:tr w:rsidR="00633FD1" w:rsidRPr="00445E8A" w14:paraId="25B73126" w14:textId="77777777" w:rsidTr="00A34355">
              <w:trPr>
                <w:cantSplit/>
                <w:jc w:val="center"/>
              </w:trPr>
              <w:tc>
                <w:tcPr>
                  <w:tcW w:w="2428" w:type="pct"/>
                </w:tcPr>
                <w:p w14:paraId="63E4C00A" w14:textId="77777777" w:rsidR="00633FD1" w:rsidRPr="00445E8A" w:rsidRDefault="00633FD1" w:rsidP="00A34355">
                  <w:pPr>
                    <w:pStyle w:val="TAC"/>
                    <w:rPr>
                      <w:snapToGrid w:val="0"/>
                    </w:rPr>
                  </w:pPr>
                  <w:r w:rsidRPr="00445E8A">
                    <w:t>2.56</w:t>
                  </w:r>
                </w:p>
              </w:tc>
              <w:tc>
                <w:tcPr>
                  <w:tcW w:w="2572" w:type="pct"/>
                </w:tcPr>
                <w:p w14:paraId="59A8399D" w14:textId="77777777" w:rsidR="00633FD1" w:rsidRPr="00445E8A" w:rsidRDefault="00633FD1" w:rsidP="00A34355">
                  <w:pPr>
                    <w:pStyle w:val="TAC"/>
                    <w:rPr>
                      <w:snapToGrid w:val="0"/>
                    </w:rPr>
                  </w:pPr>
                  <w:r w:rsidRPr="00445E8A">
                    <w:t>Min(</w:t>
                  </w:r>
                  <w:r w:rsidRPr="00445E8A">
                    <w:rPr>
                      <w:b/>
                      <w:i/>
                    </w:rPr>
                    <w:t>n</w:t>
                  </w:r>
                  <w:r w:rsidRPr="00445E8A">
                    <w:t xml:space="preserve"> , 4)</w:t>
                  </w:r>
                </w:p>
              </w:tc>
            </w:tr>
            <w:tr w:rsidR="00633FD1" w:rsidRPr="00445E8A" w14:paraId="53F9B2DB" w14:textId="77777777" w:rsidTr="00A34355">
              <w:trPr>
                <w:cantSplit/>
                <w:trHeight w:val="237"/>
                <w:jc w:val="center"/>
              </w:trPr>
              <w:tc>
                <w:tcPr>
                  <w:tcW w:w="2428" w:type="pct"/>
                </w:tcPr>
                <w:p w14:paraId="7FE554F8" w14:textId="77777777" w:rsidR="00633FD1" w:rsidRPr="00445E8A" w:rsidRDefault="00633FD1" w:rsidP="00A34355">
                  <w:pPr>
                    <w:pStyle w:val="TAC"/>
                  </w:pPr>
                  <w:r w:rsidRPr="00445E8A">
                    <w:t>5.12</w:t>
                  </w:r>
                </w:p>
              </w:tc>
              <w:tc>
                <w:tcPr>
                  <w:tcW w:w="2572" w:type="pct"/>
                </w:tcPr>
                <w:p w14:paraId="1BF9A9F4" w14:textId="77777777" w:rsidR="00633FD1" w:rsidRPr="00445E8A" w:rsidRDefault="00633FD1" w:rsidP="00A34355">
                  <w:pPr>
                    <w:pStyle w:val="TAC"/>
                  </w:pPr>
                  <w:r w:rsidRPr="00445E8A">
                    <w:t>Min(</w:t>
                  </w:r>
                  <w:r w:rsidRPr="00445E8A">
                    <w:rPr>
                      <w:b/>
                      <w:i/>
                    </w:rPr>
                    <w:t>n</w:t>
                  </w:r>
                  <w:r w:rsidRPr="00445E8A">
                    <w:t xml:space="preserve"> , 2)</w:t>
                  </w:r>
                </w:p>
              </w:tc>
            </w:tr>
            <w:tr w:rsidR="00633FD1" w:rsidRPr="00445E8A" w14:paraId="7EA7B38B" w14:textId="77777777" w:rsidTr="00A34355">
              <w:trPr>
                <w:cantSplit/>
                <w:jc w:val="center"/>
              </w:trPr>
              <w:tc>
                <w:tcPr>
                  <w:tcW w:w="2428" w:type="pct"/>
                </w:tcPr>
                <w:p w14:paraId="2D4F64C2" w14:textId="77777777" w:rsidR="00633FD1" w:rsidRPr="00445E8A" w:rsidRDefault="00633FD1" w:rsidP="00A34355">
                  <w:pPr>
                    <w:pStyle w:val="TAC"/>
                  </w:pPr>
                  <w:r w:rsidRPr="00445E8A">
                    <w:t>10.24</w:t>
                  </w:r>
                </w:p>
              </w:tc>
              <w:tc>
                <w:tcPr>
                  <w:tcW w:w="2572" w:type="pct"/>
                </w:tcPr>
                <w:p w14:paraId="59D94137" w14:textId="77777777" w:rsidR="00633FD1" w:rsidRPr="00445E8A" w:rsidRDefault="00633FD1" w:rsidP="00A34355">
                  <w:pPr>
                    <w:pStyle w:val="TAC"/>
                  </w:pPr>
                  <w:r w:rsidRPr="00445E8A">
                    <w:t>1</w:t>
                  </w:r>
                </w:p>
              </w:tc>
            </w:tr>
            <w:tr w:rsidR="00633FD1" w:rsidRPr="00445E8A" w14:paraId="480187B1" w14:textId="77777777" w:rsidTr="00A34355">
              <w:trPr>
                <w:cantSplit/>
                <w:jc w:val="center"/>
              </w:trPr>
              <w:tc>
                <w:tcPr>
                  <w:tcW w:w="5000" w:type="pct"/>
                  <w:gridSpan w:val="2"/>
                </w:tcPr>
                <w:p w14:paraId="029FD02A" w14:textId="77777777" w:rsidR="00633FD1" w:rsidRPr="00445E8A" w:rsidRDefault="00633FD1" w:rsidP="00A34355">
                  <w:pPr>
                    <w:pStyle w:val="TAN"/>
                  </w:pPr>
                  <w:r w:rsidRPr="00445E8A">
                    <w:rPr>
                      <w:rFonts w:hint="eastAsia"/>
                      <w:lang w:eastAsia="zh-CN"/>
                    </w:rPr>
                    <w:t>N</w:t>
                  </w:r>
                  <w:r>
                    <w:rPr>
                      <w:lang w:eastAsia="zh-CN"/>
                    </w:rPr>
                    <w:t>ote</w:t>
                  </w:r>
                  <w:r w:rsidRPr="00445E8A">
                    <w:rPr>
                      <w:rFonts w:hint="eastAsia"/>
                      <w:lang w:eastAsia="zh-CN"/>
                    </w:rPr>
                    <w:t>:</w:t>
                  </w:r>
                  <w:r w:rsidRPr="00445E8A">
                    <w:tab/>
                  </w:r>
                  <w:r w:rsidRPr="00445E8A">
                    <w:rPr>
                      <w:b/>
                      <w:i/>
                      <w:lang w:eastAsia="zh-CN"/>
                    </w:rPr>
                    <w:t>n</w:t>
                  </w:r>
                  <w:r w:rsidRPr="00445E8A">
                    <w:rPr>
                      <w:lang w:eastAsia="zh-CN"/>
                    </w:rPr>
                    <w:t xml:space="preserve"> is signalled by the network by using </w:t>
                  </w:r>
                  <w:r w:rsidRPr="00445E8A">
                    <w:rPr>
                      <w:i/>
                      <w:lang w:eastAsia="zh-CN"/>
                    </w:rPr>
                    <w:t xml:space="preserve">numDRX-CycleRelaxed-r15 </w:t>
                  </w:r>
                  <w:r w:rsidRPr="00445E8A">
                    <w:rPr>
                      <w:lang w:eastAsia="zh-CN"/>
                    </w:rPr>
                    <w:t>defined in TS</w:t>
                  </w:r>
                  <w:r w:rsidRPr="00445E8A">
                    <w:t> </w:t>
                  </w:r>
                  <w:r w:rsidRPr="00445E8A">
                    <w:rPr>
                      <w:lang w:eastAsia="zh-CN"/>
                    </w:rPr>
                    <w:t>36.331</w:t>
                  </w:r>
                  <w:r w:rsidRPr="00445E8A">
                    <w:t> </w:t>
                  </w:r>
                  <w:r w:rsidRPr="00445E8A">
                    <w:rPr>
                      <w:lang w:eastAsia="zh-CN"/>
                    </w:rPr>
                    <w:t>[2].</w:t>
                  </w:r>
                </w:p>
              </w:tc>
            </w:tr>
          </w:tbl>
          <w:p w14:paraId="7DBF6020" w14:textId="77777777" w:rsidR="00633FD1" w:rsidRPr="00445E8A" w:rsidRDefault="00633FD1" w:rsidP="00A34355"/>
          <w:p w14:paraId="31D79FC4" w14:textId="77777777" w:rsidR="00633FD1" w:rsidRPr="00445E8A" w:rsidRDefault="00633FD1" w:rsidP="00A34355">
            <w:pPr>
              <w:pStyle w:val="TH"/>
            </w:pPr>
            <w:r w:rsidRPr="00445E8A">
              <w:t xml:space="preserve">Table 4.6A.2.1A-2: The relaxation factor N for a UE configured with </w:t>
            </w:r>
            <w:proofErr w:type="spellStart"/>
            <w:r w:rsidRPr="00445E8A">
              <w:t>eDRX</w:t>
            </w:r>
            <w:proofErr w:type="spellEnd"/>
            <w:r w:rsidRPr="00445E8A">
              <w:t xml:space="preserve"> IDLE </w:t>
            </w:r>
            <w:proofErr w:type="gramStart"/>
            <w:r w:rsidRPr="00445E8A">
              <w:t>cycle</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1"/>
              <w:gridCol w:w="1424"/>
              <w:gridCol w:w="1424"/>
              <w:gridCol w:w="1422"/>
              <w:gridCol w:w="1422"/>
              <w:gridCol w:w="1418"/>
            </w:tblGrid>
            <w:tr w:rsidR="00633FD1" w:rsidRPr="00445E8A" w14:paraId="26EB99E1" w14:textId="77777777" w:rsidTr="00A34355">
              <w:trPr>
                <w:cantSplit/>
                <w:trHeight w:val="300"/>
                <w:jc w:val="center"/>
              </w:trPr>
              <w:tc>
                <w:tcPr>
                  <w:tcW w:w="1215" w:type="pct"/>
                  <w:vMerge w:val="restart"/>
                  <w:tcBorders>
                    <w:bottom w:val="single" w:sz="4" w:space="0" w:color="auto"/>
                  </w:tcBorders>
                </w:tcPr>
                <w:p w14:paraId="3818EAA9" w14:textId="77777777" w:rsidR="00633FD1" w:rsidRPr="00445E8A" w:rsidRDefault="00633FD1" w:rsidP="00A34355">
                  <w:pPr>
                    <w:pStyle w:val="TAH"/>
                  </w:pPr>
                  <w:r w:rsidRPr="00445E8A">
                    <w:t>DRX cycle length [s]</w:t>
                  </w:r>
                </w:p>
              </w:tc>
              <w:tc>
                <w:tcPr>
                  <w:tcW w:w="3785" w:type="pct"/>
                  <w:gridSpan w:val="5"/>
                  <w:tcBorders>
                    <w:bottom w:val="single" w:sz="4" w:space="0" w:color="auto"/>
                  </w:tcBorders>
                </w:tcPr>
                <w:p w14:paraId="2EEF21AC" w14:textId="77777777" w:rsidR="00633FD1" w:rsidRPr="00445E8A" w:rsidRDefault="00633FD1" w:rsidP="00A34355">
                  <w:pPr>
                    <w:pStyle w:val="TAH"/>
                  </w:pPr>
                  <w:r w:rsidRPr="00445E8A">
                    <w:t>Value</w:t>
                  </w:r>
                </w:p>
              </w:tc>
            </w:tr>
            <w:tr w:rsidR="00633FD1" w:rsidRPr="00445E8A" w14:paraId="387F9FD4" w14:textId="77777777" w:rsidTr="00A34355">
              <w:trPr>
                <w:cantSplit/>
                <w:jc w:val="center"/>
              </w:trPr>
              <w:tc>
                <w:tcPr>
                  <w:tcW w:w="1215" w:type="pct"/>
                  <w:vMerge/>
                </w:tcPr>
                <w:p w14:paraId="377B10C6" w14:textId="77777777" w:rsidR="00633FD1" w:rsidRPr="00445E8A" w:rsidRDefault="00633FD1" w:rsidP="00A34355">
                  <w:pPr>
                    <w:pStyle w:val="TAH"/>
                    <w:rPr>
                      <w:snapToGrid w:val="0"/>
                    </w:rPr>
                  </w:pPr>
                </w:p>
              </w:tc>
              <w:tc>
                <w:tcPr>
                  <w:tcW w:w="758" w:type="pct"/>
                </w:tcPr>
                <w:p w14:paraId="073F5313" w14:textId="77777777" w:rsidR="00633FD1" w:rsidRPr="00445E8A" w:rsidRDefault="00633FD1" w:rsidP="00A34355">
                  <w:pPr>
                    <w:pStyle w:val="TAH"/>
                  </w:pPr>
                  <w:r w:rsidRPr="00445E8A">
                    <w:rPr>
                      <w:rFonts w:eastAsia="Yu Mincho"/>
                      <w:lang w:eastAsia="zh-CN"/>
                    </w:rPr>
                    <w:t>2.56 ≤ PTW length [s] &lt; 5.12</w:t>
                  </w:r>
                </w:p>
              </w:tc>
              <w:tc>
                <w:tcPr>
                  <w:tcW w:w="758" w:type="pct"/>
                </w:tcPr>
                <w:p w14:paraId="2362BCE5" w14:textId="77777777" w:rsidR="00633FD1" w:rsidRPr="00445E8A" w:rsidRDefault="00633FD1" w:rsidP="00A34355">
                  <w:pPr>
                    <w:pStyle w:val="TAH"/>
                  </w:pPr>
                  <w:r w:rsidRPr="00445E8A">
                    <w:t>5.12 ≤ PTW length [s]</w:t>
                  </w:r>
                  <w:r w:rsidRPr="00445E8A">
                    <w:rPr>
                      <w:snapToGrid w:val="0"/>
                    </w:rPr>
                    <w:t xml:space="preserve"> &lt; 7.68</w:t>
                  </w:r>
                </w:p>
              </w:tc>
              <w:tc>
                <w:tcPr>
                  <w:tcW w:w="757" w:type="pct"/>
                </w:tcPr>
                <w:p w14:paraId="1DF5717D" w14:textId="77777777" w:rsidR="00633FD1" w:rsidRPr="00445E8A" w:rsidRDefault="00633FD1" w:rsidP="00A34355">
                  <w:pPr>
                    <w:pStyle w:val="TAH"/>
                  </w:pPr>
                  <w:r w:rsidRPr="00445E8A">
                    <w:t>7.68 ≤ PTW length</w:t>
                  </w:r>
                  <w:r w:rsidRPr="00445E8A">
                    <w:rPr>
                      <w:snapToGrid w:val="0"/>
                    </w:rPr>
                    <w:t xml:space="preserve"> [s] &lt; 12.8</w:t>
                  </w:r>
                </w:p>
              </w:tc>
              <w:tc>
                <w:tcPr>
                  <w:tcW w:w="757" w:type="pct"/>
                </w:tcPr>
                <w:p w14:paraId="6C0F8925" w14:textId="77777777" w:rsidR="00633FD1" w:rsidRPr="00445E8A" w:rsidRDefault="00633FD1" w:rsidP="00A34355">
                  <w:pPr>
                    <w:pStyle w:val="TAH"/>
                  </w:pPr>
                  <w:r w:rsidRPr="00445E8A">
                    <w:t>12.8 ≤ PTW length</w:t>
                  </w:r>
                  <w:r w:rsidRPr="00445E8A">
                    <w:rPr>
                      <w:snapToGrid w:val="0"/>
                    </w:rPr>
                    <w:t xml:space="preserve"> [s] &lt; 23.04</w:t>
                  </w:r>
                </w:p>
              </w:tc>
              <w:tc>
                <w:tcPr>
                  <w:tcW w:w="755" w:type="pct"/>
                </w:tcPr>
                <w:p w14:paraId="2B0D4E3F" w14:textId="77777777" w:rsidR="00633FD1" w:rsidRPr="00445E8A" w:rsidRDefault="00633FD1" w:rsidP="00A34355">
                  <w:pPr>
                    <w:pStyle w:val="TAH"/>
                  </w:pPr>
                  <w:r w:rsidRPr="00445E8A">
                    <w:t>23.04 ≤</w:t>
                  </w:r>
                  <w:r w:rsidRPr="00445E8A">
                    <w:rPr>
                      <w:snapToGrid w:val="0"/>
                    </w:rPr>
                    <w:t xml:space="preserve"> </w:t>
                  </w:r>
                  <w:r w:rsidRPr="00445E8A">
                    <w:t>PTW length</w:t>
                  </w:r>
                  <w:r w:rsidRPr="00445E8A">
                    <w:rPr>
                      <w:snapToGrid w:val="0"/>
                    </w:rPr>
                    <w:t xml:space="preserve"> [s] </w:t>
                  </w:r>
                </w:p>
              </w:tc>
            </w:tr>
            <w:tr w:rsidR="00633FD1" w:rsidRPr="00445E8A" w14:paraId="0145A7AA" w14:textId="77777777" w:rsidTr="00A34355">
              <w:trPr>
                <w:cantSplit/>
                <w:jc w:val="center"/>
              </w:trPr>
              <w:tc>
                <w:tcPr>
                  <w:tcW w:w="1215" w:type="pct"/>
                </w:tcPr>
                <w:p w14:paraId="132352CC" w14:textId="77777777" w:rsidR="00633FD1" w:rsidRPr="00445E8A" w:rsidRDefault="00633FD1" w:rsidP="00A34355">
                  <w:pPr>
                    <w:pStyle w:val="TAC"/>
                    <w:rPr>
                      <w:b/>
                      <w:snapToGrid w:val="0"/>
                      <w:lang w:eastAsia="zh-CN"/>
                    </w:rPr>
                  </w:pPr>
                  <w:r w:rsidRPr="00445E8A">
                    <w:rPr>
                      <w:rFonts w:hint="eastAsia"/>
                      <w:snapToGrid w:val="0"/>
                      <w:lang w:eastAsia="zh-CN"/>
                    </w:rPr>
                    <w:t>0</w:t>
                  </w:r>
                  <w:r w:rsidRPr="00445E8A">
                    <w:rPr>
                      <w:snapToGrid w:val="0"/>
                      <w:lang w:eastAsia="zh-CN"/>
                    </w:rPr>
                    <w:t>.32</w:t>
                  </w:r>
                </w:p>
              </w:tc>
              <w:tc>
                <w:tcPr>
                  <w:tcW w:w="758" w:type="pct"/>
                </w:tcPr>
                <w:p w14:paraId="4D2C1A39" w14:textId="77777777" w:rsidR="00633FD1" w:rsidRPr="00445E8A" w:rsidRDefault="00633FD1" w:rsidP="00A34355">
                  <w:pPr>
                    <w:pStyle w:val="TAC"/>
                    <w:rPr>
                      <w:b/>
                    </w:rPr>
                  </w:pPr>
                  <w:r w:rsidRPr="00445E8A">
                    <w:rPr>
                      <w:rFonts w:eastAsia="Yu Mincho"/>
                      <w:lang w:eastAsia="zh-CN"/>
                    </w:rPr>
                    <w:t>Min(</w:t>
                  </w:r>
                  <w:r w:rsidRPr="00445E8A">
                    <w:rPr>
                      <w:rFonts w:eastAsia="Yu Mincho"/>
                      <w:i/>
                      <w:lang w:eastAsia="zh-CN"/>
                    </w:rPr>
                    <w:t>n</w:t>
                  </w:r>
                  <w:r w:rsidRPr="00445E8A">
                    <w:rPr>
                      <w:rFonts w:eastAsia="Yu Mincho"/>
                      <w:lang w:eastAsia="zh-CN"/>
                    </w:rPr>
                    <w:t xml:space="preserve"> , 2)</w:t>
                  </w:r>
                </w:p>
              </w:tc>
              <w:tc>
                <w:tcPr>
                  <w:tcW w:w="758" w:type="pct"/>
                </w:tcPr>
                <w:p w14:paraId="2FF6ECCD" w14:textId="77777777" w:rsidR="00633FD1" w:rsidRPr="00445E8A" w:rsidRDefault="00633FD1" w:rsidP="00A34355">
                  <w:pPr>
                    <w:pStyle w:val="TAC"/>
                    <w:rPr>
                      <w:b/>
                    </w:rPr>
                  </w:pPr>
                  <w:r w:rsidRPr="00445E8A">
                    <w:rPr>
                      <w:rFonts w:eastAsia="Yu Mincho"/>
                      <w:lang w:eastAsia="zh-CN"/>
                    </w:rPr>
                    <w:t>Min(</w:t>
                  </w:r>
                  <w:r w:rsidRPr="00445E8A">
                    <w:rPr>
                      <w:rFonts w:eastAsia="Yu Mincho"/>
                      <w:i/>
                      <w:lang w:eastAsia="zh-CN"/>
                    </w:rPr>
                    <w:t>n</w:t>
                  </w:r>
                  <w:r w:rsidRPr="00445E8A">
                    <w:rPr>
                      <w:rFonts w:eastAsia="Yu Mincho"/>
                      <w:lang w:eastAsia="zh-CN"/>
                    </w:rPr>
                    <w:t xml:space="preserve"> , 4)</w:t>
                  </w:r>
                </w:p>
              </w:tc>
              <w:tc>
                <w:tcPr>
                  <w:tcW w:w="757" w:type="pct"/>
                </w:tcPr>
                <w:p w14:paraId="2EE7441F" w14:textId="77777777" w:rsidR="00633FD1" w:rsidRPr="00445E8A" w:rsidRDefault="00633FD1" w:rsidP="00A34355">
                  <w:pPr>
                    <w:pStyle w:val="TAC"/>
                    <w:rPr>
                      <w:b/>
                    </w:rPr>
                  </w:pPr>
                  <w:r w:rsidRPr="00445E8A">
                    <w:rPr>
                      <w:rFonts w:eastAsia="Yu Mincho"/>
                      <w:lang w:eastAsia="zh-CN"/>
                    </w:rPr>
                    <w:t>Min(</w:t>
                  </w:r>
                  <w:r w:rsidRPr="00445E8A">
                    <w:rPr>
                      <w:rFonts w:eastAsia="Yu Mincho"/>
                      <w:i/>
                      <w:lang w:eastAsia="zh-CN"/>
                    </w:rPr>
                    <w:t>n</w:t>
                  </w:r>
                  <w:r w:rsidRPr="00445E8A">
                    <w:rPr>
                      <w:rFonts w:eastAsia="Yu Mincho"/>
                      <w:lang w:eastAsia="zh-CN"/>
                    </w:rPr>
                    <w:t xml:space="preserve"> , 8)</w:t>
                  </w:r>
                </w:p>
              </w:tc>
              <w:tc>
                <w:tcPr>
                  <w:tcW w:w="757" w:type="pct"/>
                </w:tcPr>
                <w:p w14:paraId="792D3652" w14:textId="77777777" w:rsidR="00633FD1" w:rsidRPr="00445E8A" w:rsidRDefault="00633FD1" w:rsidP="00A34355">
                  <w:pPr>
                    <w:pStyle w:val="TAC"/>
                    <w:rPr>
                      <w:b/>
                    </w:rPr>
                  </w:pPr>
                  <w:r w:rsidRPr="00445E8A">
                    <w:rPr>
                      <w:rFonts w:eastAsia="Yu Mincho"/>
                      <w:lang w:eastAsia="zh-CN"/>
                    </w:rPr>
                    <w:t>Min(</w:t>
                  </w:r>
                  <w:r w:rsidRPr="00445E8A">
                    <w:rPr>
                      <w:rFonts w:eastAsia="Yu Mincho"/>
                      <w:i/>
                      <w:lang w:eastAsia="zh-CN"/>
                    </w:rPr>
                    <w:t>n</w:t>
                  </w:r>
                  <w:r w:rsidRPr="00445E8A">
                    <w:rPr>
                      <w:rFonts w:eastAsia="Yu Mincho"/>
                      <w:lang w:eastAsia="zh-CN"/>
                    </w:rPr>
                    <w:t xml:space="preserve"> , 8)</w:t>
                  </w:r>
                </w:p>
              </w:tc>
              <w:tc>
                <w:tcPr>
                  <w:tcW w:w="755" w:type="pct"/>
                </w:tcPr>
                <w:p w14:paraId="5689D88E" w14:textId="77777777" w:rsidR="00633FD1" w:rsidRPr="00445E8A" w:rsidRDefault="00633FD1" w:rsidP="00A34355">
                  <w:pPr>
                    <w:pStyle w:val="TAC"/>
                    <w:rPr>
                      <w:b/>
                    </w:rPr>
                  </w:pPr>
                  <w:r w:rsidRPr="00445E8A">
                    <w:rPr>
                      <w:rFonts w:eastAsia="Yu Mincho"/>
                      <w:lang w:eastAsia="zh-CN"/>
                    </w:rPr>
                    <w:t>Min(</w:t>
                  </w:r>
                  <w:r w:rsidRPr="00445E8A">
                    <w:rPr>
                      <w:rFonts w:eastAsia="Yu Mincho"/>
                      <w:i/>
                      <w:lang w:eastAsia="zh-CN"/>
                    </w:rPr>
                    <w:t>n</w:t>
                  </w:r>
                  <w:r w:rsidRPr="00445E8A">
                    <w:rPr>
                      <w:rFonts w:eastAsia="Yu Mincho"/>
                      <w:lang w:eastAsia="zh-CN"/>
                    </w:rPr>
                    <w:t xml:space="preserve"> , 8)</w:t>
                  </w:r>
                </w:p>
              </w:tc>
            </w:tr>
            <w:tr w:rsidR="00633FD1" w:rsidRPr="00445E8A" w14:paraId="46417531" w14:textId="77777777" w:rsidTr="00A34355">
              <w:trPr>
                <w:cantSplit/>
                <w:jc w:val="center"/>
              </w:trPr>
              <w:tc>
                <w:tcPr>
                  <w:tcW w:w="1215" w:type="pct"/>
                </w:tcPr>
                <w:p w14:paraId="683DE3B2" w14:textId="77777777" w:rsidR="00633FD1" w:rsidRPr="00445E8A" w:rsidRDefault="00633FD1" w:rsidP="00A34355">
                  <w:pPr>
                    <w:pStyle w:val="TAC"/>
                    <w:rPr>
                      <w:b/>
                      <w:snapToGrid w:val="0"/>
                      <w:lang w:eastAsia="zh-CN"/>
                    </w:rPr>
                  </w:pPr>
                  <w:r w:rsidRPr="00445E8A">
                    <w:rPr>
                      <w:rFonts w:hint="eastAsia"/>
                      <w:snapToGrid w:val="0"/>
                      <w:lang w:eastAsia="zh-CN"/>
                    </w:rPr>
                    <w:t>0</w:t>
                  </w:r>
                  <w:r w:rsidRPr="00445E8A">
                    <w:rPr>
                      <w:snapToGrid w:val="0"/>
                      <w:lang w:eastAsia="zh-CN"/>
                    </w:rPr>
                    <w:t>.64</w:t>
                  </w:r>
                </w:p>
              </w:tc>
              <w:tc>
                <w:tcPr>
                  <w:tcW w:w="758" w:type="pct"/>
                </w:tcPr>
                <w:p w14:paraId="295513AF" w14:textId="77777777" w:rsidR="00633FD1" w:rsidRPr="00445E8A" w:rsidRDefault="00633FD1" w:rsidP="00A34355">
                  <w:pPr>
                    <w:pStyle w:val="TAC"/>
                    <w:rPr>
                      <w:b/>
                    </w:rPr>
                  </w:pPr>
                  <w:r w:rsidRPr="00445E8A">
                    <w:rPr>
                      <w:rFonts w:eastAsia="Yu Mincho"/>
                      <w:lang w:eastAsia="zh-CN"/>
                    </w:rPr>
                    <w:t>1</w:t>
                  </w:r>
                </w:p>
              </w:tc>
              <w:tc>
                <w:tcPr>
                  <w:tcW w:w="758" w:type="pct"/>
                </w:tcPr>
                <w:p w14:paraId="3FE0F4B8" w14:textId="77777777" w:rsidR="00633FD1" w:rsidRPr="00445E8A" w:rsidRDefault="00633FD1" w:rsidP="00A34355">
                  <w:pPr>
                    <w:pStyle w:val="TAC"/>
                    <w:rPr>
                      <w:b/>
                    </w:rPr>
                  </w:pPr>
                  <w:r w:rsidRPr="00445E8A">
                    <w:rPr>
                      <w:rFonts w:eastAsia="Yu Mincho"/>
                      <w:lang w:eastAsia="zh-CN"/>
                    </w:rPr>
                    <w:t>Min(</w:t>
                  </w:r>
                  <w:r w:rsidRPr="00445E8A">
                    <w:rPr>
                      <w:rFonts w:eastAsia="Yu Mincho"/>
                      <w:i/>
                      <w:lang w:eastAsia="zh-CN"/>
                    </w:rPr>
                    <w:t>n</w:t>
                  </w:r>
                  <w:r w:rsidRPr="00445E8A">
                    <w:rPr>
                      <w:rFonts w:eastAsia="Yu Mincho"/>
                      <w:lang w:eastAsia="zh-CN"/>
                    </w:rPr>
                    <w:t xml:space="preserve"> , 2)</w:t>
                  </w:r>
                </w:p>
              </w:tc>
              <w:tc>
                <w:tcPr>
                  <w:tcW w:w="757" w:type="pct"/>
                </w:tcPr>
                <w:p w14:paraId="34191002" w14:textId="77777777" w:rsidR="00633FD1" w:rsidRPr="00445E8A" w:rsidRDefault="00633FD1" w:rsidP="00A34355">
                  <w:pPr>
                    <w:pStyle w:val="TAC"/>
                    <w:rPr>
                      <w:b/>
                    </w:rPr>
                  </w:pPr>
                  <w:r w:rsidRPr="00445E8A">
                    <w:rPr>
                      <w:rFonts w:eastAsia="Yu Mincho"/>
                      <w:lang w:eastAsia="zh-CN"/>
                    </w:rPr>
                    <w:t>Min(</w:t>
                  </w:r>
                  <w:r w:rsidRPr="00445E8A">
                    <w:rPr>
                      <w:rFonts w:eastAsia="Yu Mincho"/>
                      <w:i/>
                      <w:lang w:eastAsia="zh-CN"/>
                    </w:rPr>
                    <w:t>n</w:t>
                  </w:r>
                  <w:r w:rsidRPr="00445E8A">
                    <w:rPr>
                      <w:rFonts w:eastAsia="Yu Mincho"/>
                      <w:lang w:eastAsia="zh-CN"/>
                    </w:rPr>
                    <w:t xml:space="preserve"> , 4)</w:t>
                  </w:r>
                </w:p>
              </w:tc>
              <w:tc>
                <w:tcPr>
                  <w:tcW w:w="757" w:type="pct"/>
                </w:tcPr>
                <w:p w14:paraId="4087FC69" w14:textId="77777777" w:rsidR="00633FD1" w:rsidRPr="00445E8A" w:rsidRDefault="00633FD1" w:rsidP="00A34355">
                  <w:pPr>
                    <w:pStyle w:val="TAC"/>
                    <w:rPr>
                      <w:b/>
                    </w:rPr>
                  </w:pPr>
                  <w:r w:rsidRPr="00445E8A">
                    <w:rPr>
                      <w:rFonts w:eastAsia="Yu Mincho"/>
                      <w:lang w:eastAsia="zh-CN"/>
                    </w:rPr>
                    <w:t>Min(</w:t>
                  </w:r>
                  <w:r w:rsidRPr="00445E8A">
                    <w:rPr>
                      <w:rFonts w:eastAsia="Yu Mincho"/>
                      <w:i/>
                      <w:lang w:eastAsia="zh-CN"/>
                    </w:rPr>
                    <w:t>n</w:t>
                  </w:r>
                  <w:r w:rsidRPr="00445E8A">
                    <w:rPr>
                      <w:rFonts w:eastAsia="Yu Mincho"/>
                      <w:lang w:eastAsia="zh-CN"/>
                    </w:rPr>
                    <w:t xml:space="preserve"> , 8)</w:t>
                  </w:r>
                </w:p>
              </w:tc>
              <w:tc>
                <w:tcPr>
                  <w:tcW w:w="755" w:type="pct"/>
                </w:tcPr>
                <w:p w14:paraId="3BEB2043" w14:textId="77777777" w:rsidR="00633FD1" w:rsidRPr="00445E8A" w:rsidRDefault="00633FD1" w:rsidP="00A34355">
                  <w:pPr>
                    <w:pStyle w:val="TAC"/>
                    <w:rPr>
                      <w:b/>
                    </w:rPr>
                  </w:pPr>
                  <w:r w:rsidRPr="00445E8A">
                    <w:rPr>
                      <w:rFonts w:eastAsia="Yu Mincho"/>
                      <w:lang w:eastAsia="zh-CN"/>
                    </w:rPr>
                    <w:t>Min(</w:t>
                  </w:r>
                  <w:r w:rsidRPr="00445E8A">
                    <w:rPr>
                      <w:rFonts w:eastAsia="Yu Mincho"/>
                      <w:i/>
                      <w:lang w:eastAsia="zh-CN"/>
                    </w:rPr>
                    <w:t>n</w:t>
                  </w:r>
                  <w:r w:rsidRPr="00445E8A">
                    <w:rPr>
                      <w:rFonts w:eastAsia="Yu Mincho"/>
                      <w:lang w:eastAsia="zh-CN"/>
                    </w:rPr>
                    <w:t xml:space="preserve"> , 8)</w:t>
                  </w:r>
                </w:p>
              </w:tc>
            </w:tr>
            <w:tr w:rsidR="00633FD1" w:rsidRPr="00445E8A" w14:paraId="1421889A" w14:textId="77777777" w:rsidTr="00A34355">
              <w:trPr>
                <w:cantSplit/>
                <w:jc w:val="center"/>
              </w:trPr>
              <w:tc>
                <w:tcPr>
                  <w:tcW w:w="1215" w:type="pct"/>
                </w:tcPr>
                <w:p w14:paraId="5839C43F" w14:textId="77777777" w:rsidR="00633FD1" w:rsidRPr="00445E8A" w:rsidRDefault="00633FD1" w:rsidP="00A34355">
                  <w:pPr>
                    <w:pStyle w:val="TAC"/>
                    <w:rPr>
                      <w:snapToGrid w:val="0"/>
                    </w:rPr>
                  </w:pPr>
                  <w:r w:rsidRPr="00445E8A">
                    <w:t>1.28</w:t>
                  </w:r>
                </w:p>
              </w:tc>
              <w:tc>
                <w:tcPr>
                  <w:tcW w:w="758" w:type="pct"/>
                </w:tcPr>
                <w:p w14:paraId="3B2A90DC" w14:textId="77777777" w:rsidR="00633FD1" w:rsidRPr="00445E8A" w:rsidRDefault="00633FD1" w:rsidP="00A34355">
                  <w:pPr>
                    <w:pStyle w:val="TAC"/>
                  </w:pPr>
                  <w:r w:rsidRPr="00445E8A">
                    <w:rPr>
                      <w:snapToGrid w:val="0"/>
                    </w:rPr>
                    <w:t>N/A</w:t>
                  </w:r>
                </w:p>
              </w:tc>
              <w:tc>
                <w:tcPr>
                  <w:tcW w:w="758" w:type="pct"/>
                </w:tcPr>
                <w:p w14:paraId="6B0417F1" w14:textId="77777777" w:rsidR="00633FD1" w:rsidRPr="00445E8A" w:rsidRDefault="00633FD1" w:rsidP="00A34355">
                  <w:pPr>
                    <w:pStyle w:val="TAC"/>
                    <w:rPr>
                      <w:snapToGrid w:val="0"/>
                    </w:rPr>
                  </w:pPr>
                  <w:r w:rsidRPr="00445E8A">
                    <w:t>1</w:t>
                  </w:r>
                </w:p>
              </w:tc>
              <w:tc>
                <w:tcPr>
                  <w:tcW w:w="757" w:type="pct"/>
                </w:tcPr>
                <w:p w14:paraId="17177875" w14:textId="77777777" w:rsidR="00633FD1" w:rsidRPr="00445E8A" w:rsidRDefault="00633FD1" w:rsidP="00A34355">
                  <w:pPr>
                    <w:pStyle w:val="TAC"/>
                  </w:pPr>
                  <w:r w:rsidRPr="00445E8A">
                    <w:t>Min(</w:t>
                  </w:r>
                  <w:r w:rsidRPr="00445E8A">
                    <w:rPr>
                      <w:b/>
                      <w:i/>
                    </w:rPr>
                    <w:t>n</w:t>
                  </w:r>
                  <w:r w:rsidRPr="00445E8A">
                    <w:t xml:space="preserve"> , 2)</w:t>
                  </w:r>
                </w:p>
              </w:tc>
              <w:tc>
                <w:tcPr>
                  <w:tcW w:w="757" w:type="pct"/>
                </w:tcPr>
                <w:p w14:paraId="7A74D660" w14:textId="77777777" w:rsidR="00633FD1" w:rsidRPr="00445E8A" w:rsidRDefault="00633FD1" w:rsidP="00A34355">
                  <w:pPr>
                    <w:pStyle w:val="TAC"/>
                  </w:pPr>
                  <w:r w:rsidRPr="00445E8A">
                    <w:t>Min(</w:t>
                  </w:r>
                  <w:r w:rsidRPr="00445E8A">
                    <w:rPr>
                      <w:b/>
                      <w:i/>
                    </w:rPr>
                    <w:t>n</w:t>
                  </w:r>
                  <w:r w:rsidRPr="00445E8A">
                    <w:t xml:space="preserve"> , 4)</w:t>
                  </w:r>
                </w:p>
              </w:tc>
              <w:tc>
                <w:tcPr>
                  <w:tcW w:w="755" w:type="pct"/>
                </w:tcPr>
                <w:p w14:paraId="6F5111B7" w14:textId="77777777" w:rsidR="00633FD1" w:rsidRPr="00445E8A" w:rsidRDefault="00633FD1" w:rsidP="00A34355">
                  <w:pPr>
                    <w:pStyle w:val="TAC"/>
                  </w:pPr>
                  <w:r w:rsidRPr="00445E8A">
                    <w:t>Min(</w:t>
                  </w:r>
                  <w:r w:rsidRPr="00445E8A">
                    <w:rPr>
                      <w:b/>
                      <w:i/>
                    </w:rPr>
                    <w:t>n</w:t>
                  </w:r>
                  <w:r w:rsidRPr="00445E8A">
                    <w:t xml:space="preserve"> , 8)</w:t>
                  </w:r>
                </w:p>
              </w:tc>
            </w:tr>
            <w:tr w:rsidR="00633FD1" w:rsidRPr="00445E8A" w14:paraId="5EBD8772" w14:textId="77777777" w:rsidTr="00A34355">
              <w:trPr>
                <w:cantSplit/>
                <w:jc w:val="center"/>
              </w:trPr>
              <w:tc>
                <w:tcPr>
                  <w:tcW w:w="1215" w:type="pct"/>
                </w:tcPr>
                <w:p w14:paraId="65823DCE" w14:textId="77777777" w:rsidR="00633FD1" w:rsidRPr="00445E8A" w:rsidRDefault="00633FD1" w:rsidP="00A34355">
                  <w:pPr>
                    <w:pStyle w:val="TAC"/>
                    <w:rPr>
                      <w:snapToGrid w:val="0"/>
                    </w:rPr>
                  </w:pPr>
                  <w:r w:rsidRPr="00445E8A">
                    <w:t>2.56</w:t>
                  </w:r>
                </w:p>
              </w:tc>
              <w:tc>
                <w:tcPr>
                  <w:tcW w:w="758" w:type="pct"/>
                </w:tcPr>
                <w:p w14:paraId="5089FB13" w14:textId="77777777" w:rsidR="00633FD1" w:rsidRPr="00445E8A" w:rsidRDefault="00633FD1" w:rsidP="00A34355">
                  <w:pPr>
                    <w:pStyle w:val="TAC"/>
                    <w:rPr>
                      <w:snapToGrid w:val="0"/>
                    </w:rPr>
                  </w:pPr>
                  <w:r w:rsidRPr="00445E8A">
                    <w:rPr>
                      <w:snapToGrid w:val="0"/>
                    </w:rPr>
                    <w:t>N/A</w:t>
                  </w:r>
                </w:p>
              </w:tc>
              <w:tc>
                <w:tcPr>
                  <w:tcW w:w="758" w:type="pct"/>
                </w:tcPr>
                <w:p w14:paraId="5871EFAD" w14:textId="77777777" w:rsidR="00633FD1" w:rsidRPr="00445E8A" w:rsidRDefault="00633FD1" w:rsidP="00A34355">
                  <w:pPr>
                    <w:pStyle w:val="TAC"/>
                    <w:rPr>
                      <w:snapToGrid w:val="0"/>
                    </w:rPr>
                  </w:pPr>
                  <w:r w:rsidRPr="00445E8A">
                    <w:rPr>
                      <w:snapToGrid w:val="0"/>
                    </w:rPr>
                    <w:t>N/A</w:t>
                  </w:r>
                </w:p>
              </w:tc>
              <w:tc>
                <w:tcPr>
                  <w:tcW w:w="757" w:type="pct"/>
                </w:tcPr>
                <w:p w14:paraId="2604AFA4" w14:textId="77777777" w:rsidR="00633FD1" w:rsidRPr="00445E8A" w:rsidRDefault="00633FD1" w:rsidP="00A34355">
                  <w:pPr>
                    <w:pStyle w:val="TAC"/>
                  </w:pPr>
                  <w:r w:rsidRPr="00445E8A">
                    <w:t>1</w:t>
                  </w:r>
                </w:p>
              </w:tc>
              <w:tc>
                <w:tcPr>
                  <w:tcW w:w="757" w:type="pct"/>
                </w:tcPr>
                <w:p w14:paraId="1CD300B8" w14:textId="77777777" w:rsidR="00633FD1" w:rsidRPr="00445E8A" w:rsidRDefault="00633FD1" w:rsidP="00A34355">
                  <w:pPr>
                    <w:pStyle w:val="TAC"/>
                  </w:pPr>
                  <w:r w:rsidRPr="00445E8A">
                    <w:t>Min(</w:t>
                  </w:r>
                  <w:r w:rsidRPr="00445E8A">
                    <w:rPr>
                      <w:b/>
                      <w:i/>
                    </w:rPr>
                    <w:t>n</w:t>
                  </w:r>
                  <w:r w:rsidRPr="00445E8A">
                    <w:t xml:space="preserve"> , 2)</w:t>
                  </w:r>
                </w:p>
              </w:tc>
              <w:tc>
                <w:tcPr>
                  <w:tcW w:w="755" w:type="pct"/>
                </w:tcPr>
                <w:p w14:paraId="65CF5A06" w14:textId="77777777" w:rsidR="00633FD1" w:rsidRPr="00445E8A" w:rsidRDefault="00633FD1" w:rsidP="00A34355">
                  <w:pPr>
                    <w:pStyle w:val="TAC"/>
                  </w:pPr>
                  <w:r w:rsidRPr="00445E8A">
                    <w:t>Min(</w:t>
                  </w:r>
                  <w:r w:rsidRPr="00445E8A">
                    <w:rPr>
                      <w:b/>
                      <w:i/>
                    </w:rPr>
                    <w:t>n</w:t>
                  </w:r>
                  <w:r w:rsidRPr="00445E8A">
                    <w:t xml:space="preserve"> , 4)</w:t>
                  </w:r>
                </w:p>
              </w:tc>
            </w:tr>
            <w:tr w:rsidR="00633FD1" w:rsidRPr="00445E8A" w14:paraId="4745E33B" w14:textId="77777777" w:rsidTr="00A34355">
              <w:trPr>
                <w:cantSplit/>
                <w:trHeight w:val="237"/>
                <w:jc w:val="center"/>
              </w:trPr>
              <w:tc>
                <w:tcPr>
                  <w:tcW w:w="1215" w:type="pct"/>
                </w:tcPr>
                <w:p w14:paraId="28021681" w14:textId="77777777" w:rsidR="00633FD1" w:rsidRPr="00445E8A" w:rsidRDefault="00633FD1" w:rsidP="00A34355">
                  <w:pPr>
                    <w:pStyle w:val="TAC"/>
                  </w:pPr>
                  <w:r w:rsidRPr="00445E8A">
                    <w:t>5.12</w:t>
                  </w:r>
                </w:p>
              </w:tc>
              <w:tc>
                <w:tcPr>
                  <w:tcW w:w="758" w:type="pct"/>
                </w:tcPr>
                <w:p w14:paraId="73261087" w14:textId="77777777" w:rsidR="00633FD1" w:rsidRPr="00445E8A" w:rsidRDefault="00633FD1" w:rsidP="00A34355">
                  <w:pPr>
                    <w:pStyle w:val="TAC"/>
                    <w:rPr>
                      <w:snapToGrid w:val="0"/>
                    </w:rPr>
                  </w:pPr>
                  <w:r w:rsidRPr="00445E8A">
                    <w:rPr>
                      <w:snapToGrid w:val="0"/>
                    </w:rPr>
                    <w:t>N/A</w:t>
                  </w:r>
                </w:p>
              </w:tc>
              <w:tc>
                <w:tcPr>
                  <w:tcW w:w="758" w:type="pct"/>
                </w:tcPr>
                <w:p w14:paraId="1654F7B1" w14:textId="77777777" w:rsidR="00633FD1" w:rsidRPr="00445E8A" w:rsidRDefault="00633FD1" w:rsidP="00A34355">
                  <w:pPr>
                    <w:pStyle w:val="TAC"/>
                  </w:pPr>
                  <w:r w:rsidRPr="00445E8A">
                    <w:rPr>
                      <w:snapToGrid w:val="0"/>
                    </w:rPr>
                    <w:t>N/A</w:t>
                  </w:r>
                </w:p>
              </w:tc>
              <w:tc>
                <w:tcPr>
                  <w:tcW w:w="757" w:type="pct"/>
                </w:tcPr>
                <w:p w14:paraId="54AF0376" w14:textId="77777777" w:rsidR="00633FD1" w:rsidRPr="00445E8A" w:rsidRDefault="00633FD1" w:rsidP="00A34355">
                  <w:pPr>
                    <w:pStyle w:val="TAC"/>
                  </w:pPr>
                  <w:r w:rsidRPr="00445E8A">
                    <w:rPr>
                      <w:snapToGrid w:val="0"/>
                    </w:rPr>
                    <w:t>N/A</w:t>
                  </w:r>
                </w:p>
              </w:tc>
              <w:tc>
                <w:tcPr>
                  <w:tcW w:w="757" w:type="pct"/>
                </w:tcPr>
                <w:p w14:paraId="5924AE9E" w14:textId="77777777" w:rsidR="00633FD1" w:rsidRPr="00445E8A" w:rsidRDefault="00633FD1" w:rsidP="00A34355">
                  <w:pPr>
                    <w:pStyle w:val="TAC"/>
                  </w:pPr>
                  <w:r w:rsidRPr="00445E8A">
                    <w:t>1</w:t>
                  </w:r>
                </w:p>
              </w:tc>
              <w:tc>
                <w:tcPr>
                  <w:tcW w:w="755" w:type="pct"/>
                </w:tcPr>
                <w:p w14:paraId="6F4BBAB0" w14:textId="77777777" w:rsidR="00633FD1" w:rsidRPr="00445E8A" w:rsidRDefault="00633FD1" w:rsidP="00A34355">
                  <w:pPr>
                    <w:pStyle w:val="TAC"/>
                  </w:pPr>
                  <w:r w:rsidRPr="00445E8A">
                    <w:t>Min(</w:t>
                  </w:r>
                  <w:r w:rsidRPr="00445E8A">
                    <w:rPr>
                      <w:b/>
                      <w:i/>
                    </w:rPr>
                    <w:t>n</w:t>
                  </w:r>
                  <w:r w:rsidRPr="00445E8A">
                    <w:t xml:space="preserve"> , 2)</w:t>
                  </w:r>
                </w:p>
              </w:tc>
            </w:tr>
            <w:tr w:rsidR="00633FD1" w:rsidRPr="00445E8A" w14:paraId="4536BAA9" w14:textId="77777777" w:rsidTr="00A34355">
              <w:trPr>
                <w:cantSplit/>
                <w:jc w:val="center"/>
              </w:trPr>
              <w:tc>
                <w:tcPr>
                  <w:tcW w:w="1215" w:type="pct"/>
                </w:tcPr>
                <w:p w14:paraId="5F2B1A7C" w14:textId="77777777" w:rsidR="00633FD1" w:rsidRPr="00445E8A" w:rsidRDefault="00633FD1" w:rsidP="00A34355">
                  <w:pPr>
                    <w:pStyle w:val="TAC"/>
                  </w:pPr>
                  <w:r w:rsidRPr="00445E8A">
                    <w:t>10.24</w:t>
                  </w:r>
                </w:p>
              </w:tc>
              <w:tc>
                <w:tcPr>
                  <w:tcW w:w="758" w:type="pct"/>
                </w:tcPr>
                <w:p w14:paraId="13A3EEE7" w14:textId="77777777" w:rsidR="00633FD1" w:rsidRPr="00445E8A" w:rsidRDefault="00633FD1" w:rsidP="00A34355">
                  <w:pPr>
                    <w:pStyle w:val="TAC"/>
                    <w:rPr>
                      <w:snapToGrid w:val="0"/>
                    </w:rPr>
                  </w:pPr>
                  <w:r w:rsidRPr="00445E8A">
                    <w:rPr>
                      <w:snapToGrid w:val="0"/>
                    </w:rPr>
                    <w:t>N/A</w:t>
                  </w:r>
                </w:p>
              </w:tc>
              <w:tc>
                <w:tcPr>
                  <w:tcW w:w="758" w:type="pct"/>
                </w:tcPr>
                <w:p w14:paraId="1310BDF5" w14:textId="77777777" w:rsidR="00633FD1" w:rsidRPr="00445E8A" w:rsidRDefault="00633FD1" w:rsidP="00A34355">
                  <w:pPr>
                    <w:pStyle w:val="TAC"/>
                  </w:pPr>
                  <w:r w:rsidRPr="00445E8A">
                    <w:rPr>
                      <w:snapToGrid w:val="0"/>
                    </w:rPr>
                    <w:t>N/A</w:t>
                  </w:r>
                </w:p>
              </w:tc>
              <w:tc>
                <w:tcPr>
                  <w:tcW w:w="757" w:type="pct"/>
                </w:tcPr>
                <w:p w14:paraId="04540FAA" w14:textId="77777777" w:rsidR="00633FD1" w:rsidRPr="00445E8A" w:rsidRDefault="00633FD1" w:rsidP="00A34355">
                  <w:pPr>
                    <w:pStyle w:val="TAC"/>
                  </w:pPr>
                  <w:r w:rsidRPr="00445E8A">
                    <w:rPr>
                      <w:snapToGrid w:val="0"/>
                    </w:rPr>
                    <w:t>N/A</w:t>
                  </w:r>
                </w:p>
              </w:tc>
              <w:tc>
                <w:tcPr>
                  <w:tcW w:w="757" w:type="pct"/>
                </w:tcPr>
                <w:p w14:paraId="27E98DF4" w14:textId="77777777" w:rsidR="00633FD1" w:rsidRPr="00445E8A" w:rsidRDefault="00633FD1" w:rsidP="00A34355">
                  <w:pPr>
                    <w:pStyle w:val="TAC"/>
                  </w:pPr>
                  <w:r w:rsidRPr="00445E8A">
                    <w:rPr>
                      <w:snapToGrid w:val="0"/>
                    </w:rPr>
                    <w:t>N/A</w:t>
                  </w:r>
                </w:p>
              </w:tc>
              <w:tc>
                <w:tcPr>
                  <w:tcW w:w="755" w:type="pct"/>
                </w:tcPr>
                <w:p w14:paraId="45F78F06" w14:textId="77777777" w:rsidR="00633FD1" w:rsidRPr="00445E8A" w:rsidRDefault="00633FD1" w:rsidP="00A34355">
                  <w:pPr>
                    <w:pStyle w:val="TAC"/>
                  </w:pPr>
                  <w:r w:rsidRPr="00445E8A">
                    <w:t>1</w:t>
                  </w:r>
                </w:p>
              </w:tc>
            </w:tr>
            <w:tr w:rsidR="00633FD1" w:rsidRPr="00445E8A" w14:paraId="29BAFDA6" w14:textId="77777777" w:rsidTr="00A34355">
              <w:trPr>
                <w:cantSplit/>
                <w:jc w:val="center"/>
              </w:trPr>
              <w:tc>
                <w:tcPr>
                  <w:tcW w:w="5000" w:type="pct"/>
                  <w:gridSpan w:val="6"/>
                </w:tcPr>
                <w:p w14:paraId="5FA3CB4C" w14:textId="77777777" w:rsidR="00633FD1" w:rsidRPr="00445E8A" w:rsidRDefault="00633FD1" w:rsidP="00A34355">
                  <w:pPr>
                    <w:pStyle w:val="TAN"/>
                    <w:rPr>
                      <w:lang w:eastAsia="zh-CN"/>
                    </w:rPr>
                  </w:pPr>
                  <w:r w:rsidRPr="00445E8A">
                    <w:rPr>
                      <w:rFonts w:hint="eastAsia"/>
                      <w:lang w:eastAsia="zh-CN"/>
                    </w:rPr>
                    <w:t>N</w:t>
                  </w:r>
                  <w:r>
                    <w:rPr>
                      <w:lang w:eastAsia="zh-CN"/>
                    </w:rPr>
                    <w:t>ote</w:t>
                  </w:r>
                  <w:r w:rsidRPr="00445E8A">
                    <w:rPr>
                      <w:rFonts w:hint="eastAsia"/>
                      <w:lang w:eastAsia="zh-CN"/>
                    </w:rPr>
                    <w:t>:</w:t>
                  </w:r>
                  <w:r w:rsidRPr="00445E8A">
                    <w:tab/>
                  </w:r>
                  <w:r w:rsidRPr="00445E8A">
                    <w:rPr>
                      <w:b/>
                      <w:i/>
                      <w:lang w:eastAsia="zh-CN"/>
                    </w:rPr>
                    <w:t>n</w:t>
                  </w:r>
                  <w:r w:rsidRPr="00445E8A">
                    <w:rPr>
                      <w:lang w:eastAsia="zh-CN"/>
                    </w:rPr>
                    <w:t xml:space="preserve"> is signalled by the network by using </w:t>
                  </w:r>
                  <w:r w:rsidRPr="00445E8A">
                    <w:rPr>
                      <w:i/>
                      <w:lang w:eastAsia="zh-CN"/>
                    </w:rPr>
                    <w:t xml:space="preserve">numDRX-CycleRelaxed-r15 </w:t>
                  </w:r>
                  <w:r w:rsidRPr="00445E8A">
                    <w:rPr>
                      <w:lang w:eastAsia="zh-CN"/>
                    </w:rPr>
                    <w:t>defined in TS</w:t>
                  </w:r>
                  <w:r w:rsidRPr="00445E8A">
                    <w:t> </w:t>
                  </w:r>
                  <w:r w:rsidRPr="00445E8A">
                    <w:rPr>
                      <w:lang w:eastAsia="zh-CN"/>
                    </w:rPr>
                    <w:t>36.331</w:t>
                  </w:r>
                  <w:r w:rsidRPr="00445E8A">
                    <w:t> </w:t>
                  </w:r>
                  <w:r w:rsidRPr="00445E8A">
                    <w:rPr>
                      <w:lang w:eastAsia="zh-CN"/>
                    </w:rPr>
                    <w:t>[2].</w:t>
                  </w:r>
                </w:p>
              </w:tc>
            </w:tr>
          </w:tbl>
          <w:p w14:paraId="05A19762" w14:textId="77777777" w:rsidR="00633FD1" w:rsidRDefault="00633FD1" w:rsidP="00A34355"/>
        </w:tc>
      </w:tr>
    </w:tbl>
    <w:p w14:paraId="679C0517" w14:textId="77777777" w:rsidR="00633FD1" w:rsidRDefault="00633FD1" w:rsidP="00633FD1"/>
    <w:p w14:paraId="677C237D" w14:textId="77777777" w:rsidR="00633FD1" w:rsidRDefault="00633FD1" w:rsidP="00633FD1">
      <w:r>
        <w:t xml:space="preserve">So, as the parameter </w:t>
      </w:r>
      <w:proofErr w:type="spellStart"/>
      <w:r w:rsidRPr="00D46F47">
        <w:rPr>
          <w:i/>
          <w:iCs/>
        </w:rPr>
        <w:t>numDRX-CyclesRelaxe</w:t>
      </w:r>
      <w:r>
        <w:rPr>
          <w:i/>
          <w:iCs/>
        </w:rPr>
        <w:t>d</w:t>
      </w:r>
      <w:proofErr w:type="spellEnd"/>
      <w:r>
        <w:rPr>
          <w:i/>
          <w:iCs/>
        </w:rPr>
        <w:t xml:space="preserve"> </w:t>
      </w:r>
      <w:r>
        <w:t>can be configured in 4 different values (1, 2, 4 and 8), the proposal to divide the relaxation factor by a factor of 2, does not introduce any new range of relaxation that cannot be already configured by NW, as presented in Table 1.</w:t>
      </w:r>
    </w:p>
    <w:p w14:paraId="206A4DFA" w14:textId="77777777" w:rsidR="00633FD1" w:rsidRDefault="00633FD1" w:rsidP="00633FD1">
      <w:pPr>
        <w:pStyle w:val="Caption"/>
        <w:keepNext/>
      </w:pPr>
      <w:r>
        <w:t xml:space="preserve">Table </w:t>
      </w:r>
      <w:r w:rsidR="00C11C0E">
        <w:fldChar w:fldCharType="begin"/>
      </w:r>
      <w:r w:rsidR="00C11C0E">
        <w:instrText xml:space="preserve"> SEQ Table \* ARABIC </w:instrText>
      </w:r>
      <w:r w:rsidR="00C11C0E">
        <w:fldChar w:fldCharType="separate"/>
      </w:r>
      <w:r>
        <w:rPr>
          <w:noProof/>
        </w:rPr>
        <w:t>1</w:t>
      </w:r>
      <w:r w:rsidR="00C11C0E">
        <w:rPr>
          <w:noProof/>
        </w:rPr>
        <w:fldChar w:fldCharType="end"/>
      </w:r>
      <w:r>
        <w:t xml:space="preserve">. Analysis of the relaxation factor if reduced by a factor of </w:t>
      </w:r>
      <w:proofErr w:type="gramStart"/>
      <w:r>
        <w:t>2</w:t>
      </w:r>
      <w:proofErr w:type="gramEnd"/>
    </w:p>
    <w:tbl>
      <w:tblPr>
        <w:tblStyle w:val="TableGrid"/>
        <w:tblW w:w="0" w:type="auto"/>
        <w:tblLook w:val="04A0" w:firstRow="1" w:lastRow="0" w:firstColumn="1" w:lastColumn="0" w:noHBand="0" w:noVBand="1"/>
      </w:tblPr>
      <w:tblGrid>
        <w:gridCol w:w="3205"/>
        <w:gridCol w:w="3206"/>
        <w:gridCol w:w="3206"/>
      </w:tblGrid>
      <w:tr w:rsidR="00633FD1" w14:paraId="1C3DA870" w14:textId="77777777" w:rsidTr="00A34355">
        <w:tc>
          <w:tcPr>
            <w:tcW w:w="3205" w:type="dxa"/>
          </w:tcPr>
          <w:p w14:paraId="293E21F3" w14:textId="77777777" w:rsidR="00633FD1" w:rsidRDefault="00633FD1" w:rsidP="00A34355">
            <w:r w:rsidRPr="00445E8A">
              <w:rPr>
                <w:rFonts w:cs="Arial"/>
              </w:rPr>
              <w:t>DRX cycle length [s]</w:t>
            </w:r>
          </w:p>
        </w:tc>
        <w:tc>
          <w:tcPr>
            <w:tcW w:w="3206" w:type="dxa"/>
          </w:tcPr>
          <w:p w14:paraId="4FA92E9C" w14:textId="77777777" w:rsidR="00633FD1" w:rsidRDefault="00633FD1" w:rsidP="00A34355">
            <w:r>
              <w:t>Allowed values for the relaxation factor</w:t>
            </w:r>
          </w:p>
        </w:tc>
        <w:tc>
          <w:tcPr>
            <w:tcW w:w="3206" w:type="dxa"/>
          </w:tcPr>
          <w:p w14:paraId="286DED84" w14:textId="77777777" w:rsidR="00633FD1" w:rsidRDefault="00633FD1" w:rsidP="00A34355">
            <w:r>
              <w:t xml:space="preserve">Allowed values for the relaxation factor if </w:t>
            </w:r>
            <w:r w:rsidRPr="007930EA">
              <w:rPr>
                <w:color w:val="FF0000"/>
              </w:rPr>
              <w:t>reduced by a factor of 2</w:t>
            </w:r>
          </w:p>
        </w:tc>
      </w:tr>
      <w:tr w:rsidR="00633FD1" w14:paraId="73D35E06" w14:textId="77777777" w:rsidTr="00A34355">
        <w:tc>
          <w:tcPr>
            <w:tcW w:w="3205" w:type="dxa"/>
          </w:tcPr>
          <w:p w14:paraId="04738F1B" w14:textId="77777777" w:rsidR="00633FD1" w:rsidRDefault="00633FD1" w:rsidP="00A34355">
            <w:pPr>
              <w:jc w:val="center"/>
            </w:pPr>
            <w:r>
              <w:t>0.32</w:t>
            </w:r>
          </w:p>
        </w:tc>
        <w:tc>
          <w:tcPr>
            <w:tcW w:w="3206" w:type="dxa"/>
          </w:tcPr>
          <w:p w14:paraId="6045BE0C" w14:textId="77777777" w:rsidR="00633FD1" w:rsidRDefault="00633FD1" w:rsidP="00A34355">
            <w:pPr>
              <w:jc w:val="center"/>
            </w:pPr>
            <w:r>
              <w:t>1, 2, 4, 8</w:t>
            </w:r>
          </w:p>
        </w:tc>
        <w:tc>
          <w:tcPr>
            <w:tcW w:w="3206" w:type="dxa"/>
          </w:tcPr>
          <w:p w14:paraId="6E98B7E2" w14:textId="77777777" w:rsidR="00633FD1" w:rsidRDefault="00633FD1" w:rsidP="00A34355">
            <w:pPr>
              <w:jc w:val="center"/>
            </w:pPr>
            <w:r w:rsidRPr="007930EA">
              <w:rPr>
                <w:b/>
                <w:bCs/>
                <w:color w:val="FF0000"/>
              </w:rPr>
              <w:t>0.5</w:t>
            </w:r>
            <w:r>
              <w:t xml:space="preserve">, </w:t>
            </w:r>
            <w:r w:rsidRPr="007930EA">
              <w:rPr>
                <w:highlight w:val="yellow"/>
              </w:rPr>
              <w:t>1, 2, 4</w:t>
            </w:r>
          </w:p>
        </w:tc>
      </w:tr>
      <w:tr w:rsidR="00633FD1" w14:paraId="7002A3EB" w14:textId="77777777" w:rsidTr="00A34355">
        <w:tc>
          <w:tcPr>
            <w:tcW w:w="3205" w:type="dxa"/>
          </w:tcPr>
          <w:p w14:paraId="0ECAEF03" w14:textId="77777777" w:rsidR="00633FD1" w:rsidRDefault="00633FD1" w:rsidP="00A34355">
            <w:pPr>
              <w:jc w:val="center"/>
            </w:pPr>
            <w:r>
              <w:t>0.64</w:t>
            </w:r>
          </w:p>
        </w:tc>
        <w:tc>
          <w:tcPr>
            <w:tcW w:w="3206" w:type="dxa"/>
          </w:tcPr>
          <w:p w14:paraId="1A40100C" w14:textId="77777777" w:rsidR="00633FD1" w:rsidRDefault="00633FD1" w:rsidP="00A34355">
            <w:pPr>
              <w:jc w:val="center"/>
            </w:pPr>
            <w:r>
              <w:t>1, 2, 4, 8</w:t>
            </w:r>
          </w:p>
        </w:tc>
        <w:tc>
          <w:tcPr>
            <w:tcW w:w="3206" w:type="dxa"/>
          </w:tcPr>
          <w:p w14:paraId="26B45A8D" w14:textId="77777777" w:rsidR="00633FD1" w:rsidRDefault="00633FD1" w:rsidP="00A34355">
            <w:pPr>
              <w:jc w:val="center"/>
            </w:pPr>
            <w:r w:rsidRPr="007930EA">
              <w:rPr>
                <w:b/>
                <w:bCs/>
                <w:color w:val="FF0000"/>
              </w:rPr>
              <w:t>0.5</w:t>
            </w:r>
            <w:r>
              <w:t xml:space="preserve">, </w:t>
            </w:r>
            <w:r w:rsidRPr="007930EA">
              <w:rPr>
                <w:highlight w:val="yellow"/>
              </w:rPr>
              <w:t>1, 2, 4</w:t>
            </w:r>
          </w:p>
        </w:tc>
      </w:tr>
      <w:tr w:rsidR="00633FD1" w14:paraId="277E65BF" w14:textId="77777777" w:rsidTr="00A34355">
        <w:tc>
          <w:tcPr>
            <w:tcW w:w="3205" w:type="dxa"/>
          </w:tcPr>
          <w:p w14:paraId="30576043" w14:textId="77777777" w:rsidR="00633FD1" w:rsidRDefault="00633FD1" w:rsidP="00A34355">
            <w:pPr>
              <w:jc w:val="center"/>
            </w:pPr>
            <w:r>
              <w:t>1.28</w:t>
            </w:r>
          </w:p>
        </w:tc>
        <w:tc>
          <w:tcPr>
            <w:tcW w:w="3206" w:type="dxa"/>
          </w:tcPr>
          <w:p w14:paraId="2314C7C7" w14:textId="77777777" w:rsidR="00633FD1" w:rsidRDefault="00633FD1" w:rsidP="00A34355">
            <w:pPr>
              <w:jc w:val="center"/>
            </w:pPr>
            <w:r>
              <w:t>1, 2, 4, 8</w:t>
            </w:r>
          </w:p>
        </w:tc>
        <w:tc>
          <w:tcPr>
            <w:tcW w:w="3206" w:type="dxa"/>
          </w:tcPr>
          <w:p w14:paraId="6F40E42C" w14:textId="77777777" w:rsidR="00633FD1" w:rsidRDefault="00633FD1" w:rsidP="00A34355">
            <w:pPr>
              <w:jc w:val="center"/>
            </w:pPr>
            <w:r w:rsidRPr="007930EA">
              <w:rPr>
                <w:b/>
                <w:bCs/>
                <w:color w:val="FF0000"/>
              </w:rPr>
              <w:t>0.5</w:t>
            </w:r>
            <w:r>
              <w:t xml:space="preserve">, </w:t>
            </w:r>
            <w:r w:rsidRPr="007930EA">
              <w:rPr>
                <w:highlight w:val="yellow"/>
              </w:rPr>
              <w:t>1, 2, 4</w:t>
            </w:r>
          </w:p>
        </w:tc>
      </w:tr>
      <w:tr w:rsidR="00633FD1" w14:paraId="2355E85B" w14:textId="77777777" w:rsidTr="00A34355">
        <w:tc>
          <w:tcPr>
            <w:tcW w:w="3205" w:type="dxa"/>
          </w:tcPr>
          <w:p w14:paraId="37120A4F" w14:textId="77777777" w:rsidR="00633FD1" w:rsidRDefault="00633FD1" w:rsidP="00A34355">
            <w:pPr>
              <w:jc w:val="center"/>
            </w:pPr>
            <w:r>
              <w:t>2.56</w:t>
            </w:r>
          </w:p>
        </w:tc>
        <w:tc>
          <w:tcPr>
            <w:tcW w:w="3206" w:type="dxa"/>
          </w:tcPr>
          <w:p w14:paraId="4A223BD6" w14:textId="77777777" w:rsidR="00633FD1" w:rsidRDefault="00633FD1" w:rsidP="00A34355">
            <w:pPr>
              <w:jc w:val="center"/>
            </w:pPr>
            <w:r>
              <w:t>1, 2, 4</w:t>
            </w:r>
          </w:p>
        </w:tc>
        <w:tc>
          <w:tcPr>
            <w:tcW w:w="3206" w:type="dxa"/>
          </w:tcPr>
          <w:p w14:paraId="1E5E50FE" w14:textId="77777777" w:rsidR="00633FD1" w:rsidRDefault="00633FD1" w:rsidP="00A34355">
            <w:pPr>
              <w:jc w:val="center"/>
            </w:pPr>
            <w:r w:rsidRPr="007930EA">
              <w:rPr>
                <w:b/>
                <w:bCs/>
                <w:color w:val="FF0000"/>
              </w:rPr>
              <w:t>0.5</w:t>
            </w:r>
            <w:r w:rsidRPr="007930EA">
              <w:rPr>
                <w:highlight w:val="yellow"/>
              </w:rPr>
              <w:t>, 1, 2</w:t>
            </w:r>
          </w:p>
        </w:tc>
      </w:tr>
      <w:tr w:rsidR="00633FD1" w14:paraId="785FC8EB" w14:textId="77777777" w:rsidTr="00A34355">
        <w:tc>
          <w:tcPr>
            <w:tcW w:w="3205" w:type="dxa"/>
          </w:tcPr>
          <w:p w14:paraId="31BFBADC" w14:textId="77777777" w:rsidR="00633FD1" w:rsidRDefault="00633FD1" w:rsidP="00A34355">
            <w:pPr>
              <w:jc w:val="center"/>
            </w:pPr>
            <w:r>
              <w:t>5.12</w:t>
            </w:r>
          </w:p>
        </w:tc>
        <w:tc>
          <w:tcPr>
            <w:tcW w:w="3206" w:type="dxa"/>
          </w:tcPr>
          <w:p w14:paraId="23704E8F" w14:textId="77777777" w:rsidR="00633FD1" w:rsidRDefault="00633FD1" w:rsidP="00A34355">
            <w:pPr>
              <w:jc w:val="center"/>
            </w:pPr>
            <w:r>
              <w:t>1, 2</w:t>
            </w:r>
          </w:p>
        </w:tc>
        <w:tc>
          <w:tcPr>
            <w:tcW w:w="3206" w:type="dxa"/>
          </w:tcPr>
          <w:p w14:paraId="2682861D" w14:textId="77777777" w:rsidR="00633FD1" w:rsidRDefault="00633FD1" w:rsidP="00A34355">
            <w:pPr>
              <w:jc w:val="center"/>
            </w:pPr>
            <w:r w:rsidRPr="007930EA">
              <w:rPr>
                <w:b/>
                <w:bCs/>
                <w:color w:val="FF0000"/>
              </w:rPr>
              <w:t>0.5</w:t>
            </w:r>
            <w:r>
              <w:t xml:space="preserve">, </w:t>
            </w:r>
            <w:r w:rsidRPr="007930EA">
              <w:rPr>
                <w:highlight w:val="yellow"/>
              </w:rPr>
              <w:t>1</w:t>
            </w:r>
          </w:p>
        </w:tc>
      </w:tr>
      <w:tr w:rsidR="00633FD1" w14:paraId="09803479" w14:textId="77777777" w:rsidTr="00A34355">
        <w:tc>
          <w:tcPr>
            <w:tcW w:w="3205" w:type="dxa"/>
          </w:tcPr>
          <w:p w14:paraId="0DABDD07" w14:textId="77777777" w:rsidR="00633FD1" w:rsidRDefault="00633FD1" w:rsidP="00A34355">
            <w:pPr>
              <w:jc w:val="center"/>
            </w:pPr>
            <w:r>
              <w:t>10.24</w:t>
            </w:r>
          </w:p>
        </w:tc>
        <w:tc>
          <w:tcPr>
            <w:tcW w:w="3206" w:type="dxa"/>
          </w:tcPr>
          <w:p w14:paraId="154B208D" w14:textId="77777777" w:rsidR="00633FD1" w:rsidRDefault="00633FD1" w:rsidP="00A34355">
            <w:pPr>
              <w:jc w:val="center"/>
            </w:pPr>
            <w:r>
              <w:t>1</w:t>
            </w:r>
          </w:p>
        </w:tc>
        <w:tc>
          <w:tcPr>
            <w:tcW w:w="3206" w:type="dxa"/>
          </w:tcPr>
          <w:p w14:paraId="7E2C6DE0" w14:textId="77777777" w:rsidR="00633FD1" w:rsidRDefault="00633FD1" w:rsidP="00A34355">
            <w:pPr>
              <w:jc w:val="center"/>
            </w:pPr>
            <w:r w:rsidRPr="007930EA">
              <w:rPr>
                <w:b/>
                <w:bCs/>
                <w:color w:val="FF0000"/>
              </w:rPr>
              <w:t>0.5</w:t>
            </w:r>
          </w:p>
        </w:tc>
      </w:tr>
    </w:tbl>
    <w:p w14:paraId="1669B072" w14:textId="77777777" w:rsidR="00633FD1" w:rsidRDefault="00633FD1" w:rsidP="00633FD1"/>
    <w:p w14:paraId="6FA2B883" w14:textId="77777777" w:rsidR="00633FD1" w:rsidRDefault="00633FD1" w:rsidP="00633FD1">
      <w:r>
        <w:t xml:space="preserve">The values highlighted in yellow on Table 1 can already be configured without the introduction of the scaling factor. Whereas the value in red (0.5) does the exact opposite of “relaxing” the measurements, as it reduces the spacing between measurements, which is not in the spirit of the feature. Therefore, introducing the relaxation factor brings no benefit in terms of configurable relaxation factor, and introduces problems by “unrelaxing” measurements under certain conditions. Similar exercise can be made for the relaxation factor configured with an </w:t>
      </w:r>
      <w:proofErr w:type="spellStart"/>
      <w:r>
        <w:t>eDRX</w:t>
      </w:r>
      <w:proofErr w:type="spellEnd"/>
      <w:r>
        <w:t xml:space="preserve"> cycle. </w:t>
      </w:r>
    </w:p>
    <w:p w14:paraId="508D7525" w14:textId="77777777" w:rsidR="00633FD1" w:rsidRDefault="00633FD1" w:rsidP="00633FD1"/>
    <w:p w14:paraId="5DD3FA82" w14:textId="77777777" w:rsidR="00633FD1" w:rsidRPr="00731A3E" w:rsidRDefault="00633FD1" w:rsidP="00633FD1"/>
    <w:p w14:paraId="283E46E9" w14:textId="77777777" w:rsidR="00633FD1" w:rsidRPr="00261966" w:rsidRDefault="00633FD1" w:rsidP="00633FD1">
      <w:pPr>
        <w:pStyle w:val="RAN4observation0"/>
      </w:pPr>
      <w:bookmarkStart w:id="16" w:name="_Toc135061229"/>
      <w:bookmarkStart w:id="17" w:name="_Toc127546127"/>
      <w:bookmarkStart w:id="18" w:name="_Toc142670500"/>
      <w:r>
        <w:t xml:space="preserve">The network </w:t>
      </w:r>
      <w:proofErr w:type="gramStart"/>
      <w:r>
        <w:t>is capable of controlling</w:t>
      </w:r>
      <w:proofErr w:type="gramEnd"/>
      <w:r>
        <w:t xml:space="preserve"> the interval between measurements by choosing the (e)-DRX cycle length and the parameter</w:t>
      </w:r>
      <w:r w:rsidRPr="00D46F47">
        <w:t xml:space="preserve"> </w:t>
      </w:r>
      <w:proofErr w:type="spellStart"/>
      <w:r w:rsidRPr="00D46F47">
        <w:rPr>
          <w:i/>
          <w:iCs/>
        </w:rPr>
        <w:t>numDRX-CyclesRelaxed</w:t>
      </w:r>
      <w:proofErr w:type="spellEnd"/>
      <w:r>
        <w:rPr>
          <w:i/>
          <w:iCs/>
        </w:rPr>
        <w:t>.</w:t>
      </w:r>
      <w:bookmarkEnd w:id="16"/>
      <w:bookmarkEnd w:id="18"/>
    </w:p>
    <w:p w14:paraId="783331E2" w14:textId="77777777" w:rsidR="00633FD1" w:rsidRDefault="00633FD1" w:rsidP="00633FD1">
      <w:pPr>
        <w:pStyle w:val="RAN4observation0"/>
      </w:pPr>
      <w:r>
        <w:rPr>
          <w:i/>
          <w:iCs/>
        </w:rPr>
        <w:t xml:space="preserve"> </w:t>
      </w:r>
      <w:bookmarkStart w:id="19" w:name="_Toc135061230"/>
      <w:bookmarkStart w:id="20" w:name="_Toc142670501"/>
      <w:r>
        <w:t>Introducing a scaling factor for the relaxed cell measurements</w:t>
      </w:r>
      <w:bookmarkEnd w:id="17"/>
      <w:r>
        <w:t xml:space="preserve"> does not introduce any relaxation factor that can’t be already configured today. Moreover, it introduces additional complications by “unrelaxing” the measurements in certain scenarios.</w:t>
      </w:r>
      <w:bookmarkEnd w:id="19"/>
      <w:bookmarkEnd w:id="20"/>
      <w:r>
        <w:t xml:space="preserve"> </w:t>
      </w:r>
    </w:p>
    <w:p w14:paraId="5F0D91C0" w14:textId="77777777" w:rsidR="00633FD1" w:rsidRDefault="00633FD1" w:rsidP="00633FD1">
      <w:pPr>
        <w:pStyle w:val="RAN4proposal"/>
      </w:pPr>
      <w:bookmarkStart w:id="21" w:name="_Toc127546128"/>
      <w:bookmarkStart w:id="22" w:name="_Toc135061231"/>
      <w:bookmarkStart w:id="23" w:name="_Toc142670502"/>
      <w:r>
        <w:t xml:space="preserve">Do not introduce a scaling factor for the relaxation factor for NGSO compared to GSO. The relaxation factor can already be modulated by the RRC parameter </w:t>
      </w:r>
      <w:proofErr w:type="spellStart"/>
      <w:r w:rsidRPr="00162BD7">
        <w:rPr>
          <w:i/>
          <w:iCs w:val="0"/>
        </w:rPr>
        <w:t>numDRX-cyclesRelaxe</w:t>
      </w:r>
      <w:r>
        <w:rPr>
          <w:i/>
          <w:iCs w:val="0"/>
        </w:rPr>
        <w:t>d</w:t>
      </w:r>
      <w:proofErr w:type="spellEnd"/>
      <w:r>
        <w:rPr>
          <w:i/>
          <w:iCs w:val="0"/>
        </w:rPr>
        <w:t xml:space="preserve"> </w:t>
      </w:r>
      <w:r w:rsidRPr="00162BD7">
        <w:t>specified by RAN2.</w:t>
      </w:r>
      <w:bookmarkEnd w:id="21"/>
      <w:bookmarkEnd w:id="22"/>
      <w:bookmarkEnd w:id="23"/>
    </w:p>
    <w:p w14:paraId="7E16A872" w14:textId="1DFA041B" w:rsidR="00DC4780" w:rsidRDefault="00DC4780" w:rsidP="00DC4780"/>
    <w:p w14:paraId="0F91378F" w14:textId="013D17A3" w:rsidR="00920481" w:rsidRDefault="000549D9" w:rsidP="00920481">
      <w:pPr>
        <w:pStyle w:val="RAN4H2"/>
      </w:pPr>
      <w:r>
        <w:t>Discontinuous coverage</w:t>
      </w:r>
    </w:p>
    <w:p w14:paraId="193EEC40" w14:textId="16947F73" w:rsidR="009F6482" w:rsidRDefault="00DC3F0E" w:rsidP="00DC4780">
      <w:r>
        <w:t>Another open item from the pr</w:t>
      </w:r>
      <w:r w:rsidR="00826BE5">
        <w:t xml:space="preserve">evious meeting was regarding whether the “in-coverage” condition for the UE to resume measurements would be </w:t>
      </w:r>
      <w:r w:rsidR="00877E81">
        <w:t>formally defined by RAN4</w:t>
      </w:r>
      <w:r w:rsidR="007802A1">
        <w:t xml:space="preserve"> </w:t>
      </w:r>
      <w:r w:rsidR="00A95049">
        <w:fldChar w:fldCharType="begin"/>
      </w:r>
      <w:r w:rsidR="00A95049">
        <w:instrText xml:space="preserve"> REF _Ref127447438 \r \h </w:instrText>
      </w:r>
      <w:r w:rsidR="00A95049">
        <w:fldChar w:fldCharType="separate"/>
      </w:r>
      <w:r w:rsidR="00A95049">
        <w:t>[4]</w:t>
      </w:r>
      <w:r w:rsidR="00A95049">
        <w:fldChar w:fldCharType="end"/>
      </w:r>
      <w:r w:rsidR="00877E81">
        <w:t xml:space="preserve">. While some companies agree that the definition of in coverage </w:t>
      </w:r>
      <w:r w:rsidR="00F7145F">
        <w:t xml:space="preserve">is not needed, others argue that it is needed such that a UE cannot go indefinitely in idle mode. </w:t>
      </w:r>
    </w:p>
    <w:tbl>
      <w:tblPr>
        <w:tblStyle w:val="TableGrid"/>
        <w:tblW w:w="0" w:type="auto"/>
        <w:tblLook w:val="04A0" w:firstRow="1" w:lastRow="0" w:firstColumn="1" w:lastColumn="0" w:noHBand="0" w:noVBand="1"/>
      </w:tblPr>
      <w:tblGrid>
        <w:gridCol w:w="9617"/>
      </w:tblGrid>
      <w:tr w:rsidR="007802A1" w14:paraId="2A6FF540" w14:textId="77777777" w:rsidTr="007802A1">
        <w:tc>
          <w:tcPr>
            <w:tcW w:w="9617" w:type="dxa"/>
          </w:tcPr>
          <w:p w14:paraId="24204F06" w14:textId="77777777" w:rsidR="007802A1" w:rsidRPr="00AE1E4F" w:rsidRDefault="007802A1" w:rsidP="007802A1">
            <w:pPr>
              <w:pStyle w:val="Heading4"/>
              <w:rPr>
                <w:rFonts w:eastAsia="PMingLiU"/>
                <w:lang w:eastAsia="zh-TW"/>
              </w:rPr>
            </w:pPr>
            <w:r w:rsidRPr="004C3164">
              <w:t xml:space="preserve">Issue </w:t>
            </w:r>
            <w:r>
              <w:rPr>
                <w:rFonts w:eastAsia="PMingLiU"/>
                <w:lang w:eastAsia="zh-TW"/>
              </w:rPr>
              <w:t>2-1</w:t>
            </w:r>
            <w:r w:rsidRPr="004C3164">
              <w:t xml:space="preserve">: </w:t>
            </w:r>
            <w:r w:rsidRPr="00CE3FCC">
              <w:t>Discontinuous Coverage</w:t>
            </w:r>
            <w:r>
              <w:t xml:space="preserve"> </w:t>
            </w:r>
            <w:r w:rsidRPr="00863961">
              <w:t xml:space="preserve">upon UE is in </w:t>
            </w:r>
            <w:proofErr w:type="gramStart"/>
            <w:r w:rsidRPr="00863961">
              <w:t>coverage</w:t>
            </w:r>
            <w:proofErr w:type="gramEnd"/>
          </w:p>
          <w:p w14:paraId="06846A8E" w14:textId="77777777" w:rsidR="007802A1" w:rsidRPr="00481FDC" w:rsidRDefault="007802A1" w:rsidP="007802A1">
            <w:pPr>
              <w:rPr>
                <w:rFonts w:eastAsia="MS Mincho"/>
              </w:rPr>
            </w:pPr>
            <w:r w:rsidRPr="00481FDC">
              <w:rPr>
                <w:rFonts w:eastAsia="MS Mincho" w:hint="eastAsia"/>
              </w:rPr>
              <w:t>FFS</w:t>
            </w:r>
          </w:p>
          <w:p w14:paraId="20F8871B" w14:textId="77777777" w:rsidR="007802A1" w:rsidRPr="00A355EB" w:rsidRDefault="007802A1" w:rsidP="007802A1">
            <w:pPr>
              <w:pStyle w:val="ListParagraph"/>
              <w:numPr>
                <w:ilvl w:val="0"/>
                <w:numId w:val="35"/>
              </w:numPr>
              <w:overflowPunct w:val="0"/>
              <w:autoSpaceDE w:val="0"/>
              <w:autoSpaceDN w:val="0"/>
              <w:adjustRightInd w:val="0"/>
              <w:spacing w:after="180"/>
              <w:contextualSpacing w:val="0"/>
              <w:textAlignment w:val="baseline"/>
            </w:pPr>
            <w:r>
              <w:rPr>
                <w:rFonts w:eastAsia="PMingLiU"/>
                <w:b/>
                <w:bCs/>
                <w:lang w:eastAsia="zh-TW"/>
              </w:rPr>
              <w:t>Proposal</w:t>
            </w:r>
            <w:r w:rsidRPr="000D7201">
              <w:rPr>
                <w:rFonts w:eastAsia="PMingLiU"/>
                <w:b/>
                <w:bCs/>
                <w:lang w:eastAsia="zh-TW"/>
              </w:rPr>
              <w:t xml:space="preserve"> </w:t>
            </w:r>
            <w:r>
              <w:rPr>
                <w:rFonts w:eastAsia="PMingLiU"/>
                <w:b/>
                <w:bCs/>
                <w:lang w:eastAsia="zh-TW"/>
              </w:rPr>
              <w:t>1</w:t>
            </w:r>
            <w:r w:rsidRPr="000D7201">
              <w:rPr>
                <w:rFonts w:eastAsia="PMingLiU"/>
                <w:b/>
                <w:bCs/>
                <w:lang w:eastAsia="zh-TW"/>
              </w:rPr>
              <w:t>:</w:t>
            </w:r>
            <w:r>
              <w:rPr>
                <w:rFonts w:eastAsia="PMingLiU"/>
                <w:lang w:eastAsia="zh-TW"/>
              </w:rPr>
              <w:t xml:space="preserve"> </w:t>
            </w:r>
            <w:r w:rsidRPr="00287948">
              <w:t xml:space="preserve">RAN4 to agree that in discontinuous coverage scenarios, the UE </w:t>
            </w:r>
            <w:r w:rsidRPr="00A355EB">
              <w:t>shall resume measurements</w:t>
            </w:r>
            <w:r w:rsidRPr="00287948">
              <w:t xml:space="preserve"> when the UE is in </w:t>
            </w:r>
            <w:r w:rsidRPr="00A355EB">
              <w:rPr>
                <w:u w:val="single"/>
              </w:rPr>
              <w:t>expected coverage</w:t>
            </w:r>
            <w:r w:rsidRPr="00287948">
              <w:t xml:space="preserve"> as defined by the previously acquired </w:t>
            </w:r>
            <w:r w:rsidRPr="00287948">
              <w:rPr>
                <w:i/>
                <w:iCs/>
              </w:rPr>
              <w:t>SystemInformationBlockType32</w:t>
            </w:r>
            <w:r w:rsidRPr="00287948">
              <w:t>.</w:t>
            </w:r>
            <w:r>
              <w:t xml:space="preserve"> </w:t>
            </w:r>
          </w:p>
          <w:p w14:paraId="7963CF27" w14:textId="77777777" w:rsidR="007802A1" w:rsidRPr="00A355EB" w:rsidRDefault="007802A1" w:rsidP="007802A1">
            <w:pPr>
              <w:pStyle w:val="ListParagraph"/>
              <w:numPr>
                <w:ilvl w:val="0"/>
                <w:numId w:val="35"/>
              </w:numPr>
              <w:spacing w:after="120"/>
              <w:contextualSpacing w:val="0"/>
              <w:rPr>
                <w:rFonts w:eastAsia="SimSun"/>
                <w:szCs w:val="24"/>
                <w:lang w:eastAsia="zh-CN"/>
              </w:rPr>
            </w:pPr>
            <w:r>
              <w:rPr>
                <w:rFonts w:eastAsia="PMingLiU"/>
                <w:b/>
                <w:bCs/>
                <w:lang w:eastAsia="zh-TW"/>
              </w:rPr>
              <w:t>Proposal</w:t>
            </w:r>
            <w:r w:rsidRPr="00A355EB">
              <w:rPr>
                <w:b/>
                <w:bCs/>
              </w:rPr>
              <w:t xml:space="preserve"> 1a</w:t>
            </w:r>
            <w:r w:rsidRPr="00A355EB">
              <w:t xml:space="preserve">: RAN4 to agree that in discontinuous coverage scenarios, the UE shall resume measurements when the UE is in </w:t>
            </w:r>
            <w:r w:rsidRPr="00A355EB">
              <w:rPr>
                <w:u w:val="single"/>
              </w:rPr>
              <w:t>expected in-coverage</w:t>
            </w:r>
            <w:r w:rsidRPr="00A355EB">
              <w:t xml:space="preserve"> after UE acquired the </w:t>
            </w:r>
            <w:r w:rsidRPr="00A355EB">
              <w:rPr>
                <w:i/>
              </w:rPr>
              <w:t>SystemInformationBlockType32.</w:t>
            </w:r>
            <w:r>
              <w:rPr>
                <w:rFonts w:ascii="PMingLiU" w:eastAsia="PMingLiU" w:hAnsi="PMingLiU" w:hint="eastAsia"/>
                <w:iCs/>
                <w:lang w:eastAsia="zh-TW"/>
              </w:rPr>
              <w:t xml:space="preserve"> </w:t>
            </w:r>
          </w:p>
          <w:p w14:paraId="050EFBCA" w14:textId="77777777" w:rsidR="007802A1" w:rsidRPr="00A355EB" w:rsidRDefault="007802A1" w:rsidP="007802A1">
            <w:pPr>
              <w:pStyle w:val="ListParagraph"/>
              <w:numPr>
                <w:ilvl w:val="0"/>
                <w:numId w:val="35"/>
              </w:numPr>
              <w:overflowPunct w:val="0"/>
              <w:autoSpaceDE w:val="0"/>
              <w:autoSpaceDN w:val="0"/>
              <w:adjustRightInd w:val="0"/>
              <w:spacing w:after="180"/>
              <w:contextualSpacing w:val="0"/>
              <w:textAlignment w:val="baseline"/>
              <w:rPr>
                <w:rFonts w:eastAsia="PMingLiU"/>
                <w:lang w:eastAsia="zh-TW"/>
              </w:rPr>
            </w:pPr>
            <w:r>
              <w:rPr>
                <w:rFonts w:eastAsia="PMingLiU"/>
                <w:b/>
                <w:bCs/>
                <w:lang w:eastAsia="zh-TW"/>
              </w:rPr>
              <w:t>Proposal</w:t>
            </w:r>
            <w:r w:rsidRPr="000D7201">
              <w:rPr>
                <w:rFonts w:eastAsia="PMingLiU"/>
                <w:b/>
                <w:bCs/>
                <w:lang w:eastAsia="zh-TW"/>
              </w:rPr>
              <w:t xml:space="preserve"> </w:t>
            </w:r>
            <w:r>
              <w:rPr>
                <w:rFonts w:eastAsia="PMingLiU"/>
                <w:b/>
                <w:bCs/>
                <w:lang w:eastAsia="zh-TW"/>
              </w:rPr>
              <w:t>2</w:t>
            </w:r>
            <w:r w:rsidRPr="000D7201">
              <w:rPr>
                <w:rFonts w:eastAsia="PMingLiU"/>
                <w:b/>
                <w:bCs/>
                <w:lang w:eastAsia="zh-TW"/>
              </w:rPr>
              <w:t>:</w:t>
            </w:r>
            <w:r>
              <w:rPr>
                <w:rFonts w:eastAsia="PMingLiU"/>
                <w:lang w:eastAsia="zh-TW"/>
              </w:rPr>
              <w:t xml:space="preserve"> </w:t>
            </w:r>
            <w:r w:rsidRPr="000D7201">
              <w:rPr>
                <w:rFonts w:eastAsia="PMingLiU"/>
                <w:lang w:eastAsia="zh-TW"/>
              </w:rPr>
              <w:t xml:space="preserve">RAN4 not to define requirements for discontinuous coverage upon UE is in coverage, which is similar as Cell selection procedure. </w:t>
            </w:r>
          </w:p>
          <w:p w14:paraId="1AFB015C" w14:textId="77777777" w:rsidR="007802A1" w:rsidRDefault="007802A1" w:rsidP="00DC4780"/>
        </w:tc>
      </w:tr>
    </w:tbl>
    <w:p w14:paraId="61F94982" w14:textId="77777777" w:rsidR="007802A1" w:rsidRDefault="007802A1" w:rsidP="00DC4780"/>
    <w:p w14:paraId="51E51633" w14:textId="30010ECA" w:rsidR="00F7145F" w:rsidRDefault="00777F81" w:rsidP="00DC4780">
      <w:r>
        <w:t xml:space="preserve">Between options 1 and options 1-a above, </w:t>
      </w:r>
      <w:r w:rsidR="00F03F58">
        <w:t>option 1 is our preferred option, as option 1a</w:t>
      </w:r>
      <w:r w:rsidR="005C3404">
        <w:t xml:space="preserve"> is not consistent in language</w:t>
      </w:r>
      <w:r w:rsidR="004F1A5F">
        <w:t>,</w:t>
      </w:r>
      <w:r w:rsidR="003B5C1E">
        <w:t xml:space="preserve"> </w:t>
      </w:r>
      <w:r w:rsidR="004F1A5F">
        <w:t>as it might lead to interpretation that it refers to the SIB32 broadcast by the target cell</w:t>
      </w:r>
      <w:r w:rsidR="005C3404">
        <w:t>:</w:t>
      </w:r>
    </w:p>
    <w:p w14:paraId="0EFBB81F" w14:textId="0B1EAF05" w:rsidR="005C3404" w:rsidRDefault="004F1A5F" w:rsidP="004F1A5F">
      <w:pPr>
        <w:pStyle w:val="ListParagraph"/>
        <w:numPr>
          <w:ilvl w:val="0"/>
          <w:numId w:val="32"/>
        </w:numPr>
      </w:pPr>
      <w:r>
        <w:t>A UE that has acquired SIB32 on the target cell has already found the new cell, acquired MIB, SIB1</w:t>
      </w:r>
      <w:r w:rsidR="003E66CB">
        <w:t>, SIB31</w:t>
      </w:r>
      <w:r>
        <w:t xml:space="preserve"> and SIB32</w:t>
      </w:r>
      <w:r w:rsidR="003E66CB">
        <w:t xml:space="preserve"> (and other necessary SIBs)</w:t>
      </w:r>
      <w:r>
        <w:t xml:space="preserve">. </w:t>
      </w:r>
    </w:p>
    <w:p w14:paraId="4A6207CD" w14:textId="10957F21" w:rsidR="004F1A5F" w:rsidRDefault="004F1A5F" w:rsidP="004F1A5F">
      <w:pPr>
        <w:pStyle w:val="ListParagraph"/>
        <w:numPr>
          <w:ilvl w:val="0"/>
          <w:numId w:val="32"/>
        </w:numPr>
      </w:pPr>
      <w:r>
        <w:t>This UE has clearly resumed measurements much before acquiring SIB32 such t</w:t>
      </w:r>
      <w:r w:rsidR="008F47C3">
        <w:t xml:space="preserve">hat SIB32 could be acquired. </w:t>
      </w:r>
    </w:p>
    <w:p w14:paraId="34152FCF" w14:textId="50DFD6B6" w:rsidR="008F47C3" w:rsidRDefault="008F47C3" w:rsidP="004F1A5F">
      <w:pPr>
        <w:pStyle w:val="ListParagraph"/>
        <w:numPr>
          <w:ilvl w:val="0"/>
          <w:numId w:val="32"/>
        </w:numPr>
      </w:pPr>
      <w:r>
        <w:t>Hen</w:t>
      </w:r>
      <w:r w:rsidR="00E05CEB">
        <w:t>ce, only after the UE has resumed measurements the UE will be required to resume measurements, which creates a paradox that might lead the UE to</w:t>
      </w:r>
      <w:r w:rsidR="00FF44F9">
        <w:t xml:space="preserve"> stay in deep sleep state forever. </w:t>
      </w:r>
    </w:p>
    <w:p w14:paraId="14B7EB85" w14:textId="673CC1A5" w:rsidR="00D87B3F" w:rsidRDefault="00D87B3F" w:rsidP="00D87B3F">
      <w:pPr>
        <w:pStyle w:val="RAN4proposal"/>
        <w:rPr>
          <w:i/>
        </w:rPr>
      </w:pPr>
      <w:bookmarkStart w:id="24" w:name="_Toc131891501"/>
      <w:bookmarkStart w:id="25" w:name="_Toc135061232"/>
      <w:bookmarkStart w:id="26" w:name="_Toc142670503"/>
      <w:r>
        <w:t xml:space="preserve">RAN4 to agree that in discontinuous coverage scenarios, the UE shall </w:t>
      </w:r>
      <w:r w:rsidR="00975CE9">
        <w:t>postpone</w:t>
      </w:r>
      <w:r>
        <w:t xml:space="preserve"> measurements</w:t>
      </w:r>
      <w:r w:rsidR="00975CE9">
        <w:t>/radio monitoring until the</w:t>
      </w:r>
      <w:r>
        <w:t xml:space="preserve"> UE is in expected coverage as defined by the previously acquired </w:t>
      </w:r>
      <w:r w:rsidRPr="4068FD29">
        <w:rPr>
          <w:i/>
        </w:rPr>
        <w:t>SystemInformationBlockType32</w:t>
      </w:r>
      <w:r w:rsidR="005445FA">
        <w:rPr>
          <w:i/>
        </w:rPr>
        <w:t xml:space="preserve"> </w:t>
      </w:r>
      <w:proofErr w:type="gramStart"/>
      <w:r w:rsidR="005445FA">
        <w:rPr>
          <w:i/>
        </w:rPr>
        <w:t>as long as</w:t>
      </w:r>
      <w:proofErr w:type="gramEnd"/>
      <w:r w:rsidR="005445FA">
        <w:rPr>
          <w:i/>
        </w:rPr>
        <w:t xml:space="preserve"> the UE is still in </w:t>
      </w:r>
      <w:r w:rsidR="007740C8">
        <w:rPr>
          <w:i/>
        </w:rPr>
        <w:t>the relevant area covered by SIB32</w:t>
      </w:r>
      <w:r w:rsidRPr="4068FD29">
        <w:rPr>
          <w:i/>
        </w:rPr>
        <w:t>.</w:t>
      </w:r>
      <w:bookmarkEnd w:id="24"/>
      <w:bookmarkEnd w:id="25"/>
      <w:bookmarkEnd w:id="26"/>
    </w:p>
    <w:p w14:paraId="5B4C2CF2" w14:textId="449F1FD1" w:rsidR="00FF44F9" w:rsidRPr="00DC4780" w:rsidRDefault="00513679" w:rsidP="00C75A80">
      <w:r>
        <w:t xml:space="preserve">Our concern is </w:t>
      </w:r>
      <w:r w:rsidR="00550E22">
        <w:t xml:space="preserve">that a UE might stay on “deep state” indefinitely, </w:t>
      </w:r>
      <w:r w:rsidR="00C75A80">
        <w:t xml:space="preserve">as there is no definition about when to resume the UE monitoring of radio signals. Such behavior should not be allowed by specification. Hence, if RAN4 cannot reach a consensus on the definitions of in-coverage provided by SIB 32, we need to </w:t>
      </w:r>
      <w:r w:rsidR="00814C66">
        <w:t>create a limitation in how long a UE can stay without measuring/monitoring radio signals:</w:t>
      </w:r>
    </w:p>
    <w:p w14:paraId="2E5A8C40" w14:textId="07CE97D5" w:rsidR="00814C66" w:rsidRDefault="00930C92" w:rsidP="00814C66">
      <w:pPr>
        <w:pStyle w:val="RAN4proposal"/>
        <w:rPr>
          <w:i/>
        </w:rPr>
      </w:pPr>
      <w:bookmarkStart w:id="27" w:name="_Toc142670504"/>
      <w:r>
        <w:t xml:space="preserve">If RAN4 cannot agree to define what “in coverage” means, </w:t>
      </w:r>
      <w:r w:rsidR="0005110C">
        <w:t xml:space="preserve">amend the previous agreement </w:t>
      </w:r>
      <w:r w:rsidR="009F24A5">
        <w:t>to say that:</w:t>
      </w:r>
      <w:r w:rsidR="0005110C">
        <w:t xml:space="preserve"> </w:t>
      </w:r>
      <w:r w:rsidR="009F24A5">
        <w:t>“</w:t>
      </w:r>
      <w:r w:rsidR="00975CE9">
        <w:t xml:space="preserve">in discontinuous coverage scenarios the UE can postpone radio monitoring activities </w:t>
      </w:r>
      <w:r w:rsidR="009F24A5">
        <w:t>until the UE is in coverage or for a maximum period of [</w:t>
      </w:r>
      <w:r w:rsidR="007740C8">
        <w:t>8</w:t>
      </w:r>
      <w:r w:rsidR="009F24A5">
        <w:t>] hours, whichever comes first”.</w:t>
      </w:r>
      <w:bookmarkEnd w:id="27"/>
      <w:r w:rsidR="009F24A5">
        <w:t xml:space="preserve"> </w:t>
      </w:r>
    </w:p>
    <w:p w14:paraId="69BA6250" w14:textId="77777777" w:rsidR="00814C66" w:rsidRDefault="00814C66" w:rsidP="005C23A4"/>
    <w:p w14:paraId="3455C296" w14:textId="77777777" w:rsidR="00B95A22" w:rsidRPr="008C39F7" w:rsidRDefault="00B95A22" w:rsidP="00B95A22">
      <w:pPr>
        <w:pStyle w:val="RAN4H2"/>
      </w:pPr>
      <w:r>
        <w:t xml:space="preserve">Serving Cell Measurement upon t-service. </w:t>
      </w:r>
    </w:p>
    <w:p w14:paraId="5916D5F9" w14:textId="77777777" w:rsidR="00B95A22" w:rsidRDefault="00B95A22" w:rsidP="00B95A22">
      <w:pPr>
        <w:rPr>
          <w:lang w:eastAsia="zh-CN"/>
        </w:rPr>
      </w:pPr>
      <w:r>
        <w:rPr>
          <w:lang w:eastAsia="zh-CN"/>
        </w:rPr>
        <w:t xml:space="preserve">Another open issue from the previous meeting that requires to be addressed by RAN4 regards the DRX operation when the UE is configured with t-service. </w:t>
      </w:r>
    </w:p>
    <w:tbl>
      <w:tblPr>
        <w:tblStyle w:val="TableGrid"/>
        <w:tblW w:w="0" w:type="auto"/>
        <w:tblLook w:val="04A0" w:firstRow="1" w:lastRow="0" w:firstColumn="1" w:lastColumn="0" w:noHBand="0" w:noVBand="1"/>
      </w:tblPr>
      <w:tblGrid>
        <w:gridCol w:w="9617"/>
      </w:tblGrid>
      <w:tr w:rsidR="00B95A22" w14:paraId="623A3B89" w14:textId="77777777" w:rsidTr="00A34355">
        <w:tc>
          <w:tcPr>
            <w:tcW w:w="9617" w:type="dxa"/>
          </w:tcPr>
          <w:p w14:paraId="0E74FCC7" w14:textId="77777777" w:rsidR="0051546D" w:rsidRPr="00457DE0" w:rsidRDefault="0051546D" w:rsidP="0051546D">
            <w:pPr>
              <w:pStyle w:val="Heading4"/>
              <w:rPr>
                <w:rFonts w:eastAsia="PMingLiU"/>
                <w:lang w:eastAsia="zh-TW"/>
              </w:rPr>
            </w:pPr>
            <w:r w:rsidRPr="004C3164">
              <w:lastRenderedPageBreak/>
              <w:t xml:space="preserve">Issue </w:t>
            </w:r>
            <w:r>
              <w:rPr>
                <w:rFonts w:eastAsia="PMingLiU"/>
                <w:lang w:eastAsia="zh-TW"/>
              </w:rPr>
              <w:t>2-3</w:t>
            </w:r>
            <w:r w:rsidRPr="004C3164">
              <w:t>: NGSO,</w:t>
            </w:r>
            <w:r>
              <w:t xml:space="preserve"> </w:t>
            </w:r>
            <w:r>
              <w:rPr>
                <w:rFonts w:eastAsia="PMingLiU"/>
                <w:lang w:eastAsia="zh-TW"/>
              </w:rPr>
              <w:t xml:space="preserve">serving cell measurement upon </w:t>
            </w:r>
            <w:r w:rsidRPr="00B360C2">
              <w:rPr>
                <w:rFonts w:eastAsia="PMingLiU"/>
                <w:lang w:eastAsia="zh-TW"/>
              </w:rPr>
              <w:t>t-Service-</w:t>
            </w:r>
            <w:proofErr w:type="gramStart"/>
            <w:r w:rsidRPr="00B360C2">
              <w:rPr>
                <w:rFonts w:eastAsia="PMingLiU"/>
                <w:lang w:eastAsia="zh-TW"/>
              </w:rPr>
              <w:t>r17</w:t>
            </w:r>
            <w:proofErr w:type="gramEnd"/>
          </w:p>
          <w:p w14:paraId="39121C7C" w14:textId="77777777" w:rsidR="0051546D" w:rsidRPr="00481FDC" w:rsidRDefault="0051546D" w:rsidP="0051546D">
            <w:pPr>
              <w:rPr>
                <w:rFonts w:eastAsia="MS Mincho"/>
              </w:rPr>
            </w:pPr>
            <w:r w:rsidRPr="00481FDC">
              <w:rPr>
                <w:rFonts w:eastAsia="MS Mincho" w:hint="eastAsia"/>
              </w:rPr>
              <w:t>FFS</w:t>
            </w:r>
          </w:p>
          <w:p w14:paraId="06DB91C0" w14:textId="77777777" w:rsidR="0051546D" w:rsidRPr="0021607B" w:rsidRDefault="0051546D" w:rsidP="0051546D">
            <w:pPr>
              <w:pStyle w:val="ListParagraph"/>
              <w:numPr>
                <w:ilvl w:val="0"/>
                <w:numId w:val="33"/>
              </w:numPr>
              <w:overflowPunct w:val="0"/>
              <w:autoSpaceDE w:val="0"/>
              <w:autoSpaceDN w:val="0"/>
              <w:adjustRightInd w:val="0"/>
              <w:spacing w:after="180"/>
              <w:contextualSpacing w:val="0"/>
              <w:textAlignment w:val="baseline"/>
            </w:pPr>
            <w:r>
              <w:t xml:space="preserve">Proposal 1: </w:t>
            </w:r>
            <w:r w:rsidRPr="0021607B">
              <w:t xml:space="preserve">Do not change DRX requirements based on t-service configuration. </w:t>
            </w:r>
          </w:p>
          <w:p w14:paraId="307317EA" w14:textId="77777777" w:rsidR="0051546D" w:rsidRPr="002D3B0E" w:rsidRDefault="0051546D" w:rsidP="0051546D">
            <w:pPr>
              <w:pStyle w:val="ListParagraph"/>
              <w:numPr>
                <w:ilvl w:val="0"/>
                <w:numId w:val="33"/>
              </w:numPr>
              <w:overflowPunct w:val="0"/>
              <w:autoSpaceDE w:val="0"/>
              <w:autoSpaceDN w:val="0"/>
              <w:adjustRightInd w:val="0"/>
              <w:spacing w:after="180"/>
              <w:contextualSpacing w:val="0"/>
              <w:textAlignment w:val="baseline"/>
            </w:pPr>
            <w:r w:rsidRPr="002D3B0E">
              <w:rPr>
                <w:rFonts w:eastAsia="PMingLiU"/>
                <w:iCs/>
                <w:lang w:eastAsia="zh-TW"/>
              </w:rPr>
              <w:t xml:space="preserve">Proposal 2: </w:t>
            </w:r>
          </w:p>
          <w:p w14:paraId="4A694971" w14:textId="77777777" w:rsidR="0051546D" w:rsidRPr="002D3B0E" w:rsidRDefault="0051546D" w:rsidP="0051546D">
            <w:pPr>
              <w:pStyle w:val="ListParagraph"/>
              <w:numPr>
                <w:ilvl w:val="1"/>
                <w:numId w:val="33"/>
              </w:numPr>
              <w:overflowPunct w:val="0"/>
              <w:autoSpaceDE w:val="0"/>
              <w:autoSpaceDN w:val="0"/>
              <w:adjustRightInd w:val="0"/>
              <w:spacing w:after="120"/>
              <w:contextualSpacing w:val="0"/>
              <w:textAlignment w:val="baseline"/>
              <w:rPr>
                <w:lang w:eastAsia="zh-CN"/>
              </w:rPr>
            </w:pPr>
            <w:r w:rsidRPr="002D3B0E">
              <w:rPr>
                <w:rFonts w:hint="eastAsia"/>
                <w:lang w:eastAsia="zh-CN"/>
              </w:rPr>
              <w:t xml:space="preserve">If the UE is configured with DRX cycle </w:t>
            </w:r>
            <w:r w:rsidRPr="002D3B0E">
              <w:rPr>
                <w:rFonts w:hint="eastAsia"/>
                <w:lang w:eastAsia="zh-CN"/>
              </w:rPr>
              <w:t>≥</w:t>
            </w:r>
            <w:r w:rsidRPr="002D3B0E">
              <w:rPr>
                <w:rFonts w:hint="eastAsia"/>
                <w:lang w:eastAsia="zh-CN"/>
              </w:rPr>
              <w:t xml:space="preserve"> [1.28] sec, then the UE shall meet the serving cell evaluation requirements defined for DRX cycle of [640] </w:t>
            </w:r>
            <w:proofErr w:type="spellStart"/>
            <w:r w:rsidRPr="002D3B0E">
              <w:rPr>
                <w:rFonts w:hint="eastAsia"/>
                <w:lang w:eastAsia="zh-CN"/>
              </w:rPr>
              <w:t>ms</w:t>
            </w:r>
            <w:proofErr w:type="spellEnd"/>
            <w:r w:rsidRPr="002D3B0E">
              <w:rPr>
                <w:rFonts w:hint="eastAsia"/>
                <w:lang w:eastAsia="zh-CN"/>
              </w:rPr>
              <w:t xml:space="preserve"> starting from at least 2 configured DRX cycles before </w:t>
            </w:r>
            <w:r w:rsidRPr="002D3B0E">
              <w:rPr>
                <w:rFonts w:hint="eastAsia"/>
                <w:lang w:eastAsia="zh-CN"/>
              </w:rPr>
              <w:t>‘</w:t>
            </w:r>
            <w:r w:rsidRPr="002D3B0E">
              <w:rPr>
                <w:rFonts w:hint="eastAsia"/>
                <w:lang w:eastAsia="zh-CN"/>
              </w:rPr>
              <w:t>t-Service-r17</w:t>
            </w:r>
            <w:r w:rsidRPr="002D3B0E">
              <w:rPr>
                <w:rFonts w:hint="eastAsia"/>
                <w:lang w:eastAsia="zh-CN"/>
              </w:rPr>
              <w:t>’</w:t>
            </w:r>
            <w:r w:rsidRPr="002D3B0E">
              <w:rPr>
                <w:rFonts w:hint="eastAsia"/>
                <w:lang w:eastAsia="zh-CN"/>
              </w:rPr>
              <w:t xml:space="preserve">. </w:t>
            </w:r>
          </w:p>
          <w:p w14:paraId="4433614C" w14:textId="77777777" w:rsidR="0051546D" w:rsidRPr="00457DE0" w:rsidRDefault="0051546D" w:rsidP="0051546D">
            <w:pPr>
              <w:pStyle w:val="ListParagraph"/>
              <w:numPr>
                <w:ilvl w:val="1"/>
                <w:numId w:val="33"/>
              </w:numPr>
              <w:overflowPunct w:val="0"/>
              <w:autoSpaceDE w:val="0"/>
              <w:autoSpaceDN w:val="0"/>
              <w:adjustRightInd w:val="0"/>
              <w:spacing w:after="120"/>
              <w:contextualSpacing w:val="0"/>
              <w:textAlignment w:val="baseline"/>
              <w:rPr>
                <w:lang w:eastAsia="zh-CN"/>
              </w:rPr>
            </w:pPr>
            <w:r w:rsidRPr="002D3B0E">
              <w:rPr>
                <w:lang w:eastAsia="zh-CN"/>
              </w:rPr>
              <w:t xml:space="preserve">If the UE is configured with ‘t-Service-r17’ [2] in the serving cell and </w:t>
            </w:r>
            <w:proofErr w:type="spellStart"/>
            <w:r w:rsidRPr="002D3B0E">
              <w:rPr>
                <w:lang w:eastAsia="zh-CN"/>
              </w:rPr>
              <w:t>eDRX_IDLE</w:t>
            </w:r>
            <w:proofErr w:type="spellEnd"/>
            <w:r w:rsidRPr="002D3B0E">
              <w:rPr>
                <w:lang w:eastAsia="zh-CN"/>
              </w:rPr>
              <w:t>, then the UE shall meet the requirements defined for DRX cycle length of [2.56] s in Table 4.7A.2.1.1-1 starting from at least [2] DRX cycles before ‘t-Service-r17’.</w:t>
            </w:r>
          </w:p>
          <w:p w14:paraId="5F1FCE4D" w14:textId="77777777" w:rsidR="00B95A22" w:rsidRDefault="00B95A22" w:rsidP="00A34355">
            <w:pPr>
              <w:rPr>
                <w:lang w:eastAsia="zh-CN"/>
              </w:rPr>
            </w:pPr>
          </w:p>
        </w:tc>
      </w:tr>
    </w:tbl>
    <w:p w14:paraId="6F0ACF42" w14:textId="77777777" w:rsidR="00B95A22" w:rsidRDefault="00B95A22" w:rsidP="00B95A22">
      <w:pPr>
        <w:rPr>
          <w:lang w:eastAsia="zh-CN"/>
        </w:rPr>
      </w:pPr>
    </w:p>
    <w:p w14:paraId="0CBE04AD" w14:textId="77777777" w:rsidR="00B95A22" w:rsidRPr="00FC23AB" w:rsidRDefault="00B95A22" w:rsidP="00B95A22">
      <w:r>
        <w:t xml:space="preserve">This problem is very similar to the discussion presented in Section 2.1.1 of the present document. As we mention there, this seems an attempt to provide the UE with more serving cell measurements right before t-service, when they are less needed. Besides the high likelihood of the UE still be in good conditions before t-service, those measurements are known to be soon deprecated. We do not see value to expend UE energy in collecting more measurements than the ones configured by the NW, in special considering </w:t>
      </w:r>
      <w:proofErr w:type="gramStart"/>
      <w:r>
        <w:t>a</w:t>
      </w:r>
      <w:proofErr w:type="gramEnd"/>
      <w:r>
        <w:t xml:space="preserve"> NTN UE in NGSO scenarios will probably be required to perform several cell reselections a day. </w:t>
      </w:r>
    </w:p>
    <w:p w14:paraId="70C61153" w14:textId="6D2A9AEF" w:rsidR="00B95A22" w:rsidRPr="008C39F7" w:rsidRDefault="00B95A22" w:rsidP="00B95A22">
      <w:pPr>
        <w:pStyle w:val="RAN4proposal"/>
      </w:pPr>
      <w:bookmarkStart w:id="28" w:name="_Toc135061235"/>
      <w:bookmarkStart w:id="29" w:name="_Toc142670505"/>
      <w:r>
        <w:t xml:space="preserve">Do not change DRX requirements </w:t>
      </w:r>
      <w:r w:rsidR="008061FD">
        <w:t>f</w:t>
      </w:r>
      <w:r w:rsidR="0011719A">
        <w:t xml:space="preserve">or serving cell measurement </w:t>
      </w:r>
      <w:r>
        <w:t>based on t-service configuration.</w:t>
      </w:r>
      <w:bookmarkEnd w:id="28"/>
      <w:bookmarkEnd w:id="29"/>
      <w:r>
        <w:t xml:space="preserve"> </w:t>
      </w:r>
    </w:p>
    <w:p w14:paraId="45E27A1F" w14:textId="77777777" w:rsidR="0060543D" w:rsidRPr="008C39F7" w:rsidRDefault="0060543D" w:rsidP="0060543D"/>
    <w:p w14:paraId="1C73C185" w14:textId="77777777" w:rsidR="0060543D" w:rsidRPr="008C39F7" w:rsidRDefault="0060543D" w:rsidP="0060543D"/>
    <w:p w14:paraId="1FD3BF05" w14:textId="77777777" w:rsidR="00CD7492" w:rsidRPr="008C39F7" w:rsidRDefault="00CD7492" w:rsidP="00A37002">
      <w:pPr>
        <w:pStyle w:val="RAN4H1"/>
      </w:pPr>
      <w:bookmarkStart w:id="30" w:name="_Toc116995848"/>
      <w:r w:rsidRPr="008C39F7">
        <w:t>Conclusion</w:t>
      </w:r>
      <w:bookmarkEnd w:id="30"/>
    </w:p>
    <w:p w14:paraId="1953E308" w14:textId="66EF8318" w:rsidR="008B0961" w:rsidRPr="008C39F7" w:rsidRDefault="00BA44EC" w:rsidP="005C23A4">
      <w:r>
        <w:t xml:space="preserve">In this paper we analyzed the remaining issues on the core requirements to be defined for NB-IoT and </w:t>
      </w:r>
      <w:proofErr w:type="spellStart"/>
      <w:r>
        <w:t>eMTC</w:t>
      </w:r>
      <w:proofErr w:type="spellEnd"/>
      <w:r>
        <w:t xml:space="preserve"> UEs a</w:t>
      </w:r>
      <w:r w:rsidR="00C71D37">
        <w:t>ssessing the system via NTN. The following set of proposals and conclusions was made:</w:t>
      </w:r>
    </w:p>
    <w:p w14:paraId="423976EF" w14:textId="77777777" w:rsidR="007C5971" w:rsidRPr="008C39F7" w:rsidRDefault="007C5971" w:rsidP="005C23A4"/>
    <w:bookmarkStart w:id="31" w:name="_Toc116995849"/>
    <w:p w14:paraId="685BBA7D" w14:textId="4DC39AB4" w:rsidR="00B15302" w:rsidRDefault="002C5731">
      <w:pPr>
        <w:pStyle w:val="TOC1"/>
        <w:rPr>
          <w:rFonts w:asciiTheme="minorHAnsi" w:eastAsiaTheme="minorEastAsia" w:hAnsiTheme="minorHAnsi"/>
          <w:b w:val="0"/>
          <w:iCs w:val="0"/>
          <w:kern w:val="2"/>
          <w:sz w:val="22"/>
          <w:lang w:val="en-GB" w:eastAsia="en-GB"/>
          <w14:ligatures w14:val="standardContextual"/>
        </w:rPr>
      </w:pPr>
      <w:r>
        <w:rPr>
          <w:b w:val="0"/>
          <w:iCs w:val="0"/>
        </w:rPr>
        <w:fldChar w:fldCharType="begin"/>
      </w:r>
      <w:r>
        <w:rPr>
          <w:b w:val="0"/>
          <w:iCs w:val="0"/>
        </w:rPr>
        <w:instrText xml:space="preserve"> TOC \n \h \z \t "RAN4 proposal;1;RAN4 observation;1" </w:instrText>
      </w:r>
      <w:r>
        <w:rPr>
          <w:b w:val="0"/>
          <w:iCs w:val="0"/>
        </w:rPr>
        <w:fldChar w:fldCharType="separate"/>
      </w:r>
      <w:hyperlink w:anchor="_Toc142670493" w:history="1">
        <w:r w:rsidR="00B15302" w:rsidRPr="009C5207">
          <w:rPr>
            <w:rStyle w:val="Hyperlink"/>
          </w:rPr>
          <w:t>Observation 1: The main reason to execute serving cell measurements is to trigger neighbor cell measurements.</w:t>
        </w:r>
      </w:hyperlink>
    </w:p>
    <w:p w14:paraId="220E4ED0" w14:textId="40DFE631" w:rsidR="00B15302" w:rsidRDefault="00B15302">
      <w:pPr>
        <w:pStyle w:val="TOC1"/>
        <w:rPr>
          <w:rFonts w:asciiTheme="minorHAnsi" w:eastAsiaTheme="minorEastAsia" w:hAnsiTheme="minorHAnsi"/>
          <w:b w:val="0"/>
          <w:iCs w:val="0"/>
          <w:kern w:val="2"/>
          <w:sz w:val="22"/>
          <w:lang w:val="en-GB" w:eastAsia="en-GB"/>
          <w14:ligatures w14:val="standardContextual"/>
        </w:rPr>
      </w:pPr>
      <w:hyperlink w:anchor="_Toc142670494" w:history="1">
        <w:r w:rsidRPr="009C5207">
          <w:rPr>
            <w:rStyle w:val="Hyperlink"/>
          </w:rPr>
          <w:t xml:space="preserve">Observation 2: Measurement relaxation for </w:t>
        </w:r>
        <w:r w:rsidRPr="009C5207">
          <w:rPr>
            <w:rStyle w:val="Hyperlink"/>
            <w:bCs/>
          </w:rPr>
          <w:t>neighbor cell</w:t>
        </w:r>
        <w:r w:rsidRPr="009C5207">
          <w:rPr>
            <w:rStyle w:val="Hyperlink"/>
          </w:rPr>
          <w:t xml:space="preserve"> does not apply within T-trigger when t-service is broadcasted and applicable.</w:t>
        </w:r>
      </w:hyperlink>
    </w:p>
    <w:p w14:paraId="19F24FA4" w14:textId="442A6CFB" w:rsidR="00B15302" w:rsidRDefault="00B15302">
      <w:pPr>
        <w:pStyle w:val="TOC1"/>
        <w:rPr>
          <w:rFonts w:asciiTheme="minorHAnsi" w:eastAsiaTheme="minorEastAsia" w:hAnsiTheme="minorHAnsi"/>
          <w:b w:val="0"/>
          <w:iCs w:val="0"/>
          <w:kern w:val="2"/>
          <w:sz w:val="22"/>
          <w:lang w:val="en-GB" w:eastAsia="en-GB"/>
          <w14:ligatures w14:val="standardContextual"/>
        </w:rPr>
      </w:pPr>
      <w:hyperlink w:anchor="_Toc142670495" w:history="1">
        <w:r w:rsidRPr="009C5207">
          <w:rPr>
            <w:rStyle w:val="Hyperlink"/>
          </w:rPr>
          <w:t>Observation 3: Measuring the serving cell before t-service might cause unnecessary delay on cell reselection procedure.</w:t>
        </w:r>
      </w:hyperlink>
    </w:p>
    <w:p w14:paraId="7FE60464" w14:textId="62322037" w:rsidR="00B15302" w:rsidRDefault="00B15302">
      <w:pPr>
        <w:pStyle w:val="TOC1"/>
        <w:rPr>
          <w:rFonts w:asciiTheme="minorHAnsi" w:eastAsiaTheme="minorEastAsia" w:hAnsiTheme="minorHAnsi"/>
          <w:b w:val="0"/>
          <w:iCs w:val="0"/>
          <w:kern w:val="2"/>
          <w:sz w:val="22"/>
          <w:lang w:val="en-GB" w:eastAsia="en-GB"/>
          <w14:ligatures w14:val="standardContextual"/>
        </w:rPr>
      </w:pPr>
      <w:hyperlink w:anchor="_Toc142670496" w:history="1">
        <w:r w:rsidRPr="009C5207">
          <w:rPr>
            <w:rStyle w:val="Hyperlink"/>
          </w:rPr>
          <w:t>Proposal 1: After Ttrigger, a UE in relaxation mode is allowed to skip serving cell measurements.</w:t>
        </w:r>
      </w:hyperlink>
    </w:p>
    <w:p w14:paraId="36436AE9" w14:textId="12459668" w:rsidR="00B15302" w:rsidRDefault="00B15302">
      <w:pPr>
        <w:pStyle w:val="TOC1"/>
        <w:rPr>
          <w:rFonts w:asciiTheme="minorHAnsi" w:eastAsiaTheme="minorEastAsia" w:hAnsiTheme="minorHAnsi"/>
          <w:b w:val="0"/>
          <w:iCs w:val="0"/>
          <w:kern w:val="2"/>
          <w:sz w:val="22"/>
          <w:lang w:val="en-GB" w:eastAsia="en-GB"/>
          <w14:ligatures w14:val="standardContextual"/>
        </w:rPr>
      </w:pPr>
      <w:hyperlink w:anchor="_Toc142670497" w:history="1">
        <w:r w:rsidRPr="009C5207">
          <w:rPr>
            <w:rStyle w:val="Hyperlink"/>
          </w:rPr>
          <w:t>Proposal 2: After Ttrigger , a UE in relaxation mode is allowed to skip measurements of neighbor cells associated to the same serving satellite.</w:t>
        </w:r>
      </w:hyperlink>
    </w:p>
    <w:p w14:paraId="53694CC7" w14:textId="4B65ABB2" w:rsidR="00B15302" w:rsidRDefault="00B15302">
      <w:pPr>
        <w:pStyle w:val="TOC1"/>
        <w:rPr>
          <w:rFonts w:asciiTheme="minorHAnsi" w:eastAsiaTheme="minorEastAsia" w:hAnsiTheme="minorHAnsi"/>
          <w:b w:val="0"/>
          <w:iCs w:val="0"/>
          <w:kern w:val="2"/>
          <w:sz w:val="22"/>
          <w:lang w:val="en-GB" w:eastAsia="en-GB"/>
          <w14:ligatures w14:val="standardContextual"/>
        </w:rPr>
      </w:pPr>
      <w:hyperlink w:anchor="_Toc142670498" w:history="1">
        <w:r w:rsidRPr="009C5207">
          <w:rPr>
            <w:rStyle w:val="Hyperlink"/>
          </w:rPr>
          <w:t>Proposal 3: Define K_satellite as the number of satellites the UE is expected and configured to monitor by the serving cell.</w:t>
        </w:r>
      </w:hyperlink>
    </w:p>
    <w:p w14:paraId="09B349DC" w14:textId="30D070BD" w:rsidR="00B15302" w:rsidRDefault="00B15302">
      <w:pPr>
        <w:pStyle w:val="TOC1"/>
        <w:rPr>
          <w:rFonts w:asciiTheme="minorHAnsi" w:eastAsiaTheme="minorEastAsia" w:hAnsiTheme="minorHAnsi"/>
          <w:b w:val="0"/>
          <w:iCs w:val="0"/>
          <w:kern w:val="2"/>
          <w:sz w:val="22"/>
          <w:lang w:val="en-GB" w:eastAsia="en-GB"/>
          <w14:ligatures w14:val="standardContextual"/>
        </w:rPr>
      </w:pPr>
      <w:hyperlink w:anchor="_Toc142670499" w:history="1">
        <w:r w:rsidRPr="009C5207">
          <w:rPr>
            <w:rStyle w:val="Hyperlink"/>
          </w:rPr>
          <w:t>Proposal 4: When t-service is configured, the UE might perform cell selection procedure instead of cell reselection procedure, when the time span to T-service is smaller than k, where k = 2 DRX cycle if not configured with eDRX_IDLE cycle, and k = 1 eDRX cycle if configured with eDRX_IDLE cycle.</w:t>
        </w:r>
      </w:hyperlink>
    </w:p>
    <w:p w14:paraId="3E252F0D" w14:textId="5A963BF3" w:rsidR="00B15302" w:rsidRDefault="00B15302">
      <w:pPr>
        <w:pStyle w:val="TOC1"/>
        <w:rPr>
          <w:rFonts w:asciiTheme="minorHAnsi" w:eastAsiaTheme="minorEastAsia" w:hAnsiTheme="minorHAnsi"/>
          <w:b w:val="0"/>
          <w:iCs w:val="0"/>
          <w:kern w:val="2"/>
          <w:sz w:val="22"/>
          <w:lang w:val="en-GB" w:eastAsia="en-GB"/>
          <w14:ligatures w14:val="standardContextual"/>
        </w:rPr>
      </w:pPr>
      <w:hyperlink w:anchor="_Toc142670500" w:history="1">
        <w:r w:rsidRPr="009C5207">
          <w:rPr>
            <w:rStyle w:val="Hyperlink"/>
          </w:rPr>
          <w:t xml:space="preserve">Observation 4: The network is capable of controlling the interval between measurements by choosing the (e)-DRX cycle length and the parameter </w:t>
        </w:r>
        <w:r w:rsidRPr="009C5207">
          <w:rPr>
            <w:rStyle w:val="Hyperlink"/>
            <w:i/>
          </w:rPr>
          <w:t>numDRX-CyclesRelaxed.</w:t>
        </w:r>
      </w:hyperlink>
    </w:p>
    <w:p w14:paraId="338ACD0E" w14:textId="5B1C515C" w:rsidR="00B15302" w:rsidRDefault="00B15302">
      <w:pPr>
        <w:pStyle w:val="TOC1"/>
        <w:rPr>
          <w:rFonts w:asciiTheme="minorHAnsi" w:eastAsiaTheme="minorEastAsia" w:hAnsiTheme="minorHAnsi"/>
          <w:b w:val="0"/>
          <w:iCs w:val="0"/>
          <w:kern w:val="2"/>
          <w:sz w:val="22"/>
          <w:lang w:val="en-GB" w:eastAsia="en-GB"/>
          <w14:ligatures w14:val="standardContextual"/>
        </w:rPr>
      </w:pPr>
      <w:hyperlink w:anchor="_Toc142670501" w:history="1">
        <w:r w:rsidRPr="009C5207">
          <w:rPr>
            <w:rStyle w:val="Hyperlink"/>
          </w:rPr>
          <w:t>Observation 5: Introducing a scaling factor for the relaxed cell measurements does not introduce any relaxation factor that can’t be already configured today. Moreover, it introduces additional complications by “unrelaxing” the measurements in certain scenarios.</w:t>
        </w:r>
      </w:hyperlink>
    </w:p>
    <w:p w14:paraId="6EE968ED" w14:textId="4CC734EB" w:rsidR="00B15302" w:rsidRDefault="00B15302">
      <w:pPr>
        <w:pStyle w:val="TOC1"/>
        <w:rPr>
          <w:rFonts w:asciiTheme="minorHAnsi" w:eastAsiaTheme="minorEastAsia" w:hAnsiTheme="minorHAnsi"/>
          <w:b w:val="0"/>
          <w:iCs w:val="0"/>
          <w:kern w:val="2"/>
          <w:sz w:val="22"/>
          <w:lang w:val="en-GB" w:eastAsia="en-GB"/>
          <w14:ligatures w14:val="standardContextual"/>
        </w:rPr>
      </w:pPr>
      <w:hyperlink w:anchor="_Toc142670502" w:history="1">
        <w:r w:rsidRPr="009C5207">
          <w:rPr>
            <w:rStyle w:val="Hyperlink"/>
          </w:rPr>
          <w:t xml:space="preserve">Proposal 5: Do not introduce a scaling factor for the relaxation factor for NGSO compared to GSO. The relaxation factor can already be modulated by the RRC parameter </w:t>
        </w:r>
        <w:r w:rsidRPr="009C5207">
          <w:rPr>
            <w:rStyle w:val="Hyperlink"/>
            <w:i/>
          </w:rPr>
          <w:t xml:space="preserve">numDRX-cyclesRelaxed </w:t>
        </w:r>
        <w:r w:rsidRPr="009C5207">
          <w:rPr>
            <w:rStyle w:val="Hyperlink"/>
          </w:rPr>
          <w:t>specified by RAN2.</w:t>
        </w:r>
      </w:hyperlink>
    </w:p>
    <w:p w14:paraId="0B6B39F2" w14:textId="452A5B4A" w:rsidR="00B15302" w:rsidRDefault="00B15302">
      <w:pPr>
        <w:pStyle w:val="TOC1"/>
        <w:rPr>
          <w:rFonts w:asciiTheme="minorHAnsi" w:eastAsiaTheme="minorEastAsia" w:hAnsiTheme="minorHAnsi"/>
          <w:b w:val="0"/>
          <w:iCs w:val="0"/>
          <w:kern w:val="2"/>
          <w:sz w:val="22"/>
          <w:lang w:val="en-GB" w:eastAsia="en-GB"/>
          <w14:ligatures w14:val="standardContextual"/>
        </w:rPr>
      </w:pPr>
      <w:hyperlink w:anchor="_Toc142670503" w:history="1">
        <w:r w:rsidRPr="009C5207">
          <w:rPr>
            <w:rStyle w:val="Hyperlink"/>
          </w:rPr>
          <w:t xml:space="preserve">Proposal 6: RAN4 to agree that in discontinuous coverage scenarios, the UE shall postpone measurements/radio monitoring until the UE is in expected coverage as defined by the previously acquired </w:t>
        </w:r>
        <w:r w:rsidRPr="009C5207">
          <w:rPr>
            <w:rStyle w:val="Hyperlink"/>
            <w:i/>
          </w:rPr>
          <w:t>SystemInformationBlockType32 as long as the UE is still in the relevant area covered by SIB32.</w:t>
        </w:r>
      </w:hyperlink>
    </w:p>
    <w:p w14:paraId="2B9AB77B" w14:textId="76338D2C" w:rsidR="00B15302" w:rsidRDefault="00B15302">
      <w:pPr>
        <w:pStyle w:val="TOC1"/>
        <w:rPr>
          <w:rFonts w:asciiTheme="minorHAnsi" w:eastAsiaTheme="minorEastAsia" w:hAnsiTheme="minorHAnsi"/>
          <w:b w:val="0"/>
          <w:iCs w:val="0"/>
          <w:kern w:val="2"/>
          <w:sz w:val="22"/>
          <w:lang w:val="en-GB" w:eastAsia="en-GB"/>
          <w14:ligatures w14:val="standardContextual"/>
        </w:rPr>
      </w:pPr>
      <w:hyperlink w:anchor="_Toc142670504" w:history="1">
        <w:r w:rsidRPr="009C5207">
          <w:rPr>
            <w:rStyle w:val="Hyperlink"/>
          </w:rPr>
          <w:t>Proposal 7: If RAN4 cannot agree to define what “in coverage” means, amend the previous agreement to say that: “in discontinuous coverage scenarios the UE can postpone radio monitoring activities until the UE is in coverage or for a maximum period of [8] hours, whichever comes first”.</w:t>
        </w:r>
      </w:hyperlink>
    </w:p>
    <w:p w14:paraId="697DB6DC" w14:textId="6A3DF137" w:rsidR="00B15302" w:rsidRDefault="00B15302">
      <w:pPr>
        <w:pStyle w:val="TOC1"/>
        <w:rPr>
          <w:rFonts w:asciiTheme="minorHAnsi" w:eastAsiaTheme="minorEastAsia" w:hAnsiTheme="minorHAnsi"/>
          <w:b w:val="0"/>
          <w:iCs w:val="0"/>
          <w:kern w:val="2"/>
          <w:sz w:val="22"/>
          <w:lang w:val="en-GB" w:eastAsia="en-GB"/>
          <w14:ligatures w14:val="standardContextual"/>
        </w:rPr>
      </w:pPr>
      <w:hyperlink w:anchor="_Toc142670505" w:history="1">
        <w:r w:rsidRPr="009C5207">
          <w:rPr>
            <w:rStyle w:val="Hyperlink"/>
          </w:rPr>
          <w:t>Proposal 8: Do not change DRX requirements for serving cell measurement based on t-service configuration.</w:t>
        </w:r>
      </w:hyperlink>
    </w:p>
    <w:p w14:paraId="43B9481E" w14:textId="16DCF336" w:rsidR="00847264" w:rsidRPr="008C39F7" w:rsidRDefault="002C5731" w:rsidP="008C39F7">
      <w:r>
        <w:rPr>
          <w:b/>
          <w:iCs/>
          <w:noProof/>
        </w:rPr>
        <w:fldChar w:fldCharType="end"/>
      </w:r>
    </w:p>
    <w:p w14:paraId="36107BA5" w14:textId="77777777" w:rsidR="003B659E" w:rsidRPr="008C39F7" w:rsidRDefault="003B659E" w:rsidP="0060543D">
      <w:pPr>
        <w:pStyle w:val="RAN4H1"/>
        <w:numPr>
          <w:ilvl w:val="0"/>
          <w:numId w:val="0"/>
        </w:numPr>
        <w:ind w:left="360" w:hanging="360"/>
      </w:pPr>
      <w:r w:rsidRPr="008C39F7">
        <w:t>References</w:t>
      </w:r>
      <w:bookmarkEnd w:id="31"/>
    </w:p>
    <w:p w14:paraId="73D1C15A" w14:textId="77777777" w:rsidR="00307760" w:rsidRDefault="00307760" w:rsidP="00307760">
      <w:pPr>
        <w:pStyle w:val="ListParagraph"/>
        <w:numPr>
          <w:ilvl w:val="0"/>
          <w:numId w:val="27"/>
        </w:numPr>
        <w:ind w:right="-22"/>
      </w:pPr>
      <w:bookmarkStart w:id="32" w:name="_Ref114500673"/>
      <w:bookmarkStart w:id="33" w:name="_Ref115097759"/>
      <w:bookmarkStart w:id="34" w:name="_Ref115097774"/>
      <w:bookmarkEnd w:id="32"/>
      <w:r>
        <w:t>TR 36.763, “Study on Narrow-Band Internet of Things (NB-IoT) / enhanced Machine Type Communication (</w:t>
      </w:r>
      <w:proofErr w:type="spellStart"/>
      <w:r>
        <w:t>eMTC</w:t>
      </w:r>
      <w:proofErr w:type="spellEnd"/>
      <w:r>
        <w:t>) support for Non-Terrestrial Networks (NTN)”</w:t>
      </w:r>
      <w:bookmarkEnd w:id="33"/>
      <w:r>
        <w:t xml:space="preserve">  </w:t>
      </w:r>
    </w:p>
    <w:p w14:paraId="50F395C7" w14:textId="77777777" w:rsidR="00307760" w:rsidRDefault="00307760" w:rsidP="00307760">
      <w:pPr>
        <w:pStyle w:val="ListParagraph"/>
        <w:numPr>
          <w:ilvl w:val="0"/>
          <w:numId w:val="27"/>
        </w:numPr>
        <w:ind w:right="-22"/>
      </w:pPr>
      <w:bookmarkStart w:id="35" w:name="_Ref115097767"/>
      <w:r>
        <w:t>RP-211601 – NB-IoT/</w:t>
      </w:r>
      <w:proofErr w:type="spellStart"/>
      <w:r>
        <w:t>eMTC</w:t>
      </w:r>
      <w:proofErr w:type="spellEnd"/>
      <w:r>
        <w:t xml:space="preserve"> support for Non-Terrestrial Networks</w:t>
      </w:r>
      <w:bookmarkEnd w:id="35"/>
      <w:r>
        <w:t xml:space="preserve"> </w:t>
      </w:r>
    </w:p>
    <w:p w14:paraId="2BC5C557" w14:textId="77777777" w:rsidR="00307760" w:rsidRPr="00307760" w:rsidRDefault="00307760" w:rsidP="00307760">
      <w:pPr>
        <w:pStyle w:val="ListParagraph"/>
        <w:numPr>
          <w:ilvl w:val="0"/>
          <w:numId w:val="27"/>
        </w:numPr>
        <w:spacing w:after="0" w:line="256" w:lineRule="auto"/>
        <w:ind w:right="-22"/>
      </w:pPr>
      <w:bookmarkStart w:id="36" w:name="_Ref130395430"/>
      <w:r w:rsidRPr="00307760">
        <w:t>RP-220938 – New WID on NB-IoT/</w:t>
      </w:r>
      <w:proofErr w:type="spellStart"/>
      <w:r w:rsidRPr="00307760">
        <w:t>eMTC</w:t>
      </w:r>
      <w:proofErr w:type="spellEnd"/>
      <w:r w:rsidRPr="00307760">
        <w:t xml:space="preserve"> core &amp; performance requirements for NTN</w:t>
      </w:r>
      <w:bookmarkEnd w:id="34"/>
      <w:bookmarkEnd w:id="36"/>
      <w:r w:rsidRPr="00307760">
        <w:t xml:space="preserve"> </w:t>
      </w:r>
    </w:p>
    <w:p w14:paraId="5D307079" w14:textId="599BB2D4" w:rsidR="00307760" w:rsidRDefault="00307760" w:rsidP="00307760">
      <w:pPr>
        <w:pStyle w:val="ListParagraph"/>
        <w:numPr>
          <w:ilvl w:val="0"/>
          <w:numId w:val="27"/>
        </w:numPr>
        <w:spacing w:after="0" w:line="256" w:lineRule="auto"/>
        <w:ind w:right="-22"/>
      </w:pPr>
      <w:bookmarkStart w:id="37" w:name="_Ref118189778"/>
      <w:bookmarkStart w:id="38" w:name="_Ref127447438"/>
      <w:bookmarkStart w:id="39" w:name="_Ref134610562"/>
      <w:r w:rsidRPr="00307760">
        <w:t>R4-2310098</w:t>
      </w:r>
      <w:r>
        <w:t xml:space="preserve">, </w:t>
      </w:r>
      <w:r w:rsidRPr="00307760">
        <w:rPr>
          <w:i/>
          <w:iCs/>
        </w:rPr>
        <w:t>WF on RRM requirements for NTN NB-IoT/</w:t>
      </w:r>
      <w:proofErr w:type="spellStart"/>
      <w:r w:rsidRPr="00307760">
        <w:rPr>
          <w:i/>
          <w:iCs/>
        </w:rPr>
        <w:t>eMTC</w:t>
      </w:r>
      <w:proofErr w:type="spellEnd"/>
      <w:r>
        <w:t xml:space="preserve">, </w:t>
      </w:r>
      <w:bookmarkEnd w:id="37"/>
      <w:proofErr w:type="spellStart"/>
      <w:r>
        <w:t>Mediatek</w:t>
      </w:r>
      <w:proofErr w:type="spellEnd"/>
      <w:r>
        <w:t xml:space="preserve">, RAN WG4 #107, </w:t>
      </w:r>
      <w:proofErr w:type="gramStart"/>
      <w:r>
        <w:t>Incheon</w:t>
      </w:r>
      <w:bookmarkEnd w:id="38"/>
      <w:bookmarkEnd w:id="39"/>
      <w:proofErr w:type="gramEnd"/>
    </w:p>
    <w:p w14:paraId="5AE6F075" w14:textId="6325093E" w:rsidR="00750EAF" w:rsidRDefault="00750EAF" w:rsidP="00750EAF">
      <w:pPr>
        <w:pStyle w:val="ListParagraph"/>
        <w:numPr>
          <w:ilvl w:val="0"/>
          <w:numId w:val="27"/>
        </w:numPr>
        <w:spacing w:after="0" w:line="256" w:lineRule="auto"/>
        <w:ind w:right="-22"/>
      </w:pPr>
      <w:bookmarkStart w:id="40" w:name="_Ref142407402"/>
      <w:r w:rsidRPr="00307760">
        <w:t>R4-231009</w:t>
      </w:r>
      <w:r>
        <w:t xml:space="preserve">9, </w:t>
      </w:r>
      <w:r w:rsidRPr="00750EAF">
        <w:rPr>
          <w:i/>
          <w:iCs/>
        </w:rPr>
        <w:t>WF on IoT NTN enhancements RRM requirements</w:t>
      </w:r>
      <w:r>
        <w:t xml:space="preserve">, </w:t>
      </w:r>
      <w:proofErr w:type="spellStart"/>
      <w:r>
        <w:t>Mediatek</w:t>
      </w:r>
      <w:proofErr w:type="spellEnd"/>
      <w:r>
        <w:t xml:space="preserve">, RAN WG4 #107, </w:t>
      </w:r>
      <w:proofErr w:type="gramStart"/>
      <w:r>
        <w:t>Incheon</w:t>
      </w:r>
      <w:bookmarkEnd w:id="40"/>
      <w:proofErr w:type="gramEnd"/>
    </w:p>
    <w:p w14:paraId="109474EB" w14:textId="77777777" w:rsidR="002115E1" w:rsidRDefault="002115E1" w:rsidP="002115E1">
      <w:pPr>
        <w:pStyle w:val="ListParagraph"/>
        <w:numPr>
          <w:ilvl w:val="0"/>
          <w:numId w:val="27"/>
        </w:numPr>
        <w:spacing w:after="0" w:line="256" w:lineRule="auto"/>
        <w:ind w:right="-22"/>
      </w:pPr>
      <w:bookmarkStart w:id="41" w:name="_Ref130395463"/>
      <w:r w:rsidRPr="00996190">
        <w:t>R4-2302343</w:t>
      </w:r>
      <w:r w:rsidRPr="00C116B0">
        <w:t xml:space="preserve">, </w:t>
      </w:r>
      <w:r w:rsidRPr="00C116B0">
        <w:rPr>
          <w:i/>
          <w:iCs/>
        </w:rPr>
        <w:t>Discussion on RRM mobility aspects for IoT over NTN</w:t>
      </w:r>
      <w:r>
        <w:t xml:space="preserve">, </w:t>
      </w:r>
      <w:r w:rsidRPr="00C116B0">
        <w:t>Nokia, Nokia Shanghai Bell</w:t>
      </w:r>
      <w:r>
        <w:t>, RAN WG4 #106, Athens, Greece.</w:t>
      </w:r>
      <w:bookmarkEnd w:id="41"/>
      <w:r>
        <w:t xml:space="preserve"> </w:t>
      </w:r>
    </w:p>
    <w:p w14:paraId="0C219544" w14:textId="1D8E1137" w:rsidR="002115E1" w:rsidRDefault="00DB0B09" w:rsidP="002115E1">
      <w:pPr>
        <w:pStyle w:val="ListParagraph"/>
        <w:numPr>
          <w:ilvl w:val="0"/>
          <w:numId w:val="27"/>
        </w:numPr>
        <w:spacing w:after="0" w:line="256" w:lineRule="auto"/>
        <w:ind w:right="-22"/>
      </w:pPr>
      <w:bookmarkStart w:id="42" w:name="_Ref142412253"/>
      <w:r w:rsidRPr="00DB0B09">
        <w:t>R4-2308355</w:t>
      </w:r>
      <w:r w:rsidR="002115E1" w:rsidRPr="00C116B0">
        <w:t xml:space="preserve">, </w:t>
      </w:r>
      <w:r w:rsidR="00F26C9D" w:rsidRPr="00F26C9D">
        <w:rPr>
          <w:i/>
          <w:iCs/>
        </w:rPr>
        <w:t>Discussion on remaining open issues for the core part of IoT NTN</w:t>
      </w:r>
      <w:r w:rsidR="002115E1">
        <w:t xml:space="preserve">, </w:t>
      </w:r>
      <w:r w:rsidR="002115E1" w:rsidRPr="00C116B0">
        <w:t>Nokia, Nokia Shanghai Bell</w:t>
      </w:r>
      <w:r w:rsidR="002115E1">
        <w:t>, RAN WG4 #10</w:t>
      </w:r>
      <w:r w:rsidR="00486060">
        <w:t>7</w:t>
      </w:r>
      <w:r w:rsidR="002115E1">
        <w:t xml:space="preserve">, </w:t>
      </w:r>
      <w:r w:rsidR="00486060">
        <w:t>Incheon</w:t>
      </w:r>
      <w:r w:rsidR="002115E1">
        <w:t>, Greece.</w:t>
      </w:r>
      <w:bookmarkEnd w:id="42"/>
      <w:r w:rsidR="002115E1">
        <w:t xml:space="preserve"> </w:t>
      </w:r>
    </w:p>
    <w:p w14:paraId="7231364A" w14:textId="77777777" w:rsidR="00BC32D6" w:rsidRPr="00905421" w:rsidRDefault="00BC32D6" w:rsidP="00BC32D6">
      <w:pPr>
        <w:pStyle w:val="ListParagraph"/>
        <w:numPr>
          <w:ilvl w:val="0"/>
          <w:numId w:val="27"/>
        </w:numPr>
        <w:spacing w:after="0" w:line="256" w:lineRule="auto"/>
        <w:ind w:right="-22"/>
      </w:pPr>
      <w:bookmarkStart w:id="43" w:name="_Ref127447652"/>
      <w:r>
        <w:t xml:space="preserve">TS 36.133, </w:t>
      </w:r>
      <w:r>
        <w:rPr>
          <w:i/>
          <w:iCs/>
        </w:rPr>
        <w:t>“</w:t>
      </w:r>
      <w:r>
        <w:rPr>
          <w:rFonts w:ascii="Arial" w:hAnsi="Arial" w:cs="Arial"/>
          <w:i/>
          <w:iCs/>
          <w:color w:val="000000"/>
          <w:sz w:val="18"/>
          <w:szCs w:val="18"/>
        </w:rPr>
        <w:t xml:space="preserve">Evolved Universal Terrestrial Radio Access (E-UTRA); Requirements for support of radio resource management”, </w:t>
      </w:r>
      <w:r>
        <w:rPr>
          <w:rFonts w:ascii="Arial" w:hAnsi="Arial" w:cs="Arial"/>
          <w:color w:val="000000"/>
          <w:sz w:val="18"/>
          <w:szCs w:val="18"/>
        </w:rPr>
        <w:t>3GPP, Release 18.0.0</w:t>
      </w:r>
      <w:bookmarkEnd w:id="43"/>
    </w:p>
    <w:p w14:paraId="6B2409B3" w14:textId="222B57BD" w:rsidR="000040DC" w:rsidRPr="00847264" w:rsidRDefault="000040DC" w:rsidP="00BA44EC">
      <w:pPr>
        <w:pStyle w:val="ListParagraph"/>
        <w:spacing w:after="0" w:line="256" w:lineRule="auto"/>
        <w:ind w:left="360" w:right="-22"/>
      </w:pPr>
    </w:p>
    <w:sectPr w:rsidR="000040DC"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7F553" w14:textId="77777777" w:rsidR="00B4434C" w:rsidRDefault="00B4434C" w:rsidP="00001C9B">
      <w:pPr>
        <w:spacing w:after="0" w:line="240" w:lineRule="auto"/>
      </w:pPr>
      <w:r>
        <w:separator/>
      </w:r>
    </w:p>
  </w:endnote>
  <w:endnote w:type="continuationSeparator" w:id="0">
    <w:p w14:paraId="765FFEF9" w14:textId="77777777" w:rsidR="00B4434C" w:rsidRDefault="00B4434C" w:rsidP="00001C9B">
      <w:pPr>
        <w:spacing w:after="0" w:line="240" w:lineRule="auto"/>
      </w:pPr>
      <w:r>
        <w:continuationSeparator/>
      </w:r>
    </w:p>
  </w:endnote>
  <w:endnote w:type="continuationNotice" w:id="1">
    <w:p w14:paraId="42F8A82F" w14:textId="77777777" w:rsidR="00B4434C" w:rsidRDefault="00B443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6EC8E" w14:textId="77777777" w:rsidR="00B4434C" w:rsidRDefault="00B4434C" w:rsidP="00001C9B">
      <w:pPr>
        <w:spacing w:after="0" w:line="240" w:lineRule="auto"/>
      </w:pPr>
      <w:r>
        <w:separator/>
      </w:r>
    </w:p>
  </w:footnote>
  <w:footnote w:type="continuationSeparator" w:id="0">
    <w:p w14:paraId="2B4F5CD2" w14:textId="77777777" w:rsidR="00B4434C" w:rsidRDefault="00B4434C" w:rsidP="00001C9B">
      <w:pPr>
        <w:spacing w:after="0" w:line="240" w:lineRule="auto"/>
      </w:pPr>
      <w:r>
        <w:continuationSeparator/>
      </w:r>
    </w:p>
  </w:footnote>
  <w:footnote w:type="continuationNotice" w:id="1">
    <w:p w14:paraId="47A48B6A" w14:textId="77777777" w:rsidR="00B4434C" w:rsidRDefault="00B4434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F1B0E4D"/>
    <w:multiLevelType w:val="hybridMultilevel"/>
    <w:tmpl w:val="AFC6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F06445"/>
    <w:multiLevelType w:val="hybridMultilevel"/>
    <w:tmpl w:val="0DB67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27380D"/>
    <w:multiLevelType w:val="hybridMultilevel"/>
    <w:tmpl w:val="8BFCC65E"/>
    <w:lvl w:ilvl="0" w:tplc="9F8E8DF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346419A8"/>
    <w:multiLevelType w:val="hybridMultilevel"/>
    <w:tmpl w:val="CA10593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196" w:hanging="360"/>
      </w:pPr>
      <w:rPr>
        <w:rFonts w:ascii="Times New Roman" w:hAnsi="Times New Roman" w:hint="default"/>
        <w:b/>
        <w:i w:val="0"/>
        <w:color w:val="auto"/>
        <w:sz w:val="20"/>
      </w:rPr>
    </w:lvl>
    <w:lvl w:ilvl="1" w:tplc="04090019" w:tentative="1">
      <w:start w:val="1"/>
      <w:numFmt w:val="lowerLetter"/>
      <w:lvlText w:val="%2."/>
      <w:lvlJc w:val="left"/>
      <w:pPr>
        <w:ind w:left="3916" w:hanging="360"/>
      </w:pPr>
    </w:lvl>
    <w:lvl w:ilvl="2" w:tplc="0409001B" w:tentative="1">
      <w:start w:val="1"/>
      <w:numFmt w:val="lowerRoman"/>
      <w:lvlText w:val="%3."/>
      <w:lvlJc w:val="right"/>
      <w:pPr>
        <w:ind w:left="4636" w:hanging="180"/>
      </w:pPr>
    </w:lvl>
    <w:lvl w:ilvl="3" w:tplc="0409000F" w:tentative="1">
      <w:start w:val="1"/>
      <w:numFmt w:val="decimal"/>
      <w:lvlText w:val="%4."/>
      <w:lvlJc w:val="left"/>
      <w:pPr>
        <w:ind w:left="5356" w:hanging="360"/>
      </w:pPr>
    </w:lvl>
    <w:lvl w:ilvl="4" w:tplc="04090019" w:tentative="1">
      <w:start w:val="1"/>
      <w:numFmt w:val="lowerLetter"/>
      <w:lvlText w:val="%5."/>
      <w:lvlJc w:val="left"/>
      <w:pPr>
        <w:ind w:left="6076" w:hanging="360"/>
      </w:pPr>
    </w:lvl>
    <w:lvl w:ilvl="5" w:tplc="0409001B" w:tentative="1">
      <w:start w:val="1"/>
      <w:numFmt w:val="lowerRoman"/>
      <w:lvlText w:val="%6."/>
      <w:lvlJc w:val="right"/>
      <w:pPr>
        <w:ind w:left="6796" w:hanging="180"/>
      </w:pPr>
    </w:lvl>
    <w:lvl w:ilvl="6" w:tplc="0409000F" w:tentative="1">
      <w:start w:val="1"/>
      <w:numFmt w:val="decimal"/>
      <w:lvlText w:val="%7."/>
      <w:lvlJc w:val="left"/>
      <w:pPr>
        <w:ind w:left="7516" w:hanging="360"/>
      </w:pPr>
    </w:lvl>
    <w:lvl w:ilvl="7" w:tplc="04090019" w:tentative="1">
      <w:start w:val="1"/>
      <w:numFmt w:val="lowerLetter"/>
      <w:lvlText w:val="%8."/>
      <w:lvlJc w:val="left"/>
      <w:pPr>
        <w:ind w:left="8236" w:hanging="360"/>
      </w:pPr>
    </w:lvl>
    <w:lvl w:ilvl="8" w:tplc="0409001B" w:tentative="1">
      <w:start w:val="1"/>
      <w:numFmt w:val="lowerRoman"/>
      <w:lvlText w:val="%9."/>
      <w:lvlJc w:val="right"/>
      <w:pPr>
        <w:ind w:left="8956"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C70D95"/>
    <w:multiLevelType w:val="hybridMultilevel"/>
    <w:tmpl w:val="17324ED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54BC6C9C"/>
    <w:multiLevelType w:val="hybridMultilevel"/>
    <w:tmpl w:val="B8AACA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833F19"/>
    <w:multiLevelType w:val="hybridMultilevel"/>
    <w:tmpl w:val="BB1CBA6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5997DA8"/>
    <w:multiLevelType w:val="hybridMultilevel"/>
    <w:tmpl w:val="D13C648C"/>
    <w:lvl w:ilvl="0" w:tplc="9F8E8DFA">
      <w:start w:val="1"/>
      <w:numFmt w:val="bullet"/>
      <w:lvlText w:val=""/>
      <w:lvlJc w:val="left"/>
      <w:pPr>
        <w:ind w:left="480" w:hanging="480"/>
      </w:pPr>
      <w:rPr>
        <w:rFonts w:ascii="Symbol" w:hAnsi="Symbol" w:hint="default"/>
        <w:color w:val="auto"/>
      </w:rPr>
    </w:lvl>
    <w:lvl w:ilvl="1" w:tplc="8806CD3A">
      <w:start w:val="1"/>
      <w:numFmt w:val="bullet"/>
      <w:lvlText w:val=""/>
      <w:lvlJc w:val="left"/>
      <w:pPr>
        <w:ind w:left="960" w:hanging="480"/>
      </w:pPr>
      <w:rPr>
        <w:rFonts w:ascii="Symbol" w:hAnsi="Symbol" w:hint="default"/>
        <w:color w:val="auto"/>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7267C66"/>
    <w:multiLevelType w:val="hybridMultilevel"/>
    <w:tmpl w:val="5C4064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1BC022C"/>
    <w:multiLevelType w:val="hybridMultilevel"/>
    <w:tmpl w:val="F18C3F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3"/>
  </w:num>
  <w:num w:numId="4" w16cid:durableId="517735681">
    <w:abstractNumId w:val="5"/>
  </w:num>
  <w:num w:numId="5" w16cid:durableId="1142041724">
    <w:abstractNumId w:val="21"/>
  </w:num>
  <w:num w:numId="6" w16cid:durableId="80681869">
    <w:abstractNumId w:val="11"/>
  </w:num>
  <w:num w:numId="7" w16cid:durableId="1566528953">
    <w:abstractNumId w:val="12"/>
  </w:num>
  <w:num w:numId="8" w16cid:durableId="809788981">
    <w:abstractNumId w:val="12"/>
    <w:lvlOverride w:ilvl="0">
      <w:startOverride w:val="1"/>
    </w:lvlOverride>
  </w:num>
  <w:num w:numId="9" w16cid:durableId="1398822153">
    <w:abstractNumId w:val="12"/>
    <w:lvlOverride w:ilvl="0">
      <w:startOverride w:val="1"/>
    </w:lvlOverride>
  </w:num>
  <w:num w:numId="10" w16cid:durableId="1825466284">
    <w:abstractNumId w:val="12"/>
    <w:lvlOverride w:ilvl="0">
      <w:startOverride w:val="1"/>
    </w:lvlOverride>
  </w:num>
  <w:num w:numId="11" w16cid:durableId="1446922321">
    <w:abstractNumId w:val="11"/>
    <w:lvlOverride w:ilvl="0">
      <w:startOverride w:val="1"/>
    </w:lvlOverride>
  </w:num>
  <w:num w:numId="12" w16cid:durableId="122584543">
    <w:abstractNumId w:val="12"/>
    <w:lvlOverride w:ilvl="0">
      <w:startOverride w:val="1"/>
    </w:lvlOverride>
  </w:num>
  <w:num w:numId="13" w16cid:durableId="818807267">
    <w:abstractNumId w:val="11"/>
    <w:lvlOverride w:ilvl="0">
      <w:startOverride w:val="1"/>
    </w:lvlOverride>
  </w:num>
  <w:num w:numId="14" w16cid:durableId="883829348">
    <w:abstractNumId w:val="12"/>
    <w:lvlOverride w:ilvl="0">
      <w:startOverride w:val="1"/>
    </w:lvlOverride>
  </w:num>
  <w:num w:numId="15" w16cid:durableId="438372887">
    <w:abstractNumId w:val="23"/>
  </w:num>
  <w:num w:numId="16" w16cid:durableId="516113510">
    <w:abstractNumId w:val="3"/>
  </w:num>
  <w:num w:numId="17" w16cid:durableId="1456096507">
    <w:abstractNumId w:val="19"/>
  </w:num>
  <w:num w:numId="18" w16cid:durableId="1397970374">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0"/>
  </w:num>
  <w:num w:numId="21" w16cid:durableId="1659071369">
    <w:abstractNumId w:val="16"/>
  </w:num>
  <w:num w:numId="22" w16cid:durableId="1938362445">
    <w:abstractNumId w:val="11"/>
    <w:lvlOverride w:ilvl="0">
      <w:startOverride w:val="1"/>
    </w:lvlOverride>
  </w:num>
  <w:num w:numId="23" w16cid:durableId="913515990">
    <w:abstractNumId w:val="12"/>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5531540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68682442">
    <w:abstractNumId w:val="14"/>
  </w:num>
  <w:num w:numId="29" w16cid:durableId="1570384782">
    <w:abstractNumId w:val="17"/>
  </w:num>
  <w:num w:numId="30" w16cid:durableId="1326322670">
    <w:abstractNumId w:val="20"/>
  </w:num>
  <w:num w:numId="31" w16cid:durableId="1618293182">
    <w:abstractNumId w:val="22"/>
  </w:num>
  <w:num w:numId="32" w16cid:durableId="604459488">
    <w:abstractNumId w:val="15"/>
  </w:num>
  <w:num w:numId="33" w16cid:durableId="419713888">
    <w:abstractNumId w:val="8"/>
  </w:num>
  <w:num w:numId="34" w16cid:durableId="1669019819">
    <w:abstractNumId w:val="18"/>
  </w:num>
  <w:num w:numId="35" w16cid:durableId="2059089583">
    <w:abstractNumId w:val="9"/>
  </w:num>
  <w:num w:numId="36" w16cid:durableId="1767843706">
    <w:abstractNumId w:val="7"/>
  </w:num>
  <w:num w:numId="37" w16cid:durableId="5751671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044786"/>
    <w:rsid w:val="00001C9B"/>
    <w:rsid w:val="000040DC"/>
    <w:rsid w:val="000063D2"/>
    <w:rsid w:val="00007A82"/>
    <w:rsid w:val="00011784"/>
    <w:rsid w:val="000151EF"/>
    <w:rsid w:val="000239F5"/>
    <w:rsid w:val="00024957"/>
    <w:rsid w:val="00025DE6"/>
    <w:rsid w:val="00044786"/>
    <w:rsid w:val="0005110C"/>
    <w:rsid w:val="000549D9"/>
    <w:rsid w:val="0008612A"/>
    <w:rsid w:val="00090B1F"/>
    <w:rsid w:val="00090E18"/>
    <w:rsid w:val="000A10BC"/>
    <w:rsid w:val="000B0056"/>
    <w:rsid w:val="000B1E6F"/>
    <w:rsid w:val="000C3C7B"/>
    <w:rsid w:val="000D0F93"/>
    <w:rsid w:val="000E3613"/>
    <w:rsid w:val="00106416"/>
    <w:rsid w:val="00110481"/>
    <w:rsid w:val="001127C9"/>
    <w:rsid w:val="00114498"/>
    <w:rsid w:val="00115B88"/>
    <w:rsid w:val="0011719A"/>
    <w:rsid w:val="00132F6A"/>
    <w:rsid w:val="00133913"/>
    <w:rsid w:val="00134998"/>
    <w:rsid w:val="00140221"/>
    <w:rsid w:val="001534EA"/>
    <w:rsid w:val="001642FC"/>
    <w:rsid w:val="0016496B"/>
    <w:rsid w:val="001743E2"/>
    <w:rsid w:val="001745F8"/>
    <w:rsid w:val="001838CF"/>
    <w:rsid w:val="001868EE"/>
    <w:rsid w:val="001A3BA4"/>
    <w:rsid w:val="001A6D1F"/>
    <w:rsid w:val="001E30F6"/>
    <w:rsid w:val="002115E1"/>
    <w:rsid w:val="00217EE5"/>
    <w:rsid w:val="002240A2"/>
    <w:rsid w:val="00233ACC"/>
    <w:rsid w:val="0023401D"/>
    <w:rsid w:val="00235F5C"/>
    <w:rsid w:val="00237427"/>
    <w:rsid w:val="00257FA3"/>
    <w:rsid w:val="00277B56"/>
    <w:rsid w:val="002A19F5"/>
    <w:rsid w:val="002B4922"/>
    <w:rsid w:val="002C22C3"/>
    <w:rsid w:val="002C2D19"/>
    <w:rsid w:val="002C5731"/>
    <w:rsid w:val="002D10FA"/>
    <w:rsid w:val="002D4C55"/>
    <w:rsid w:val="002E6DED"/>
    <w:rsid w:val="00300956"/>
    <w:rsid w:val="00307760"/>
    <w:rsid w:val="00317187"/>
    <w:rsid w:val="0032499A"/>
    <w:rsid w:val="003341F7"/>
    <w:rsid w:val="0034448C"/>
    <w:rsid w:val="00347FEC"/>
    <w:rsid w:val="003510BB"/>
    <w:rsid w:val="00356F45"/>
    <w:rsid w:val="00366B74"/>
    <w:rsid w:val="003779BB"/>
    <w:rsid w:val="003A710A"/>
    <w:rsid w:val="003B5C1E"/>
    <w:rsid w:val="003B659E"/>
    <w:rsid w:val="003C275E"/>
    <w:rsid w:val="003C4FDE"/>
    <w:rsid w:val="003E58DF"/>
    <w:rsid w:val="003E66CB"/>
    <w:rsid w:val="00404C4C"/>
    <w:rsid w:val="004109AD"/>
    <w:rsid w:val="0041423F"/>
    <w:rsid w:val="00414F81"/>
    <w:rsid w:val="00436A0F"/>
    <w:rsid w:val="00437150"/>
    <w:rsid w:val="0043750A"/>
    <w:rsid w:val="00471F99"/>
    <w:rsid w:val="004732E9"/>
    <w:rsid w:val="004854BB"/>
    <w:rsid w:val="00486060"/>
    <w:rsid w:val="00494493"/>
    <w:rsid w:val="00496606"/>
    <w:rsid w:val="004E16C1"/>
    <w:rsid w:val="004E5E66"/>
    <w:rsid w:val="004E7286"/>
    <w:rsid w:val="004E7ADB"/>
    <w:rsid w:val="004F1A5F"/>
    <w:rsid w:val="00503B4D"/>
    <w:rsid w:val="00504EE9"/>
    <w:rsid w:val="00513679"/>
    <w:rsid w:val="0051546D"/>
    <w:rsid w:val="00521576"/>
    <w:rsid w:val="00524974"/>
    <w:rsid w:val="005250E6"/>
    <w:rsid w:val="005263BD"/>
    <w:rsid w:val="005322AD"/>
    <w:rsid w:val="00542D23"/>
    <w:rsid w:val="0054442C"/>
    <w:rsid w:val="005445FA"/>
    <w:rsid w:val="00550285"/>
    <w:rsid w:val="00550E22"/>
    <w:rsid w:val="00562492"/>
    <w:rsid w:val="00572A20"/>
    <w:rsid w:val="005836F8"/>
    <w:rsid w:val="005918FA"/>
    <w:rsid w:val="00592A86"/>
    <w:rsid w:val="005B4801"/>
    <w:rsid w:val="005C23A4"/>
    <w:rsid w:val="005C3404"/>
    <w:rsid w:val="005D1CDF"/>
    <w:rsid w:val="005D2BB7"/>
    <w:rsid w:val="005D643B"/>
    <w:rsid w:val="005E3348"/>
    <w:rsid w:val="005E61A8"/>
    <w:rsid w:val="005F6419"/>
    <w:rsid w:val="0060543D"/>
    <w:rsid w:val="006104DD"/>
    <w:rsid w:val="006130B5"/>
    <w:rsid w:val="00617400"/>
    <w:rsid w:val="006176BC"/>
    <w:rsid w:val="00623F2B"/>
    <w:rsid w:val="00632D29"/>
    <w:rsid w:val="00633FD1"/>
    <w:rsid w:val="00637351"/>
    <w:rsid w:val="00664950"/>
    <w:rsid w:val="00683220"/>
    <w:rsid w:val="00687FA0"/>
    <w:rsid w:val="006A3C11"/>
    <w:rsid w:val="006B7010"/>
    <w:rsid w:val="006C3095"/>
    <w:rsid w:val="006D3D8E"/>
    <w:rsid w:val="006E1151"/>
    <w:rsid w:val="006E6311"/>
    <w:rsid w:val="007145FF"/>
    <w:rsid w:val="00715B2A"/>
    <w:rsid w:val="00721963"/>
    <w:rsid w:val="007450F1"/>
    <w:rsid w:val="00750EAF"/>
    <w:rsid w:val="00751515"/>
    <w:rsid w:val="007626B7"/>
    <w:rsid w:val="007740C8"/>
    <w:rsid w:val="00777F81"/>
    <w:rsid w:val="007802A1"/>
    <w:rsid w:val="0078212B"/>
    <w:rsid w:val="00784DF6"/>
    <w:rsid w:val="00785232"/>
    <w:rsid w:val="007B186C"/>
    <w:rsid w:val="007C1696"/>
    <w:rsid w:val="007C3ED0"/>
    <w:rsid w:val="007C5971"/>
    <w:rsid w:val="007F54B9"/>
    <w:rsid w:val="008061FD"/>
    <w:rsid w:val="00806A76"/>
    <w:rsid w:val="00811C9D"/>
    <w:rsid w:val="00814C66"/>
    <w:rsid w:val="00816C80"/>
    <w:rsid w:val="00826BE5"/>
    <w:rsid w:val="00841BCD"/>
    <w:rsid w:val="00847264"/>
    <w:rsid w:val="00851A8E"/>
    <w:rsid w:val="0085365B"/>
    <w:rsid w:val="00877E81"/>
    <w:rsid w:val="008826C1"/>
    <w:rsid w:val="00883DFD"/>
    <w:rsid w:val="008A1BF7"/>
    <w:rsid w:val="008A5B0E"/>
    <w:rsid w:val="008B0961"/>
    <w:rsid w:val="008C39F7"/>
    <w:rsid w:val="008F47C3"/>
    <w:rsid w:val="0090091A"/>
    <w:rsid w:val="009042BD"/>
    <w:rsid w:val="00904FE4"/>
    <w:rsid w:val="00920481"/>
    <w:rsid w:val="00921A8C"/>
    <w:rsid w:val="00930C92"/>
    <w:rsid w:val="00936159"/>
    <w:rsid w:val="00975CE9"/>
    <w:rsid w:val="00977E1D"/>
    <w:rsid w:val="00982C0D"/>
    <w:rsid w:val="009B0573"/>
    <w:rsid w:val="009B7B4B"/>
    <w:rsid w:val="009B7C21"/>
    <w:rsid w:val="009F0038"/>
    <w:rsid w:val="009F24A5"/>
    <w:rsid w:val="009F6482"/>
    <w:rsid w:val="00A04992"/>
    <w:rsid w:val="00A147AA"/>
    <w:rsid w:val="00A21D71"/>
    <w:rsid w:val="00A22B78"/>
    <w:rsid w:val="00A25AE5"/>
    <w:rsid w:val="00A37002"/>
    <w:rsid w:val="00A4355E"/>
    <w:rsid w:val="00A520D9"/>
    <w:rsid w:val="00A87298"/>
    <w:rsid w:val="00A92BCD"/>
    <w:rsid w:val="00A95049"/>
    <w:rsid w:val="00AA1B0E"/>
    <w:rsid w:val="00AA47B6"/>
    <w:rsid w:val="00AB2FD2"/>
    <w:rsid w:val="00AB39B2"/>
    <w:rsid w:val="00AC163B"/>
    <w:rsid w:val="00AC5CA7"/>
    <w:rsid w:val="00AC6058"/>
    <w:rsid w:val="00AE2BA5"/>
    <w:rsid w:val="00AE56B1"/>
    <w:rsid w:val="00AE6D09"/>
    <w:rsid w:val="00AF7A7C"/>
    <w:rsid w:val="00B02070"/>
    <w:rsid w:val="00B15302"/>
    <w:rsid w:val="00B408B6"/>
    <w:rsid w:val="00B4434C"/>
    <w:rsid w:val="00B542DA"/>
    <w:rsid w:val="00B66CD0"/>
    <w:rsid w:val="00B73862"/>
    <w:rsid w:val="00B73F43"/>
    <w:rsid w:val="00B75BBF"/>
    <w:rsid w:val="00B90707"/>
    <w:rsid w:val="00B95A22"/>
    <w:rsid w:val="00B95FB5"/>
    <w:rsid w:val="00BA44EC"/>
    <w:rsid w:val="00BA6B66"/>
    <w:rsid w:val="00BA6E48"/>
    <w:rsid w:val="00BB37D8"/>
    <w:rsid w:val="00BC32D6"/>
    <w:rsid w:val="00BD18CD"/>
    <w:rsid w:val="00BE0AF6"/>
    <w:rsid w:val="00BE1F03"/>
    <w:rsid w:val="00BE58A7"/>
    <w:rsid w:val="00BF2218"/>
    <w:rsid w:val="00C0426B"/>
    <w:rsid w:val="00C045DF"/>
    <w:rsid w:val="00C11C0E"/>
    <w:rsid w:val="00C1726B"/>
    <w:rsid w:val="00C21566"/>
    <w:rsid w:val="00C26D43"/>
    <w:rsid w:val="00C46548"/>
    <w:rsid w:val="00C55C06"/>
    <w:rsid w:val="00C574D5"/>
    <w:rsid w:val="00C71D37"/>
    <w:rsid w:val="00C73F32"/>
    <w:rsid w:val="00C75A80"/>
    <w:rsid w:val="00C87462"/>
    <w:rsid w:val="00CA180C"/>
    <w:rsid w:val="00CB22B2"/>
    <w:rsid w:val="00CB33E6"/>
    <w:rsid w:val="00CC3EE2"/>
    <w:rsid w:val="00CD7492"/>
    <w:rsid w:val="00CE3A6B"/>
    <w:rsid w:val="00D00211"/>
    <w:rsid w:val="00D06309"/>
    <w:rsid w:val="00D351EA"/>
    <w:rsid w:val="00D40288"/>
    <w:rsid w:val="00D43403"/>
    <w:rsid w:val="00D5270B"/>
    <w:rsid w:val="00D62E71"/>
    <w:rsid w:val="00D6430D"/>
    <w:rsid w:val="00D66188"/>
    <w:rsid w:val="00D731F6"/>
    <w:rsid w:val="00D740CA"/>
    <w:rsid w:val="00D85728"/>
    <w:rsid w:val="00D87B3F"/>
    <w:rsid w:val="00D95481"/>
    <w:rsid w:val="00DA2E08"/>
    <w:rsid w:val="00DB0B09"/>
    <w:rsid w:val="00DC3F0E"/>
    <w:rsid w:val="00DC4780"/>
    <w:rsid w:val="00DC7A13"/>
    <w:rsid w:val="00DF2997"/>
    <w:rsid w:val="00DF78EC"/>
    <w:rsid w:val="00E05CEB"/>
    <w:rsid w:val="00E10BC4"/>
    <w:rsid w:val="00E1415D"/>
    <w:rsid w:val="00E323E9"/>
    <w:rsid w:val="00E34018"/>
    <w:rsid w:val="00E37A61"/>
    <w:rsid w:val="00E437D2"/>
    <w:rsid w:val="00E55751"/>
    <w:rsid w:val="00EA2311"/>
    <w:rsid w:val="00EB2D80"/>
    <w:rsid w:val="00EC7BC3"/>
    <w:rsid w:val="00ED13D7"/>
    <w:rsid w:val="00ED7600"/>
    <w:rsid w:val="00EF6073"/>
    <w:rsid w:val="00EF698B"/>
    <w:rsid w:val="00EF7F5F"/>
    <w:rsid w:val="00F029F8"/>
    <w:rsid w:val="00F03F58"/>
    <w:rsid w:val="00F1362C"/>
    <w:rsid w:val="00F26C9D"/>
    <w:rsid w:val="00F414F1"/>
    <w:rsid w:val="00F508B8"/>
    <w:rsid w:val="00F7145F"/>
    <w:rsid w:val="00F72952"/>
    <w:rsid w:val="00F72CB1"/>
    <w:rsid w:val="00F740B0"/>
    <w:rsid w:val="00F8215E"/>
    <w:rsid w:val="00F824F5"/>
    <w:rsid w:val="00F90FAB"/>
    <w:rsid w:val="00F9374D"/>
    <w:rsid w:val="00FC29B9"/>
    <w:rsid w:val="00FC6FD3"/>
    <w:rsid w:val="00FE305C"/>
    <w:rsid w:val="00FF0301"/>
    <w:rsid w:val="00FF44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136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0EAF"/>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2240A2"/>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v4.2.0" w:hAnsi="v4.2.0"/>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link w:val="TOC5Char"/>
    <w:autoRedefine/>
    <w:unhideWhenUsed/>
    <w:qFormat/>
    <w:rsid w:val="00A4355E"/>
    <w:pPr>
      <w:spacing w:after="100"/>
    </w:pPr>
    <w:rPr>
      <w:b/>
    </w:rPr>
  </w:style>
  <w:style w:type="character" w:customStyle="1" w:styleId="EQChar">
    <w:name w:val="EQ Char"/>
    <w:link w:val="EQ"/>
    <w:qFormat/>
    <w:locked/>
    <w:rsid w:val="00750EAF"/>
    <w:rPr>
      <w:noProof/>
      <w:lang w:val="en-GB"/>
    </w:rPr>
  </w:style>
  <w:style w:type="paragraph" w:customStyle="1" w:styleId="EQ">
    <w:name w:val="EQ"/>
    <w:basedOn w:val="Normal"/>
    <w:next w:val="Normal"/>
    <w:link w:val="EQChar"/>
    <w:rsid w:val="00750EAF"/>
    <w:pPr>
      <w:keepLines/>
      <w:tabs>
        <w:tab w:val="center" w:pos="4536"/>
        <w:tab w:val="right" w:pos="9072"/>
      </w:tabs>
      <w:spacing w:line="256" w:lineRule="auto"/>
    </w:pPr>
    <w:rPr>
      <w:rFonts w:asciiTheme="minorHAnsi" w:hAnsiTheme="minorHAnsi"/>
      <w:noProof/>
      <w:sz w:val="22"/>
      <w:lang w:val="en-GB"/>
    </w:rPr>
  </w:style>
  <w:style w:type="paragraph" w:customStyle="1" w:styleId="TAC">
    <w:name w:val="TAC"/>
    <w:basedOn w:val="Normal"/>
    <w:link w:val="TACChar"/>
    <w:rsid w:val="00633FD1"/>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633FD1"/>
    <w:rPr>
      <w:rFonts w:ascii="Arial" w:eastAsia="Times New Roman" w:hAnsi="Arial" w:cs="Times New Roman"/>
      <w:sz w:val="18"/>
      <w:szCs w:val="20"/>
      <w:lang w:val="en-GB" w:eastAsia="en-GB"/>
    </w:rPr>
  </w:style>
  <w:style w:type="paragraph" w:customStyle="1" w:styleId="TH">
    <w:name w:val="TH"/>
    <w:basedOn w:val="Normal"/>
    <w:link w:val="THChar"/>
    <w:rsid w:val="00633FD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633FD1"/>
    <w:rPr>
      <w:rFonts w:ascii="Arial" w:eastAsia="Times New Roman" w:hAnsi="Arial" w:cs="Times New Roman"/>
      <w:b/>
      <w:sz w:val="20"/>
      <w:szCs w:val="20"/>
      <w:lang w:val="en-GB" w:eastAsia="en-GB"/>
    </w:rPr>
  </w:style>
  <w:style w:type="paragraph" w:customStyle="1" w:styleId="TAH">
    <w:name w:val="TAH"/>
    <w:basedOn w:val="TAC"/>
    <w:link w:val="TAHCar"/>
    <w:rsid w:val="00633FD1"/>
    <w:rPr>
      <w:b/>
    </w:rPr>
  </w:style>
  <w:style w:type="character" w:customStyle="1" w:styleId="TAHCar">
    <w:name w:val="TAH Car"/>
    <w:link w:val="TAH"/>
    <w:qFormat/>
    <w:rsid w:val="00633FD1"/>
    <w:rPr>
      <w:rFonts w:ascii="Arial" w:eastAsia="Times New Roman" w:hAnsi="Arial" w:cs="Times New Roman"/>
      <w:b/>
      <w:sz w:val="18"/>
      <w:szCs w:val="20"/>
      <w:lang w:val="en-GB" w:eastAsia="en-GB"/>
    </w:rPr>
  </w:style>
  <w:style w:type="paragraph" w:customStyle="1" w:styleId="TAN">
    <w:name w:val="TAN"/>
    <w:basedOn w:val="Normal"/>
    <w:link w:val="TANChar"/>
    <w:rsid w:val="00633FD1"/>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633FD1"/>
    <w:rPr>
      <w:rFonts w:ascii="Arial" w:eastAsia="Times New Roman" w:hAnsi="Arial" w:cs="Times New Roman"/>
      <w:sz w:val="18"/>
      <w:szCs w:val="20"/>
      <w:lang w:val="en-GB" w:eastAsia="en-GB"/>
    </w:rPr>
  </w:style>
  <w:style w:type="character" w:customStyle="1" w:styleId="TOC5Char">
    <w:name w:val="TOC 5 Char"/>
    <w:aliases w:val="Proposal Char"/>
    <w:basedOn w:val="DefaultParagraphFont"/>
    <w:link w:val="TOC5"/>
    <w:qFormat/>
    <w:rsid w:val="00B95A22"/>
    <w:rPr>
      <w:rFonts w:ascii="Times New Roman" w:hAnsi="Times New Roman"/>
      <w:b/>
      <w:sz w:val="20"/>
    </w:rPr>
  </w:style>
  <w:style w:type="paragraph" w:styleId="Header">
    <w:name w:val="header"/>
    <w:basedOn w:val="Normal"/>
    <w:link w:val="HeaderChar"/>
    <w:uiPriority w:val="99"/>
    <w:unhideWhenUsed/>
    <w:rsid w:val="00DF78EC"/>
    <w:pPr>
      <w:tabs>
        <w:tab w:val="center" w:pos="4986"/>
        <w:tab w:val="right" w:pos="9972"/>
      </w:tabs>
      <w:spacing w:after="0" w:line="240" w:lineRule="auto"/>
    </w:pPr>
  </w:style>
  <w:style w:type="character" w:customStyle="1" w:styleId="HeaderChar">
    <w:name w:val="Header Char"/>
    <w:basedOn w:val="DefaultParagraphFont"/>
    <w:link w:val="Header"/>
    <w:uiPriority w:val="99"/>
    <w:rsid w:val="00ED13D7"/>
    <w:rPr>
      <w:rFonts w:ascii="Times New Roman" w:hAnsi="Times New Roman"/>
      <w:sz w:val="20"/>
    </w:rPr>
  </w:style>
  <w:style w:type="paragraph" w:styleId="Footer">
    <w:name w:val="footer"/>
    <w:basedOn w:val="Normal"/>
    <w:link w:val="FooterChar"/>
    <w:uiPriority w:val="99"/>
    <w:unhideWhenUsed/>
    <w:rsid w:val="00DF78EC"/>
    <w:pPr>
      <w:tabs>
        <w:tab w:val="center" w:pos="4986"/>
        <w:tab w:val="right" w:pos="9972"/>
      </w:tabs>
      <w:spacing w:after="0" w:line="240" w:lineRule="auto"/>
    </w:pPr>
  </w:style>
  <w:style w:type="character" w:customStyle="1" w:styleId="FooterChar">
    <w:name w:val="Footer Char"/>
    <w:basedOn w:val="DefaultParagraphFont"/>
    <w:link w:val="Footer"/>
    <w:uiPriority w:val="99"/>
    <w:rsid w:val="00ED13D7"/>
    <w:rPr>
      <w:rFonts w:ascii="Times New Roman" w:hAnsi="Times New Roman"/>
      <w:sz w:val="20"/>
    </w:rPr>
  </w:style>
  <w:style w:type="paragraph" w:styleId="Revision">
    <w:name w:val="Revision"/>
    <w:hidden/>
    <w:uiPriority w:val="99"/>
    <w:semiHidden/>
    <w:rsid w:val="00025DE6"/>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2752</Words>
  <Characters>15691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2023-08-11T16:23:00Z</dcterms:created>
  <dcterms:modified xsi:type="dcterms:W3CDTF">2023-08-11T16:23:00Z</dcterms:modified>
</cp:coreProperties>
</file>